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sz w:val="28"/>
          <w:szCs w:val="32"/>
          <w:lang w:val="sr-Latn-BA"/>
        </w:rPr>
        <w:id w:val="1908391"/>
        <w:docPartObj>
          <w:docPartGallery w:val="Cover Pages"/>
          <w:docPartUnique/>
        </w:docPartObj>
      </w:sdtPr>
      <w:sdtEndPr>
        <w:rPr>
          <w:sz w:val="24"/>
        </w:rPr>
      </w:sdtEndPr>
      <w:sdtContent>
        <w:sdt>
          <w:sdtPr>
            <w:rPr>
              <w:sz w:val="28"/>
              <w:szCs w:val="32"/>
              <w:lang w:val="sr-Latn-BA"/>
            </w:rPr>
            <w:id w:val="282227141"/>
            <w:docPartObj>
              <w:docPartGallery w:val="Cover Pages"/>
              <w:docPartUnique/>
            </w:docPartObj>
          </w:sdtPr>
          <w:sdtEndPr>
            <w:rPr>
              <w:sz w:val="24"/>
            </w:rPr>
          </w:sdtEndPr>
          <w:sdtContent>
            <w:p w14:paraId="433EB8B9" w14:textId="1810EF0E" w:rsidR="009628CE" w:rsidRPr="001B53A8" w:rsidRDefault="00EC330F" w:rsidP="006B6E0C">
              <w:pPr>
                <w:spacing w:before="0" w:after="0" w:line="240" w:lineRule="auto"/>
                <w:ind w:firstLine="0"/>
                <w:jc w:val="center"/>
                <w:rPr>
                  <w:b/>
                  <w:sz w:val="28"/>
                  <w:lang w:val="sr-Latn-BA"/>
                </w:rPr>
              </w:pPr>
              <w:r>
                <w:rPr>
                  <w:b/>
                  <w:sz w:val="28"/>
                  <w:lang w:val="sr-Latn-BA"/>
                </w:rPr>
                <w:t>KOMISIJA</w:t>
              </w:r>
              <w:r w:rsidR="009628CE" w:rsidRPr="001B53A8">
                <w:rPr>
                  <w:b/>
                  <w:sz w:val="28"/>
                  <w:lang w:val="sr-Latn-BA"/>
                </w:rPr>
                <w:t xml:space="preserve"> </w:t>
              </w:r>
              <w:r>
                <w:rPr>
                  <w:b/>
                  <w:sz w:val="28"/>
                  <w:lang w:val="sr-Latn-BA"/>
                </w:rPr>
                <w:t>ZA</w:t>
              </w:r>
              <w:r w:rsidR="009628CE" w:rsidRPr="001B53A8">
                <w:rPr>
                  <w:b/>
                  <w:sz w:val="28"/>
                  <w:lang w:val="sr-Latn-BA"/>
                </w:rPr>
                <w:t xml:space="preserve"> </w:t>
              </w:r>
              <w:r>
                <w:rPr>
                  <w:b/>
                  <w:sz w:val="28"/>
                  <w:lang w:val="sr-Latn-BA"/>
                </w:rPr>
                <w:t>HARTIJE</w:t>
              </w:r>
              <w:r w:rsidR="009628CE" w:rsidRPr="001B53A8">
                <w:rPr>
                  <w:b/>
                  <w:sz w:val="28"/>
                  <w:lang w:val="sr-Latn-BA"/>
                </w:rPr>
                <w:t xml:space="preserve"> </w:t>
              </w:r>
              <w:r>
                <w:rPr>
                  <w:b/>
                  <w:sz w:val="28"/>
                  <w:lang w:val="sr-Latn-BA"/>
                </w:rPr>
                <w:t>OD</w:t>
              </w:r>
              <w:r w:rsidR="009628CE" w:rsidRPr="001B53A8">
                <w:rPr>
                  <w:b/>
                  <w:sz w:val="28"/>
                  <w:lang w:val="sr-Latn-BA"/>
                </w:rPr>
                <w:t xml:space="preserve"> </w:t>
              </w:r>
              <w:r>
                <w:rPr>
                  <w:b/>
                  <w:sz w:val="28"/>
                  <w:lang w:val="sr-Latn-BA"/>
                </w:rPr>
                <w:t>VRIJEDNOSTI</w:t>
              </w:r>
              <w:r w:rsidR="009628CE" w:rsidRPr="001B53A8">
                <w:rPr>
                  <w:b/>
                  <w:sz w:val="28"/>
                  <w:lang w:val="sr-Latn-BA"/>
                </w:rPr>
                <w:t xml:space="preserve"> </w:t>
              </w:r>
              <w:r>
                <w:rPr>
                  <w:b/>
                  <w:sz w:val="28"/>
                  <w:lang w:val="sr-Latn-BA"/>
                </w:rPr>
                <w:t>REPUBLIKE</w:t>
              </w:r>
              <w:r w:rsidR="009628CE" w:rsidRPr="001B53A8">
                <w:rPr>
                  <w:b/>
                  <w:sz w:val="28"/>
                  <w:lang w:val="sr-Latn-BA"/>
                </w:rPr>
                <w:t xml:space="preserve"> </w:t>
              </w:r>
              <w:r>
                <w:rPr>
                  <w:b/>
                  <w:sz w:val="28"/>
                  <w:lang w:val="sr-Latn-BA"/>
                </w:rPr>
                <w:t>SRPSKE</w:t>
              </w:r>
            </w:p>
            <w:p w14:paraId="58415D1C" w14:textId="77777777" w:rsidR="009628CE" w:rsidRPr="001B53A8" w:rsidRDefault="009628CE" w:rsidP="006B6E0C">
              <w:pPr>
                <w:spacing w:before="0" w:after="0" w:line="240" w:lineRule="auto"/>
                <w:ind w:firstLine="0"/>
                <w:jc w:val="center"/>
                <w:rPr>
                  <w:b/>
                  <w:lang w:val="sr-Latn-BA"/>
                </w:rPr>
              </w:pPr>
            </w:p>
            <w:p w14:paraId="5E9DD516" w14:textId="77777777" w:rsidR="009628CE" w:rsidRPr="001B53A8" w:rsidRDefault="009628CE" w:rsidP="006B6E0C">
              <w:pPr>
                <w:pStyle w:val="NoSpacing"/>
                <w:spacing w:before="0" w:after="0" w:line="240" w:lineRule="auto"/>
                <w:jc w:val="center"/>
                <w:rPr>
                  <w:b/>
                  <w:bCs/>
                  <w:lang w:val="sr-Latn-BA"/>
                </w:rPr>
              </w:pPr>
            </w:p>
            <w:p w14:paraId="680485A1" w14:textId="77777777" w:rsidR="009628CE" w:rsidRPr="001B53A8" w:rsidRDefault="009628CE" w:rsidP="006B6E0C">
              <w:pPr>
                <w:pStyle w:val="NoSpacing"/>
                <w:spacing w:before="0" w:after="0" w:line="240" w:lineRule="auto"/>
                <w:jc w:val="center"/>
                <w:rPr>
                  <w:b/>
                  <w:bCs/>
                  <w:lang w:val="sr-Latn-BA"/>
                </w:rPr>
              </w:pPr>
              <w:r w:rsidRPr="001B53A8">
                <w:rPr>
                  <w:b/>
                  <w:bCs/>
                  <w:noProof/>
                  <w:lang w:val="sr-Latn-BA"/>
                </w:rPr>
                <w:drawing>
                  <wp:anchor distT="0" distB="0" distL="114300" distR="114300" simplePos="0" relativeHeight="251657216" behindDoc="0" locked="0" layoutInCell="1" allowOverlap="1" wp14:anchorId="5B16444E" wp14:editId="0047521C">
                    <wp:simplePos x="0" y="0"/>
                    <wp:positionH relativeFrom="column">
                      <wp:posOffset>1652905</wp:posOffset>
                    </wp:positionH>
                    <wp:positionV relativeFrom="paragraph">
                      <wp:posOffset>116840</wp:posOffset>
                    </wp:positionV>
                    <wp:extent cx="2192020" cy="2190115"/>
                    <wp:effectExtent l="19050" t="0" r="0" b="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92020" cy="2190115"/>
                            </a:xfrm>
                            <a:prstGeom prst="ellipse">
                              <a:avLst/>
                            </a:prstGeom>
                            <a:ln>
                              <a:noFill/>
                            </a:ln>
                            <a:effectLst>
                              <a:softEdge rad="112500"/>
                            </a:effectLst>
                          </pic:spPr>
                        </pic:pic>
                      </a:graphicData>
                    </a:graphic>
                  </wp:anchor>
                </w:drawing>
              </w:r>
            </w:p>
            <w:p w14:paraId="10876D20" w14:textId="77777777" w:rsidR="009628CE" w:rsidRPr="001B53A8" w:rsidRDefault="009628CE" w:rsidP="006B6E0C">
              <w:pPr>
                <w:pStyle w:val="NoSpacing"/>
                <w:spacing w:before="0" w:after="0" w:line="240" w:lineRule="auto"/>
                <w:jc w:val="center"/>
                <w:rPr>
                  <w:b/>
                  <w:bCs/>
                  <w:lang w:val="sr-Latn-BA"/>
                </w:rPr>
              </w:pPr>
            </w:p>
            <w:p w14:paraId="36720CDD" w14:textId="77777777" w:rsidR="009628CE" w:rsidRPr="001B53A8" w:rsidRDefault="009628CE" w:rsidP="006B6E0C">
              <w:pPr>
                <w:pStyle w:val="NoSpacing"/>
                <w:spacing w:before="0" w:after="0" w:line="240" w:lineRule="auto"/>
                <w:jc w:val="center"/>
                <w:rPr>
                  <w:b/>
                  <w:bCs/>
                  <w:lang w:val="sr-Latn-BA"/>
                </w:rPr>
              </w:pPr>
            </w:p>
            <w:p w14:paraId="50644284" w14:textId="77777777" w:rsidR="009628CE" w:rsidRPr="001B53A8" w:rsidRDefault="009628CE" w:rsidP="006B6E0C">
              <w:pPr>
                <w:pStyle w:val="NoSpacing"/>
                <w:spacing w:before="0" w:after="0" w:line="240" w:lineRule="auto"/>
                <w:jc w:val="center"/>
                <w:rPr>
                  <w:b/>
                  <w:bCs/>
                  <w:lang w:val="sr-Latn-BA"/>
                </w:rPr>
              </w:pPr>
            </w:p>
            <w:p w14:paraId="31589FB1" w14:textId="77777777" w:rsidR="009628CE" w:rsidRPr="001B53A8" w:rsidRDefault="009628CE" w:rsidP="006B6E0C">
              <w:pPr>
                <w:pStyle w:val="NoSpacing"/>
                <w:spacing w:before="0" w:after="0" w:line="240" w:lineRule="auto"/>
                <w:jc w:val="center"/>
                <w:rPr>
                  <w:b/>
                  <w:bCs/>
                  <w:lang w:val="sr-Latn-BA"/>
                </w:rPr>
              </w:pPr>
              <w:r w:rsidRPr="001B53A8">
                <w:rPr>
                  <w:b/>
                  <w:bCs/>
                  <w:noProof/>
                  <w:lang w:val="sr-Latn-BA"/>
                </w:rPr>
                <w:drawing>
                  <wp:anchor distT="0" distB="0" distL="114300" distR="114300" simplePos="0" relativeHeight="251659264" behindDoc="1" locked="0" layoutInCell="1" allowOverlap="1" wp14:anchorId="4B25B39E" wp14:editId="00689E21">
                    <wp:simplePos x="0" y="0"/>
                    <wp:positionH relativeFrom="column">
                      <wp:posOffset>-34925</wp:posOffset>
                    </wp:positionH>
                    <wp:positionV relativeFrom="paragraph">
                      <wp:posOffset>220345</wp:posOffset>
                    </wp:positionV>
                    <wp:extent cx="5560060" cy="3696335"/>
                    <wp:effectExtent l="304800" t="266700" r="326390" b="1447165"/>
                    <wp:wrapNone/>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tretch>
                              <a:fillRect/>
                            </a:stretch>
                          </pic:blipFill>
                          <pic:spPr bwMode="auto">
                            <a:xfrm>
                              <a:off x="0" y="0"/>
                              <a:ext cx="5560060" cy="369633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reflection blurRad="6350" stA="52000" endA="300" endPos="35000" dir="5400000" sy="-100000" algn="bl" rotWithShape="0"/>
                            </a:effectLst>
                          </pic:spPr>
                        </pic:pic>
                      </a:graphicData>
                    </a:graphic>
                  </wp:anchor>
                </w:drawing>
              </w:r>
            </w:p>
            <w:p w14:paraId="2FF305B2" w14:textId="77777777" w:rsidR="009628CE" w:rsidRPr="001B53A8" w:rsidRDefault="009628CE" w:rsidP="006B6E0C">
              <w:pPr>
                <w:pStyle w:val="NoSpacing"/>
                <w:spacing w:before="0" w:after="0" w:line="240" w:lineRule="auto"/>
                <w:jc w:val="center"/>
                <w:rPr>
                  <w:b/>
                  <w:bCs/>
                  <w:lang w:val="sr-Latn-BA"/>
                </w:rPr>
              </w:pPr>
            </w:p>
            <w:p w14:paraId="192E4094" w14:textId="77777777" w:rsidR="009628CE" w:rsidRPr="001B53A8" w:rsidRDefault="009628CE" w:rsidP="006B6E0C">
              <w:pPr>
                <w:pStyle w:val="NoSpacing"/>
                <w:spacing w:before="0" w:after="0" w:line="240" w:lineRule="auto"/>
                <w:jc w:val="center"/>
                <w:rPr>
                  <w:b/>
                  <w:bCs/>
                  <w:lang w:val="sr-Latn-BA"/>
                </w:rPr>
              </w:pPr>
            </w:p>
            <w:p w14:paraId="1E70291C" w14:textId="77777777" w:rsidR="009628CE" w:rsidRPr="001B53A8" w:rsidRDefault="009628CE" w:rsidP="006B6E0C">
              <w:pPr>
                <w:pStyle w:val="NoSpacing"/>
                <w:spacing w:before="0" w:after="0" w:line="240" w:lineRule="auto"/>
                <w:jc w:val="center"/>
                <w:rPr>
                  <w:b/>
                  <w:bCs/>
                  <w:lang w:val="sr-Latn-BA"/>
                </w:rPr>
              </w:pPr>
            </w:p>
            <w:p w14:paraId="4FE5EB9E" w14:textId="77777777" w:rsidR="009628CE" w:rsidRPr="001B53A8" w:rsidRDefault="009628CE" w:rsidP="006B6E0C">
              <w:pPr>
                <w:pStyle w:val="NoSpacing"/>
                <w:spacing w:before="0" w:after="0" w:line="240" w:lineRule="auto"/>
                <w:jc w:val="center"/>
                <w:rPr>
                  <w:b/>
                  <w:bCs/>
                  <w:lang w:val="sr-Latn-BA"/>
                </w:rPr>
              </w:pPr>
            </w:p>
            <w:p w14:paraId="428CDB13" w14:textId="77777777" w:rsidR="009628CE" w:rsidRPr="001B53A8" w:rsidRDefault="009628CE" w:rsidP="006B6E0C">
              <w:pPr>
                <w:pStyle w:val="NoSpacing"/>
                <w:spacing w:before="0" w:after="0" w:line="240" w:lineRule="auto"/>
                <w:jc w:val="center"/>
                <w:rPr>
                  <w:b/>
                  <w:bCs/>
                  <w:lang w:val="sr-Latn-BA"/>
                </w:rPr>
              </w:pPr>
            </w:p>
            <w:p w14:paraId="30BD371A" w14:textId="77777777" w:rsidR="009628CE" w:rsidRPr="001B53A8" w:rsidRDefault="009628CE" w:rsidP="006B6E0C">
              <w:pPr>
                <w:pStyle w:val="NoSpacing"/>
                <w:spacing w:before="0" w:after="0" w:line="240" w:lineRule="auto"/>
                <w:jc w:val="center"/>
                <w:rPr>
                  <w:b/>
                  <w:bCs/>
                  <w:lang w:val="sr-Latn-BA"/>
                </w:rPr>
              </w:pPr>
            </w:p>
            <w:p w14:paraId="65F7BA0F" w14:textId="77777777" w:rsidR="009628CE" w:rsidRPr="001B53A8" w:rsidRDefault="009628CE" w:rsidP="006B6E0C">
              <w:pPr>
                <w:pStyle w:val="NoSpacing"/>
                <w:spacing w:before="0" w:after="0" w:line="240" w:lineRule="auto"/>
                <w:jc w:val="center"/>
                <w:rPr>
                  <w:b/>
                  <w:bCs/>
                  <w:sz w:val="28"/>
                  <w:lang w:val="sr-Latn-BA"/>
                </w:rPr>
              </w:pPr>
            </w:p>
            <w:p w14:paraId="6BA9B494" w14:textId="77777777" w:rsidR="009628CE" w:rsidRPr="001B53A8" w:rsidRDefault="009628CE" w:rsidP="006B6E0C">
              <w:pPr>
                <w:pStyle w:val="NoSpacing"/>
                <w:spacing w:before="0" w:after="0" w:line="240" w:lineRule="auto"/>
                <w:jc w:val="center"/>
                <w:rPr>
                  <w:b/>
                  <w:bCs/>
                  <w:sz w:val="28"/>
                  <w:lang w:val="sr-Latn-BA"/>
                </w:rPr>
              </w:pPr>
            </w:p>
            <w:p w14:paraId="68817784" w14:textId="77777777" w:rsidR="009628CE" w:rsidRPr="001B53A8" w:rsidRDefault="009628CE" w:rsidP="006B6E0C">
              <w:pPr>
                <w:pStyle w:val="NoSpacing"/>
                <w:spacing w:before="0" w:after="0" w:line="240" w:lineRule="auto"/>
                <w:jc w:val="center"/>
                <w:rPr>
                  <w:b/>
                  <w:bCs/>
                  <w:sz w:val="36"/>
                  <w:lang w:val="sr-Latn-BA"/>
                </w:rPr>
              </w:pPr>
            </w:p>
            <w:p w14:paraId="49D2F691" w14:textId="77777777" w:rsidR="009628CE" w:rsidRPr="001B53A8" w:rsidRDefault="009628CE" w:rsidP="006B6E0C">
              <w:pPr>
                <w:pStyle w:val="NoSpacing"/>
                <w:spacing w:before="0" w:after="0" w:line="240" w:lineRule="auto"/>
                <w:jc w:val="center"/>
                <w:rPr>
                  <w:b/>
                  <w:bCs/>
                  <w:sz w:val="36"/>
                  <w:lang w:val="sr-Latn-BA"/>
                </w:rPr>
              </w:pPr>
            </w:p>
            <w:p w14:paraId="3D49FCEE" w14:textId="77777777" w:rsidR="009628CE" w:rsidRPr="001B53A8" w:rsidRDefault="009628CE" w:rsidP="006B6E0C">
              <w:pPr>
                <w:pStyle w:val="NoSpacing"/>
                <w:spacing w:before="0" w:after="0" w:line="240" w:lineRule="auto"/>
                <w:jc w:val="center"/>
                <w:rPr>
                  <w:b/>
                  <w:bCs/>
                  <w:sz w:val="36"/>
                  <w:lang w:val="sr-Latn-BA"/>
                </w:rPr>
              </w:pPr>
            </w:p>
            <w:p w14:paraId="5A7911A6" w14:textId="77777777" w:rsidR="009628CE" w:rsidRPr="001B53A8" w:rsidRDefault="009628CE" w:rsidP="006B6E0C">
              <w:pPr>
                <w:pStyle w:val="NoSpacing"/>
                <w:spacing w:before="0" w:after="0" w:line="240" w:lineRule="auto"/>
                <w:jc w:val="center"/>
                <w:rPr>
                  <w:b/>
                  <w:bCs/>
                  <w:sz w:val="36"/>
                  <w:lang w:val="sr-Latn-BA"/>
                </w:rPr>
              </w:pPr>
            </w:p>
            <w:p w14:paraId="71A6E950" w14:textId="77777777" w:rsidR="009628CE" w:rsidRPr="001B53A8" w:rsidRDefault="009628CE" w:rsidP="006B6E0C">
              <w:pPr>
                <w:pStyle w:val="NoSpacing"/>
                <w:spacing w:before="0" w:after="0" w:line="240" w:lineRule="auto"/>
                <w:jc w:val="center"/>
                <w:rPr>
                  <w:b/>
                  <w:bCs/>
                  <w:sz w:val="36"/>
                  <w:lang w:val="sr-Latn-BA"/>
                </w:rPr>
              </w:pPr>
            </w:p>
            <w:p w14:paraId="2B51A45D" w14:textId="4B1F8109" w:rsidR="009628CE" w:rsidRPr="001B53A8" w:rsidRDefault="00EC330F" w:rsidP="006B6E0C">
              <w:pPr>
                <w:pStyle w:val="NoSpacing"/>
                <w:spacing w:before="0" w:after="0" w:line="240" w:lineRule="auto"/>
                <w:jc w:val="center"/>
                <w:rPr>
                  <w:rFonts w:eastAsiaTheme="majorEastAsia"/>
                  <w:b/>
                  <w:sz w:val="48"/>
                  <w:szCs w:val="80"/>
                  <w:lang w:val="sr-Latn-BA"/>
                </w:rPr>
              </w:pPr>
              <w:r>
                <w:rPr>
                  <w:rFonts w:eastAsiaTheme="majorEastAsia"/>
                  <w:b/>
                  <w:sz w:val="48"/>
                  <w:szCs w:val="80"/>
                  <w:lang w:val="sr-Latn-BA"/>
                </w:rPr>
                <w:t>Izvještaj</w:t>
              </w:r>
              <w:r w:rsidR="009628CE" w:rsidRPr="001B53A8">
                <w:rPr>
                  <w:rFonts w:eastAsiaTheme="majorEastAsia"/>
                  <w:b/>
                  <w:sz w:val="48"/>
                  <w:szCs w:val="80"/>
                  <w:lang w:val="sr-Latn-BA"/>
                </w:rPr>
                <w:t xml:space="preserve"> </w:t>
              </w:r>
              <w:r>
                <w:rPr>
                  <w:rFonts w:eastAsiaTheme="majorEastAsia"/>
                  <w:b/>
                  <w:sz w:val="48"/>
                  <w:szCs w:val="80"/>
                  <w:lang w:val="sr-Latn-BA"/>
                </w:rPr>
                <w:t>o</w:t>
              </w:r>
              <w:r w:rsidR="009628CE" w:rsidRPr="001B53A8">
                <w:rPr>
                  <w:rFonts w:eastAsiaTheme="majorEastAsia"/>
                  <w:b/>
                  <w:sz w:val="48"/>
                  <w:szCs w:val="80"/>
                  <w:lang w:val="sr-Latn-BA"/>
                </w:rPr>
                <w:t xml:space="preserve"> </w:t>
              </w:r>
              <w:r>
                <w:rPr>
                  <w:rFonts w:eastAsiaTheme="majorEastAsia"/>
                  <w:b/>
                  <w:sz w:val="48"/>
                  <w:szCs w:val="80"/>
                  <w:lang w:val="sr-Latn-BA"/>
                </w:rPr>
                <w:t>radu</w:t>
              </w:r>
              <w:r w:rsidR="009628CE" w:rsidRPr="001B53A8">
                <w:rPr>
                  <w:rFonts w:eastAsiaTheme="majorEastAsia"/>
                  <w:b/>
                  <w:sz w:val="48"/>
                  <w:szCs w:val="80"/>
                  <w:lang w:val="sr-Latn-BA"/>
                </w:rPr>
                <w:t xml:space="preserve"> </w:t>
              </w:r>
            </w:p>
            <w:p w14:paraId="761B58D3" w14:textId="255CD3E1" w:rsidR="009628CE" w:rsidRPr="001B53A8" w:rsidRDefault="00EC330F" w:rsidP="006B6E0C">
              <w:pPr>
                <w:pStyle w:val="NoSpacing"/>
                <w:spacing w:before="0" w:after="0" w:line="240" w:lineRule="auto"/>
                <w:jc w:val="center"/>
                <w:rPr>
                  <w:rFonts w:eastAsiaTheme="majorEastAsia"/>
                  <w:b/>
                  <w:sz w:val="32"/>
                  <w:szCs w:val="80"/>
                  <w:lang w:val="sr-Latn-BA"/>
                </w:rPr>
              </w:pPr>
              <w:r>
                <w:rPr>
                  <w:rFonts w:eastAsiaTheme="majorEastAsia"/>
                  <w:b/>
                  <w:sz w:val="32"/>
                  <w:szCs w:val="80"/>
                  <w:lang w:val="sr-Latn-BA"/>
                </w:rPr>
                <w:t>za</w:t>
              </w:r>
              <w:r w:rsidR="000A6D1E" w:rsidRPr="001B53A8">
                <w:rPr>
                  <w:rFonts w:eastAsiaTheme="majorEastAsia"/>
                  <w:b/>
                  <w:sz w:val="32"/>
                  <w:szCs w:val="80"/>
                  <w:lang w:val="sr-Latn-BA"/>
                </w:rPr>
                <w:t xml:space="preserve"> </w:t>
              </w:r>
              <w:r w:rsidR="00ED706F" w:rsidRPr="001B53A8">
                <w:rPr>
                  <w:rFonts w:eastAsiaTheme="majorEastAsia"/>
                  <w:b/>
                  <w:sz w:val="32"/>
                  <w:szCs w:val="80"/>
                  <w:lang w:val="sr-Latn-BA"/>
                </w:rPr>
                <w:t>202</w:t>
              </w:r>
              <w:r w:rsidR="0060565E" w:rsidRPr="001B53A8">
                <w:rPr>
                  <w:rFonts w:eastAsiaTheme="majorEastAsia"/>
                  <w:b/>
                  <w:sz w:val="32"/>
                  <w:szCs w:val="80"/>
                  <w:lang w:val="sr-Latn-BA"/>
                </w:rPr>
                <w:t>3</w:t>
              </w:r>
              <w:r w:rsidR="009628CE" w:rsidRPr="001B53A8">
                <w:rPr>
                  <w:rFonts w:eastAsiaTheme="majorEastAsia"/>
                  <w:b/>
                  <w:sz w:val="32"/>
                  <w:szCs w:val="80"/>
                  <w:lang w:val="sr-Latn-BA"/>
                </w:rPr>
                <w:t xml:space="preserve">. </w:t>
              </w:r>
              <w:r>
                <w:rPr>
                  <w:rFonts w:eastAsiaTheme="majorEastAsia"/>
                  <w:b/>
                  <w:sz w:val="32"/>
                  <w:szCs w:val="80"/>
                  <w:lang w:val="sr-Latn-BA"/>
                </w:rPr>
                <w:t>godinu</w:t>
              </w:r>
            </w:p>
            <w:p w14:paraId="122B9D14" w14:textId="77777777" w:rsidR="009628CE" w:rsidRPr="001B53A8" w:rsidRDefault="009628CE" w:rsidP="006B6E0C">
              <w:pPr>
                <w:pStyle w:val="NoSpacing"/>
                <w:spacing w:before="0" w:after="0" w:line="240" w:lineRule="auto"/>
                <w:jc w:val="center"/>
                <w:rPr>
                  <w:rFonts w:eastAsiaTheme="majorEastAsia"/>
                  <w:b/>
                  <w:sz w:val="32"/>
                  <w:szCs w:val="80"/>
                  <w:lang w:val="sr-Latn-BA"/>
                </w:rPr>
              </w:pPr>
            </w:p>
            <w:p w14:paraId="2E35B6A6" w14:textId="77777777" w:rsidR="009628CE" w:rsidRPr="001B53A8" w:rsidRDefault="009628CE" w:rsidP="006B6E0C">
              <w:pPr>
                <w:pStyle w:val="NoSpacing"/>
                <w:spacing w:before="0" w:after="0" w:line="240" w:lineRule="auto"/>
                <w:jc w:val="center"/>
                <w:rPr>
                  <w:rFonts w:eastAsiaTheme="majorEastAsia"/>
                  <w:b/>
                  <w:sz w:val="32"/>
                  <w:szCs w:val="80"/>
                  <w:lang w:val="sr-Latn-BA"/>
                </w:rPr>
              </w:pPr>
            </w:p>
            <w:p w14:paraId="5DACC27D" w14:textId="77777777" w:rsidR="009628CE" w:rsidRPr="001B53A8" w:rsidRDefault="009628CE" w:rsidP="006B6E0C">
              <w:pPr>
                <w:pStyle w:val="NoSpacing"/>
                <w:spacing w:before="0" w:after="0" w:line="240" w:lineRule="auto"/>
                <w:jc w:val="center"/>
                <w:rPr>
                  <w:rFonts w:eastAsiaTheme="majorEastAsia"/>
                  <w:b/>
                  <w:sz w:val="32"/>
                  <w:szCs w:val="80"/>
                  <w:lang w:val="sr-Latn-BA"/>
                </w:rPr>
              </w:pPr>
            </w:p>
            <w:p w14:paraId="47AE1A7D" w14:textId="77777777" w:rsidR="009628CE" w:rsidRPr="001B53A8" w:rsidRDefault="009628CE" w:rsidP="006B6E0C">
              <w:pPr>
                <w:pStyle w:val="NoSpacing"/>
                <w:spacing w:before="0" w:after="0" w:line="240" w:lineRule="auto"/>
                <w:jc w:val="center"/>
                <w:rPr>
                  <w:rFonts w:eastAsiaTheme="majorEastAsia"/>
                  <w:b/>
                  <w:sz w:val="32"/>
                  <w:szCs w:val="80"/>
                  <w:lang w:val="sr-Latn-BA"/>
                </w:rPr>
              </w:pPr>
            </w:p>
            <w:p w14:paraId="7D3B0885" w14:textId="77777777" w:rsidR="009628CE" w:rsidRPr="001B53A8" w:rsidRDefault="009628CE" w:rsidP="006B6E0C">
              <w:pPr>
                <w:pStyle w:val="NoSpacing"/>
                <w:spacing w:before="0" w:after="0" w:line="240" w:lineRule="auto"/>
                <w:jc w:val="center"/>
                <w:rPr>
                  <w:rFonts w:eastAsiaTheme="majorEastAsia"/>
                  <w:b/>
                  <w:sz w:val="32"/>
                  <w:szCs w:val="80"/>
                  <w:lang w:val="sr-Latn-BA"/>
                </w:rPr>
              </w:pPr>
            </w:p>
            <w:p w14:paraId="5CC2D1B9" w14:textId="77777777" w:rsidR="009628CE" w:rsidRPr="001B53A8" w:rsidRDefault="009628CE" w:rsidP="006B6E0C">
              <w:pPr>
                <w:pStyle w:val="NoSpacing"/>
                <w:spacing w:before="0" w:after="0" w:line="240" w:lineRule="auto"/>
                <w:jc w:val="center"/>
                <w:rPr>
                  <w:rFonts w:eastAsiaTheme="majorEastAsia"/>
                  <w:b/>
                  <w:sz w:val="32"/>
                  <w:szCs w:val="80"/>
                  <w:lang w:val="sr-Latn-BA"/>
                </w:rPr>
              </w:pPr>
            </w:p>
            <w:p w14:paraId="38F48657" w14:textId="77777777" w:rsidR="009628CE" w:rsidRPr="001B53A8" w:rsidRDefault="009628CE" w:rsidP="006B6E0C">
              <w:pPr>
                <w:pStyle w:val="NoSpacing"/>
                <w:spacing w:before="0" w:after="0" w:line="240" w:lineRule="auto"/>
                <w:jc w:val="center"/>
                <w:rPr>
                  <w:rFonts w:eastAsiaTheme="majorEastAsia"/>
                  <w:b/>
                  <w:sz w:val="32"/>
                  <w:szCs w:val="80"/>
                  <w:lang w:val="sr-Latn-BA"/>
                </w:rPr>
              </w:pPr>
            </w:p>
            <w:p w14:paraId="17D2932C" w14:textId="77777777" w:rsidR="009628CE" w:rsidRPr="001B53A8" w:rsidRDefault="009628CE" w:rsidP="006B6E0C">
              <w:pPr>
                <w:pStyle w:val="NoSpacing"/>
                <w:spacing w:before="0" w:after="0" w:line="240" w:lineRule="auto"/>
                <w:jc w:val="center"/>
                <w:rPr>
                  <w:rFonts w:eastAsiaTheme="majorEastAsia"/>
                  <w:b/>
                  <w:sz w:val="32"/>
                  <w:szCs w:val="80"/>
                  <w:lang w:val="sr-Latn-BA"/>
                </w:rPr>
              </w:pPr>
            </w:p>
            <w:p w14:paraId="0464B11E" w14:textId="77777777" w:rsidR="009628CE" w:rsidRPr="001B53A8" w:rsidRDefault="009628CE" w:rsidP="006B6E0C">
              <w:pPr>
                <w:pStyle w:val="NoSpacing"/>
                <w:spacing w:before="0" w:after="0" w:line="240" w:lineRule="auto"/>
                <w:jc w:val="center"/>
                <w:rPr>
                  <w:rFonts w:eastAsiaTheme="majorEastAsia"/>
                  <w:b/>
                  <w:sz w:val="32"/>
                  <w:szCs w:val="80"/>
                  <w:lang w:val="sr-Latn-BA"/>
                </w:rPr>
              </w:pPr>
            </w:p>
            <w:p w14:paraId="25EB6CDE" w14:textId="77777777" w:rsidR="009628CE" w:rsidRPr="001B53A8" w:rsidRDefault="009628CE" w:rsidP="006B6E0C">
              <w:pPr>
                <w:pStyle w:val="NoSpacing"/>
                <w:spacing w:before="0" w:after="0" w:line="240" w:lineRule="auto"/>
                <w:jc w:val="center"/>
                <w:rPr>
                  <w:rFonts w:eastAsiaTheme="majorEastAsia"/>
                  <w:b/>
                  <w:sz w:val="32"/>
                  <w:szCs w:val="80"/>
                  <w:lang w:val="sr-Latn-BA"/>
                </w:rPr>
              </w:pPr>
            </w:p>
            <w:p w14:paraId="53BC577D" w14:textId="77777777" w:rsidR="009628CE" w:rsidRPr="001B53A8" w:rsidRDefault="009628CE" w:rsidP="006B6E0C">
              <w:pPr>
                <w:pStyle w:val="NoSpacing"/>
                <w:spacing w:before="0" w:after="0" w:line="240" w:lineRule="auto"/>
                <w:jc w:val="center"/>
                <w:rPr>
                  <w:rFonts w:eastAsiaTheme="majorEastAsia"/>
                  <w:b/>
                  <w:sz w:val="32"/>
                  <w:szCs w:val="80"/>
                  <w:lang w:val="sr-Latn-BA"/>
                </w:rPr>
              </w:pPr>
            </w:p>
            <w:p w14:paraId="7B754440" w14:textId="77777777" w:rsidR="009628CE" w:rsidRPr="001B53A8" w:rsidRDefault="009628CE" w:rsidP="006B6E0C">
              <w:pPr>
                <w:pStyle w:val="NoSpacing"/>
                <w:spacing w:before="0" w:after="0" w:line="240" w:lineRule="auto"/>
                <w:jc w:val="center"/>
                <w:rPr>
                  <w:rFonts w:eastAsiaTheme="majorEastAsia"/>
                  <w:b/>
                  <w:sz w:val="32"/>
                  <w:szCs w:val="80"/>
                  <w:lang w:val="sr-Latn-BA"/>
                </w:rPr>
              </w:pPr>
            </w:p>
            <w:p w14:paraId="5CC85664" w14:textId="77777777" w:rsidR="009628CE" w:rsidRPr="001B53A8" w:rsidRDefault="009628CE" w:rsidP="006B6E0C">
              <w:pPr>
                <w:pStyle w:val="NoSpacing"/>
                <w:spacing w:before="0" w:after="0" w:line="240" w:lineRule="auto"/>
                <w:jc w:val="center"/>
                <w:rPr>
                  <w:rFonts w:eastAsiaTheme="majorEastAsia"/>
                  <w:b/>
                  <w:sz w:val="32"/>
                  <w:szCs w:val="80"/>
                  <w:lang w:val="sr-Latn-BA"/>
                </w:rPr>
              </w:pPr>
            </w:p>
            <w:p w14:paraId="0CA72002" w14:textId="77777777" w:rsidR="009628CE" w:rsidRPr="001B53A8" w:rsidRDefault="009628CE" w:rsidP="006B6E0C">
              <w:pPr>
                <w:pStyle w:val="NoSpacing"/>
                <w:spacing w:before="0" w:after="0" w:line="240" w:lineRule="auto"/>
                <w:jc w:val="center"/>
                <w:rPr>
                  <w:rFonts w:eastAsiaTheme="majorEastAsia"/>
                  <w:b/>
                  <w:sz w:val="32"/>
                  <w:szCs w:val="80"/>
                  <w:lang w:val="sr-Latn-BA"/>
                </w:rPr>
              </w:pPr>
            </w:p>
            <w:p w14:paraId="0283B2DD" w14:textId="07F65777" w:rsidR="009628CE" w:rsidRPr="001B53A8" w:rsidRDefault="009628CE" w:rsidP="006B6E0C">
              <w:pPr>
                <w:pStyle w:val="NoSpacing"/>
                <w:spacing w:before="0" w:after="0" w:line="240" w:lineRule="auto"/>
                <w:rPr>
                  <w:b/>
                  <w:bCs/>
                  <w:sz w:val="28"/>
                  <w:lang w:val="sr-Latn-BA"/>
                </w:rPr>
              </w:pPr>
            </w:p>
            <w:p w14:paraId="108626C8" w14:textId="77777777" w:rsidR="001B53A8" w:rsidRPr="001B53A8" w:rsidRDefault="001B53A8" w:rsidP="006B6E0C">
              <w:pPr>
                <w:pStyle w:val="NoSpacing"/>
                <w:spacing w:before="0" w:after="0" w:line="240" w:lineRule="auto"/>
                <w:rPr>
                  <w:b/>
                  <w:bCs/>
                  <w:sz w:val="28"/>
                  <w:lang w:val="sr-Latn-BA"/>
                </w:rPr>
              </w:pPr>
            </w:p>
            <w:p w14:paraId="11717C5D" w14:textId="77777777" w:rsidR="009628CE" w:rsidRPr="001B53A8" w:rsidRDefault="009628CE" w:rsidP="006B6E0C">
              <w:pPr>
                <w:pStyle w:val="NoSpacing"/>
                <w:spacing w:before="0" w:after="0" w:line="240" w:lineRule="auto"/>
                <w:jc w:val="center"/>
                <w:rPr>
                  <w:b/>
                  <w:bCs/>
                  <w:sz w:val="28"/>
                  <w:lang w:val="sr-Latn-BA"/>
                </w:rPr>
              </w:pPr>
            </w:p>
            <w:p w14:paraId="49BCB87B" w14:textId="2D53AD6D" w:rsidR="009628CE" w:rsidRPr="001B53A8" w:rsidRDefault="00EC330F" w:rsidP="006B6E0C">
              <w:pPr>
                <w:pStyle w:val="NoSpacing"/>
                <w:spacing w:before="0" w:after="0" w:line="240" w:lineRule="auto"/>
                <w:jc w:val="center"/>
                <w:rPr>
                  <w:b/>
                  <w:bCs/>
                  <w:szCs w:val="24"/>
                  <w:lang w:val="sr-Latn-BA"/>
                </w:rPr>
              </w:pPr>
              <w:r>
                <w:rPr>
                  <w:b/>
                  <w:bCs/>
                  <w:szCs w:val="24"/>
                  <w:lang w:val="sr-Latn-BA"/>
                </w:rPr>
                <w:t>Banja</w:t>
              </w:r>
              <w:r w:rsidR="009628CE" w:rsidRPr="001B53A8">
                <w:rPr>
                  <w:b/>
                  <w:bCs/>
                  <w:szCs w:val="24"/>
                  <w:lang w:val="sr-Latn-BA"/>
                </w:rPr>
                <w:t xml:space="preserve"> </w:t>
              </w:r>
              <w:r>
                <w:rPr>
                  <w:b/>
                  <w:bCs/>
                  <w:szCs w:val="24"/>
                  <w:lang w:val="sr-Latn-BA"/>
                </w:rPr>
                <w:t>Luka</w:t>
              </w:r>
              <w:r w:rsidR="009628CE" w:rsidRPr="001B53A8">
                <w:rPr>
                  <w:b/>
                  <w:bCs/>
                  <w:szCs w:val="24"/>
                  <w:lang w:val="sr-Latn-BA"/>
                </w:rPr>
                <w:t xml:space="preserve">, </w:t>
              </w:r>
              <w:r>
                <w:rPr>
                  <w:b/>
                  <w:bCs/>
                  <w:szCs w:val="24"/>
                  <w:lang w:val="sr-Latn-BA"/>
                </w:rPr>
                <w:t>maj</w:t>
              </w:r>
              <w:r w:rsidR="009628CE" w:rsidRPr="001B53A8">
                <w:rPr>
                  <w:b/>
                  <w:bCs/>
                  <w:szCs w:val="24"/>
                  <w:lang w:val="sr-Latn-BA"/>
                </w:rPr>
                <w:t xml:space="preserve"> </w:t>
              </w:r>
              <w:r w:rsidR="004B4826" w:rsidRPr="001B53A8">
                <w:rPr>
                  <w:b/>
                  <w:bCs/>
                  <w:szCs w:val="24"/>
                  <w:lang w:val="sr-Latn-BA"/>
                </w:rPr>
                <w:t>202</w:t>
              </w:r>
              <w:r w:rsidR="0060565E" w:rsidRPr="001B53A8">
                <w:rPr>
                  <w:b/>
                  <w:bCs/>
                  <w:szCs w:val="24"/>
                  <w:lang w:val="sr-Latn-BA"/>
                </w:rPr>
                <w:t>4</w:t>
              </w:r>
              <w:r w:rsidR="009628CE" w:rsidRPr="001B53A8">
                <w:rPr>
                  <w:b/>
                  <w:bCs/>
                  <w:szCs w:val="24"/>
                  <w:lang w:val="sr-Latn-BA"/>
                </w:rPr>
                <w:t xml:space="preserve">. </w:t>
              </w:r>
              <w:r>
                <w:rPr>
                  <w:b/>
                  <w:bCs/>
                  <w:szCs w:val="24"/>
                  <w:lang w:val="sr-Latn-BA"/>
                </w:rPr>
                <w:t>godine</w:t>
              </w:r>
            </w:p>
            <w:tbl>
              <w:tblPr>
                <w:tblStyle w:val="LightList-Accent14"/>
                <w:tblW w:w="0" w:type="auto"/>
                <w:tblLook w:val="0400" w:firstRow="0" w:lastRow="0" w:firstColumn="0" w:lastColumn="0" w:noHBand="0" w:noVBand="1"/>
              </w:tblPr>
              <w:tblGrid>
                <w:gridCol w:w="4405"/>
                <w:gridCol w:w="4405"/>
              </w:tblGrid>
              <w:tr w:rsidR="009628CE" w:rsidRPr="001B53A8" w14:paraId="338F0209" w14:textId="77777777" w:rsidTr="00322730">
                <w:trPr>
                  <w:cnfStyle w:val="000000100000" w:firstRow="0" w:lastRow="0" w:firstColumn="0" w:lastColumn="0" w:oddVBand="0" w:evenVBand="0" w:oddHBand="1" w:evenHBand="0" w:firstRowFirstColumn="0" w:firstRowLastColumn="0" w:lastRowFirstColumn="0" w:lastRowLastColumn="0"/>
                </w:trPr>
                <w:tc>
                  <w:tcPr>
                    <w:tcW w:w="4405" w:type="dxa"/>
                  </w:tcPr>
                  <w:p w14:paraId="67FE161B" w14:textId="16E1D97E" w:rsidR="009628CE" w:rsidRPr="001B53A8" w:rsidRDefault="00EC330F" w:rsidP="006B6E0C">
                    <w:pPr>
                      <w:spacing w:after="0" w:line="240" w:lineRule="auto"/>
                      <w:ind w:firstLine="0"/>
                      <w:rPr>
                        <w:rFonts w:ascii="Times New Roman" w:hAnsi="Times New Roman" w:cs="Times New Roman"/>
                        <w:b/>
                        <w:lang w:val="sr-Latn-BA"/>
                      </w:rPr>
                    </w:pPr>
                    <w:r>
                      <w:rPr>
                        <w:rFonts w:ascii="Times New Roman" w:hAnsi="Times New Roman" w:cs="Times New Roman"/>
                        <w:b/>
                        <w:lang w:val="sr-Latn-BA"/>
                      </w:rPr>
                      <w:lastRenderedPageBreak/>
                      <w:t>Adresa</w:t>
                    </w:r>
                    <w:r w:rsidR="009628CE" w:rsidRPr="001B53A8">
                      <w:rPr>
                        <w:rFonts w:ascii="Times New Roman" w:hAnsi="Times New Roman" w:cs="Times New Roman"/>
                        <w:b/>
                        <w:lang w:val="sr-Latn-BA"/>
                      </w:rPr>
                      <w:t>:</w:t>
                    </w:r>
                  </w:p>
                </w:tc>
                <w:tc>
                  <w:tcPr>
                    <w:tcW w:w="4405" w:type="dxa"/>
                  </w:tcPr>
                  <w:p w14:paraId="19A2F855" w14:textId="35CDB405" w:rsidR="009628CE" w:rsidRPr="001B53A8" w:rsidRDefault="00EC330F" w:rsidP="006B6E0C">
                    <w:pPr>
                      <w:spacing w:after="0" w:line="240" w:lineRule="auto"/>
                      <w:jc w:val="right"/>
                      <w:rPr>
                        <w:rFonts w:ascii="Times New Roman" w:hAnsi="Times New Roman" w:cs="Times New Roman"/>
                        <w:lang w:val="sr-Latn-BA"/>
                      </w:rPr>
                    </w:pPr>
                    <w:r>
                      <w:rPr>
                        <w:rFonts w:ascii="Times New Roman" w:hAnsi="Times New Roman" w:cs="Times New Roman"/>
                        <w:lang w:val="sr-Latn-BA"/>
                      </w:rPr>
                      <w:t>Banja</w:t>
                    </w:r>
                    <w:r w:rsidR="009628CE" w:rsidRPr="001B53A8">
                      <w:rPr>
                        <w:rFonts w:ascii="Times New Roman" w:hAnsi="Times New Roman" w:cs="Times New Roman"/>
                        <w:lang w:val="sr-Latn-BA"/>
                      </w:rPr>
                      <w:t xml:space="preserve"> </w:t>
                    </w:r>
                    <w:r>
                      <w:rPr>
                        <w:rFonts w:ascii="Times New Roman" w:hAnsi="Times New Roman" w:cs="Times New Roman"/>
                        <w:lang w:val="sr-Latn-BA"/>
                      </w:rPr>
                      <w:t>Luka</w:t>
                    </w:r>
                  </w:p>
                  <w:p w14:paraId="1C1D8549" w14:textId="5D9757AA" w:rsidR="009628CE" w:rsidRPr="001B53A8" w:rsidRDefault="00EC330F" w:rsidP="006B6E0C">
                    <w:pPr>
                      <w:spacing w:after="0" w:line="240" w:lineRule="auto"/>
                      <w:jc w:val="right"/>
                      <w:rPr>
                        <w:rFonts w:ascii="Times New Roman" w:hAnsi="Times New Roman" w:cs="Times New Roman"/>
                        <w:lang w:val="sr-Latn-BA"/>
                      </w:rPr>
                    </w:pPr>
                    <w:r>
                      <w:rPr>
                        <w:rFonts w:ascii="Times New Roman" w:hAnsi="Times New Roman" w:cs="Times New Roman"/>
                        <w:lang w:val="sr-Latn-BA"/>
                      </w:rPr>
                      <w:t>Vuka</w:t>
                    </w:r>
                    <w:r w:rsidR="009628CE" w:rsidRPr="001B53A8">
                      <w:rPr>
                        <w:rFonts w:ascii="Times New Roman" w:hAnsi="Times New Roman" w:cs="Times New Roman"/>
                        <w:lang w:val="sr-Latn-BA"/>
                      </w:rPr>
                      <w:t xml:space="preserve"> </w:t>
                    </w:r>
                    <w:r>
                      <w:rPr>
                        <w:rFonts w:ascii="Times New Roman" w:hAnsi="Times New Roman" w:cs="Times New Roman"/>
                        <w:lang w:val="sr-Latn-BA"/>
                      </w:rPr>
                      <w:t>Karadžića</w:t>
                    </w:r>
                    <w:r w:rsidR="009628CE" w:rsidRPr="001B53A8">
                      <w:rPr>
                        <w:rFonts w:ascii="Times New Roman" w:hAnsi="Times New Roman" w:cs="Times New Roman"/>
                        <w:lang w:val="sr-Latn-BA"/>
                      </w:rPr>
                      <w:t xml:space="preserve"> 6</w:t>
                    </w:r>
                  </w:p>
                </w:tc>
              </w:tr>
              <w:tr w:rsidR="009628CE" w:rsidRPr="001B53A8" w14:paraId="0E7382CE" w14:textId="77777777" w:rsidTr="00322730">
                <w:tc>
                  <w:tcPr>
                    <w:tcW w:w="4405" w:type="dxa"/>
                  </w:tcPr>
                  <w:p w14:paraId="104DD5CF" w14:textId="451BA345" w:rsidR="009628CE" w:rsidRPr="001B53A8" w:rsidRDefault="00EC330F" w:rsidP="006B6E0C">
                    <w:pPr>
                      <w:spacing w:after="0" w:line="240" w:lineRule="auto"/>
                      <w:ind w:firstLine="0"/>
                      <w:rPr>
                        <w:rFonts w:ascii="Times New Roman" w:hAnsi="Times New Roman" w:cs="Times New Roman"/>
                        <w:b/>
                        <w:lang w:val="sr-Latn-BA"/>
                      </w:rPr>
                    </w:pPr>
                    <w:r>
                      <w:rPr>
                        <w:rFonts w:ascii="Times New Roman" w:hAnsi="Times New Roman" w:cs="Times New Roman"/>
                        <w:b/>
                        <w:lang w:val="sr-Latn-BA"/>
                      </w:rPr>
                      <w:t>Telefon</w:t>
                    </w:r>
                    <w:r w:rsidR="009628CE" w:rsidRPr="001B53A8">
                      <w:rPr>
                        <w:rFonts w:ascii="Times New Roman" w:hAnsi="Times New Roman" w:cs="Times New Roman"/>
                        <w:b/>
                        <w:lang w:val="sr-Latn-BA"/>
                      </w:rPr>
                      <w:t>(</w:t>
                    </w:r>
                    <w:r>
                      <w:rPr>
                        <w:rFonts w:ascii="Times New Roman" w:hAnsi="Times New Roman" w:cs="Times New Roman"/>
                        <w:b/>
                        <w:lang w:val="sr-Latn-BA"/>
                      </w:rPr>
                      <w:t>i</w:t>
                    </w:r>
                    <w:r w:rsidR="009628CE" w:rsidRPr="001B53A8">
                      <w:rPr>
                        <w:rFonts w:ascii="Times New Roman" w:hAnsi="Times New Roman" w:cs="Times New Roman"/>
                        <w:b/>
                        <w:lang w:val="sr-Latn-BA"/>
                      </w:rPr>
                      <w:t>):</w:t>
                    </w:r>
                  </w:p>
                </w:tc>
                <w:tc>
                  <w:tcPr>
                    <w:tcW w:w="4405" w:type="dxa"/>
                  </w:tcPr>
                  <w:p w14:paraId="15102511" w14:textId="77777777" w:rsidR="009628CE" w:rsidRPr="001B53A8" w:rsidRDefault="009628CE" w:rsidP="006B6E0C">
                    <w:pPr>
                      <w:spacing w:after="0" w:line="240" w:lineRule="auto"/>
                      <w:jc w:val="right"/>
                      <w:rPr>
                        <w:rFonts w:ascii="Times New Roman" w:hAnsi="Times New Roman" w:cs="Times New Roman"/>
                        <w:lang w:val="sr-Latn-BA"/>
                      </w:rPr>
                    </w:pPr>
                    <w:r w:rsidRPr="001B53A8">
                      <w:rPr>
                        <w:rFonts w:ascii="Times New Roman" w:hAnsi="Times New Roman" w:cs="Times New Roman"/>
                        <w:lang w:val="sr-Latn-BA"/>
                      </w:rPr>
                      <w:t>+387 51 218 356</w:t>
                    </w:r>
                  </w:p>
                  <w:p w14:paraId="276ABFDD" w14:textId="77777777" w:rsidR="009628CE" w:rsidRPr="001B53A8" w:rsidRDefault="009628CE" w:rsidP="006B6E0C">
                    <w:pPr>
                      <w:spacing w:after="0" w:line="240" w:lineRule="auto"/>
                      <w:jc w:val="right"/>
                      <w:rPr>
                        <w:rFonts w:ascii="Times New Roman" w:hAnsi="Times New Roman" w:cs="Times New Roman"/>
                        <w:lang w:val="sr-Latn-BA"/>
                      </w:rPr>
                    </w:pPr>
                    <w:r w:rsidRPr="001B53A8">
                      <w:rPr>
                        <w:rFonts w:ascii="Times New Roman" w:hAnsi="Times New Roman" w:cs="Times New Roman"/>
                        <w:lang w:val="sr-Latn-BA"/>
                      </w:rPr>
                      <w:t>+387 51 218 362</w:t>
                    </w:r>
                  </w:p>
                  <w:p w14:paraId="454F4E16" w14:textId="77777777" w:rsidR="009628CE" w:rsidRPr="001B53A8" w:rsidRDefault="009628CE" w:rsidP="006B6E0C">
                    <w:pPr>
                      <w:spacing w:after="0" w:line="240" w:lineRule="auto"/>
                      <w:jc w:val="right"/>
                      <w:rPr>
                        <w:rFonts w:ascii="Times New Roman" w:hAnsi="Times New Roman" w:cs="Times New Roman"/>
                        <w:lang w:val="sr-Latn-BA"/>
                      </w:rPr>
                    </w:pPr>
                    <w:r w:rsidRPr="001B53A8">
                      <w:rPr>
                        <w:rFonts w:ascii="Times New Roman" w:hAnsi="Times New Roman" w:cs="Times New Roman"/>
                        <w:lang w:val="sr-Latn-BA"/>
                      </w:rPr>
                      <w:t>+387 51 212 199</w:t>
                    </w:r>
                  </w:p>
                </w:tc>
              </w:tr>
              <w:tr w:rsidR="009628CE" w:rsidRPr="001B53A8" w14:paraId="1675319F" w14:textId="77777777" w:rsidTr="00322730">
                <w:trPr>
                  <w:cnfStyle w:val="000000100000" w:firstRow="0" w:lastRow="0" w:firstColumn="0" w:lastColumn="0" w:oddVBand="0" w:evenVBand="0" w:oddHBand="1" w:evenHBand="0" w:firstRowFirstColumn="0" w:firstRowLastColumn="0" w:lastRowFirstColumn="0" w:lastRowLastColumn="0"/>
                </w:trPr>
                <w:tc>
                  <w:tcPr>
                    <w:tcW w:w="4405" w:type="dxa"/>
                  </w:tcPr>
                  <w:p w14:paraId="006DC007" w14:textId="1A9B4C69" w:rsidR="009628CE" w:rsidRPr="001B53A8" w:rsidRDefault="00EC330F" w:rsidP="006B6E0C">
                    <w:pPr>
                      <w:spacing w:after="0" w:line="240" w:lineRule="auto"/>
                      <w:ind w:firstLine="0"/>
                      <w:rPr>
                        <w:rFonts w:ascii="Times New Roman" w:hAnsi="Times New Roman" w:cs="Times New Roman"/>
                        <w:b/>
                        <w:lang w:val="sr-Latn-BA"/>
                      </w:rPr>
                    </w:pPr>
                    <w:r>
                      <w:rPr>
                        <w:rFonts w:ascii="Times New Roman" w:hAnsi="Times New Roman" w:cs="Times New Roman"/>
                        <w:b/>
                        <w:lang w:val="sr-Latn-BA"/>
                      </w:rPr>
                      <w:t>Faks</w:t>
                    </w:r>
                    <w:r w:rsidR="009628CE" w:rsidRPr="001B53A8">
                      <w:rPr>
                        <w:rFonts w:ascii="Times New Roman" w:hAnsi="Times New Roman" w:cs="Times New Roman"/>
                        <w:b/>
                        <w:lang w:val="sr-Latn-BA"/>
                      </w:rPr>
                      <w:t>:</w:t>
                    </w:r>
                  </w:p>
                </w:tc>
                <w:tc>
                  <w:tcPr>
                    <w:tcW w:w="4405" w:type="dxa"/>
                  </w:tcPr>
                  <w:p w14:paraId="0D6C7FF2" w14:textId="77777777" w:rsidR="009628CE" w:rsidRPr="001B53A8" w:rsidRDefault="009628CE" w:rsidP="006B6E0C">
                    <w:pPr>
                      <w:spacing w:after="0" w:line="240" w:lineRule="auto"/>
                      <w:jc w:val="right"/>
                      <w:rPr>
                        <w:rFonts w:ascii="Times New Roman" w:hAnsi="Times New Roman" w:cs="Times New Roman"/>
                        <w:lang w:val="sr-Latn-BA"/>
                      </w:rPr>
                    </w:pPr>
                    <w:r w:rsidRPr="001B53A8">
                      <w:rPr>
                        <w:rFonts w:ascii="Times New Roman" w:hAnsi="Times New Roman" w:cs="Times New Roman"/>
                        <w:lang w:val="sr-Latn-BA"/>
                      </w:rPr>
                      <w:t>+387 51 218 361</w:t>
                    </w:r>
                  </w:p>
                </w:tc>
              </w:tr>
              <w:tr w:rsidR="009628CE" w:rsidRPr="001B53A8" w14:paraId="51227CA0" w14:textId="77777777" w:rsidTr="00322730">
                <w:tc>
                  <w:tcPr>
                    <w:tcW w:w="4405" w:type="dxa"/>
                  </w:tcPr>
                  <w:p w14:paraId="28FD636A" w14:textId="63E47365" w:rsidR="009628CE" w:rsidRPr="001B53A8" w:rsidRDefault="00EC330F" w:rsidP="006B6E0C">
                    <w:pPr>
                      <w:spacing w:after="0" w:line="240" w:lineRule="auto"/>
                      <w:ind w:firstLine="0"/>
                      <w:rPr>
                        <w:rFonts w:ascii="Times New Roman" w:hAnsi="Times New Roman" w:cs="Times New Roman"/>
                        <w:b/>
                        <w:lang w:val="sr-Latn-BA"/>
                      </w:rPr>
                    </w:pPr>
                    <w:r>
                      <w:rPr>
                        <w:rFonts w:ascii="Times New Roman" w:hAnsi="Times New Roman" w:cs="Times New Roman"/>
                        <w:b/>
                        <w:lang w:val="sr-Latn-BA"/>
                      </w:rPr>
                      <w:t>e</w:t>
                    </w:r>
                    <w:r w:rsidR="009628CE" w:rsidRPr="001B53A8">
                      <w:rPr>
                        <w:rFonts w:ascii="Times New Roman" w:hAnsi="Times New Roman" w:cs="Times New Roman"/>
                        <w:b/>
                        <w:lang w:val="sr-Latn-BA"/>
                      </w:rPr>
                      <w:t>-</w:t>
                    </w:r>
                    <w:r>
                      <w:rPr>
                        <w:rFonts w:ascii="Times New Roman" w:hAnsi="Times New Roman" w:cs="Times New Roman"/>
                        <w:b/>
                        <w:lang w:val="sr-Latn-BA"/>
                      </w:rPr>
                      <w:t>mail</w:t>
                    </w:r>
                    <w:r w:rsidR="009628CE" w:rsidRPr="001B53A8">
                      <w:rPr>
                        <w:rFonts w:ascii="Times New Roman" w:hAnsi="Times New Roman" w:cs="Times New Roman"/>
                        <w:b/>
                        <w:lang w:val="sr-Latn-BA"/>
                      </w:rPr>
                      <w:t xml:space="preserve">: </w:t>
                    </w:r>
                  </w:p>
                </w:tc>
                <w:tc>
                  <w:tcPr>
                    <w:tcW w:w="4405" w:type="dxa"/>
                  </w:tcPr>
                  <w:p w14:paraId="1BDB8FA5" w14:textId="42E45FDE" w:rsidR="009628CE" w:rsidRPr="001B53A8" w:rsidRDefault="00000000" w:rsidP="006B6E0C">
                    <w:pPr>
                      <w:spacing w:after="0" w:line="240" w:lineRule="auto"/>
                      <w:jc w:val="right"/>
                      <w:rPr>
                        <w:rFonts w:ascii="Times New Roman" w:hAnsi="Times New Roman" w:cs="Times New Roman"/>
                        <w:lang w:val="sr-Latn-BA"/>
                      </w:rPr>
                    </w:pPr>
                    <w:hyperlink r:id="rId10" w:history="1">
                      <w:r w:rsidR="00EC330F">
                        <w:rPr>
                          <w:rStyle w:val="Hyperlink"/>
                          <w:rFonts w:ascii="Times New Roman" w:hAnsi="Times New Roman" w:cs="Times New Roman"/>
                          <w:bCs/>
                          <w:lang w:val="sr-Latn-BA"/>
                        </w:rPr>
                        <w:t>kontakt</w:t>
                      </w:r>
                      <w:r w:rsidR="009628CE" w:rsidRPr="001B53A8">
                        <w:rPr>
                          <w:rStyle w:val="Hyperlink"/>
                          <w:rFonts w:ascii="Times New Roman" w:hAnsi="Times New Roman" w:cs="Times New Roman"/>
                          <w:bCs/>
                          <w:lang w:val="sr-Latn-BA"/>
                        </w:rPr>
                        <w:t>@</w:t>
                      </w:r>
                      <w:r w:rsidR="00EC330F">
                        <w:rPr>
                          <w:rStyle w:val="Hyperlink"/>
                          <w:rFonts w:ascii="Times New Roman" w:hAnsi="Times New Roman" w:cs="Times New Roman"/>
                          <w:bCs/>
                          <w:lang w:val="sr-Latn-BA"/>
                        </w:rPr>
                        <w:t>secrs</w:t>
                      </w:r>
                      <w:r w:rsidR="009628CE" w:rsidRPr="001B53A8">
                        <w:rPr>
                          <w:rStyle w:val="Hyperlink"/>
                          <w:rFonts w:ascii="Times New Roman" w:hAnsi="Times New Roman" w:cs="Times New Roman"/>
                          <w:bCs/>
                          <w:lang w:val="sr-Latn-BA"/>
                        </w:rPr>
                        <w:t>.</w:t>
                      </w:r>
                      <w:r w:rsidR="00EC330F">
                        <w:rPr>
                          <w:rStyle w:val="Hyperlink"/>
                          <w:rFonts w:ascii="Times New Roman" w:hAnsi="Times New Roman" w:cs="Times New Roman"/>
                          <w:bCs/>
                          <w:lang w:val="sr-Latn-BA"/>
                        </w:rPr>
                        <w:t>gov</w:t>
                      </w:r>
                      <w:r w:rsidR="009628CE" w:rsidRPr="001B53A8">
                        <w:rPr>
                          <w:rStyle w:val="Hyperlink"/>
                          <w:rFonts w:ascii="Times New Roman" w:hAnsi="Times New Roman" w:cs="Times New Roman"/>
                          <w:bCs/>
                          <w:lang w:val="sr-Latn-BA"/>
                        </w:rPr>
                        <w:t>.</w:t>
                      </w:r>
                      <w:r w:rsidR="00EC330F">
                        <w:rPr>
                          <w:rStyle w:val="Hyperlink"/>
                          <w:rFonts w:ascii="Times New Roman" w:hAnsi="Times New Roman" w:cs="Times New Roman"/>
                          <w:bCs/>
                          <w:lang w:val="sr-Latn-BA"/>
                        </w:rPr>
                        <w:t>ba</w:t>
                      </w:r>
                    </w:hyperlink>
                  </w:p>
                </w:tc>
              </w:tr>
              <w:tr w:rsidR="009628CE" w:rsidRPr="001B53A8" w14:paraId="5D1B19F7" w14:textId="77777777" w:rsidTr="00322730">
                <w:trPr>
                  <w:cnfStyle w:val="000000100000" w:firstRow="0" w:lastRow="0" w:firstColumn="0" w:lastColumn="0" w:oddVBand="0" w:evenVBand="0" w:oddHBand="1" w:evenHBand="0" w:firstRowFirstColumn="0" w:firstRowLastColumn="0" w:lastRowFirstColumn="0" w:lastRowLastColumn="0"/>
                </w:trPr>
                <w:tc>
                  <w:tcPr>
                    <w:tcW w:w="4405" w:type="dxa"/>
                  </w:tcPr>
                  <w:p w14:paraId="3313F9DA" w14:textId="06EA1D11" w:rsidR="009628CE" w:rsidRPr="001B53A8" w:rsidRDefault="009628CE" w:rsidP="006B6E0C">
                    <w:pPr>
                      <w:spacing w:after="0" w:line="240" w:lineRule="auto"/>
                      <w:ind w:firstLine="0"/>
                      <w:rPr>
                        <w:rFonts w:ascii="Times New Roman" w:hAnsi="Times New Roman" w:cs="Times New Roman"/>
                        <w:b/>
                        <w:lang w:val="sr-Latn-BA"/>
                      </w:rPr>
                    </w:pPr>
                    <w:r w:rsidRPr="001B53A8">
                      <w:rPr>
                        <w:rFonts w:ascii="Times New Roman" w:hAnsi="Times New Roman" w:cs="Times New Roman"/>
                        <w:b/>
                        <w:lang w:val="sr-Latn-BA"/>
                      </w:rPr>
                      <w:t>W</w:t>
                    </w:r>
                    <w:r w:rsidR="00EC330F">
                      <w:rPr>
                        <w:rFonts w:ascii="Times New Roman" w:hAnsi="Times New Roman" w:cs="Times New Roman"/>
                        <w:b/>
                        <w:lang w:val="sr-Latn-BA"/>
                      </w:rPr>
                      <w:t>eb</w:t>
                    </w:r>
                    <w:r w:rsidRPr="001B53A8">
                      <w:rPr>
                        <w:rFonts w:ascii="Times New Roman" w:hAnsi="Times New Roman" w:cs="Times New Roman"/>
                        <w:b/>
                        <w:lang w:val="sr-Latn-BA"/>
                      </w:rPr>
                      <w:t>:</w:t>
                    </w:r>
                  </w:p>
                </w:tc>
                <w:tc>
                  <w:tcPr>
                    <w:tcW w:w="4405" w:type="dxa"/>
                  </w:tcPr>
                  <w:p w14:paraId="2064FBC3" w14:textId="5D25E7CE" w:rsidR="009628CE" w:rsidRPr="001B53A8" w:rsidRDefault="00000000" w:rsidP="006B6E0C">
                    <w:pPr>
                      <w:spacing w:after="0" w:line="240" w:lineRule="auto"/>
                      <w:jc w:val="right"/>
                      <w:rPr>
                        <w:rFonts w:ascii="Times New Roman" w:hAnsi="Times New Roman" w:cs="Times New Roman"/>
                        <w:lang w:val="sr-Latn-BA"/>
                      </w:rPr>
                    </w:pPr>
                    <w:hyperlink r:id="rId11" w:history="1">
                      <w:r w:rsidR="009628CE" w:rsidRPr="001B53A8">
                        <w:rPr>
                          <w:rStyle w:val="Hyperlink"/>
                          <w:rFonts w:ascii="Times New Roman" w:hAnsi="Times New Roman" w:cs="Times New Roman"/>
                          <w:bCs/>
                          <w:lang w:val="sr-Latn-BA"/>
                        </w:rPr>
                        <w:t>www.</w:t>
                      </w:r>
                      <w:r w:rsidR="00EC330F">
                        <w:rPr>
                          <w:rStyle w:val="Hyperlink"/>
                          <w:rFonts w:ascii="Times New Roman" w:hAnsi="Times New Roman" w:cs="Times New Roman"/>
                          <w:bCs/>
                          <w:lang w:val="sr-Latn-BA"/>
                        </w:rPr>
                        <w:t>secrs</w:t>
                      </w:r>
                      <w:r w:rsidR="009628CE" w:rsidRPr="001B53A8">
                        <w:rPr>
                          <w:rStyle w:val="Hyperlink"/>
                          <w:rFonts w:ascii="Times New Roman" w:hAnsi="Times New Roman" w:cs="Times New Roman"/>
                          <w:bCs/>
                          <w:lang w:val="sr-Latn-BA"/>
                        </w:rPr>
                        <w:t>.</w:t>
                      </w:r>
                      <w:r w:rsidR="00EC330F">
                        <w:rPr>
                          <w:rStyle w:val="Hyperlink"/>
                          <w:rFonts w:ascii="Times New Roman" w:hAnsi="Times New Roman" w:cs="Times New Roman"/>
                          <w:bCs/>
                          <w:lang w:val="sr-Latn-BA"/>
                        </w:rPr>
                        <w:t>gov</w:t>
                      </w:r>
                      <w:r w:rsidR="009628CE" w:rsidRPr="001B53A8">
                        <w:rPr>
                          <w:rStyle w:val="Hyperlink"/>
                          <w:rFonts w:ascii="Times New Roman" w:hAnsi="Times New Roman" w:cs="Times New Roman"/>
                          <w:bCs/>
                          <w:lang w:val="sr-Latn-BA"/>
                        </w:rPr>
                        <w:t>.</w:t>
                      </w:r>
                      <w:r w:rsidR="00EC330F">
                        <w:rPr>
                          <w:rStyle w:val="Hyperlink"/>
                          <w:rFonts w:ascii="Times New Roman" w:hAnsi="Times New Roman" w:cs="Times New Roman"/>
                          <w:bCs/>
                          <w:lang w:val="sr-Latn-BA"/>
                        </w:rPr>
                        <w:t>ba</w:t>
                      </w:r>
                    </w:hyperlink>
                  </w:p>
                </w:tc>
              </w:tr>
            </w:tbl>
            <w:p w14:paraId="73C0066C" w14:textId="530259EC" w:rsidR="009628CE" w:rsidRPr="001B53A8" w:rsidRDefault="004B4826" w:rsidP="006B6E0C">
              <w:pPr>
                <w:spacing w:before="0" w:after="0" w:line="240" w:lineRule="auto"/>
                <w:rPr>
                  <w:lang w:val="sr-Latn-BA"/>
                </w:rPr>
              </w:pPr>
              <w:r w:rsidRPr="001B53A8">
                <w:rPr>
                  <w:noProof/>
                  <w:lang w:val="sr-Latn-BA"/>
                </w:rPr>
                <mc:AlternateContent>
                  <mc:Choice Requires="wps">
                    <w:drawing>
                      <wp:anchor distT="0" distB="0" distL="114300" distR="114300" simplePos="0" relativeHeight="251662336" behindDoc="1" locked="0" layoutInCell="1" allowOverlap="1" wp14:anchorId="4886FECD" wp14:editId="728BDE83">
                        <wp:simplePos x="0" y="0"/>
                        <wp:positionH relativeFrom="column">
                          <wp:posOffset>-439420</wp:posOffset>
                        </wp:positionH>
                        <wp:positionV relativeFrom="paragraph">
                          <wp:posOffset>-2166620</wp:posOffset>
                        </wp:positionV>
                        <wp:extent cx="6346190" cy="6685915"/>
                        <wp:effectExtent l="0" t="0" r="0" b="635"/>
                        <wp:wrapNone/>
                        <wp:docPr id="2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6190" cy="6685915"/>
                                </a:xfrm>
                                <a:prstGeom prst="rect">
                                  <a:avLst/>
                                </a:prstGeom>
                                <a:solidFill>
                                  <a:schemeClr val="accent1">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C70FBD" id="Rectangle 1" o:spid="_x0000_s1026" style="position:absolute;margin-left:-34.6pt;margin-top:-170.6pt;width:499.7pt;height:526.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" fillcolor="#dbe5f1 [660]" stroked="f"/>
                    </w:pict>
                  </mc:Fallback>
                </mc:AlternateContent>
              </w:r>
            </w:p>
            <w:p w14:paraId="28C35A71" w14:textId="77777777" w:rsidR="009628CE" w:rsidRPr="001B53A8" w:rsidRDefault="009628CE" w:rsidP="006B6E0C">
              <w:pPr>
                <w:spacing w:before="0" w:after="0" w:line="240" w:lineRule="auto"/>
                <w:rPr>
                  <w:lang w:val="sr-Latn-BA"/>
                </w:rPr>
              </w:pPr>
            </w:p>
            <w:p w14:paraId="6971689B" w14:textId="77777777" w:rsidR="009628CE" w:rsidRPr="001B53A8" w:rsidRDefault="009628CE" w:rsidP="006B6E0C">
              <w:pPr>
                <w:spacing w:before="0" w:after="0" w:line="240" w:lineRule="auto"/>
                <w:rPr>
                  <w:lang w:val="sr-Latn-BA"/>
                </w:rPr>
              </w:pPr>
            </w:p>
            <w:p w14:paraId="3EC6EE0E" w14:textId="77777777" w:rsidR="009628CE" w:rsidRPr="001B53A8" w:rsidRDefault="009628CE" w:rsidP="006B6E0C">
              <w:pPr>
                <w:spacing w:before="0" w:after="0" w:line="240" w:lineRule="auto"/>
                <w:rPr>
                  <w:lang w:val="sr-Latn-BA"/>
                </w:rPr>
              </w:pPr>
            </w:p>
            <w:p w14:paraId="70A77091" w14:textId="77777777" w:rsidR="009628CE" w:rsidRPr="001B53A8" w:rsidRDefault="009628CE" w:rsidP="006B6E0C">
              <w:pPr>
                <w:spacing w:before="0" w:after="0" w:line="240" w:lineRule="auto"/>
                <w:rPr>
                  <w:lang w:val="sr-Latn-BA"/>
                </w:rPr>
              </w:pPr>
            </w:p>
            <w:p w14:paraId="62965094" w14:textId="77777777" w:rsidR="009628CE" w:rsidRPr="001B53A8" w:rsidRDefault="009628CE" w:rsidP="006B6E0C">
              <w:pPr>
                <w:spacing w:before="0" w:after="0" w:line="240" w:lineRule="auto"/>
                <w:rPr>
                  <w:lang w:val="sr-Latn-BA"/>
                </w:rPr>
              </w:pPr>
            </w:p>
            <w:p w14:paraId="3B9E18CE" w14:textId="77777777" w:rsidR="009628CE" w:rsidRPr="001B53A8" w:rsidRDefault="009628CE" w:rsidP="006B6E0C">
              <w:pPr>
                <w:spacing w:before="0" w:after="0" w:line="240" w:lineRule="auto"/>
                <w:rPr>
                  <w:lang w:val="sr-Latn-BA"/>
                </w:rPr>
              </w:pPr>
            </w:p>
            <w:p w14:paraId="3B2A64E9" w14:textId="77777777" w:rsidR="009628CE" w:rsidRPr="001B53A8" w:rsidRDefault="009628CE" w:rsidP="006B6E0C">
              <w:pPr>
                <w:spacing w:before="0" w:after="0" w:line="240" w:lineRule="auto"/>
                <w:rPr>
                  <w:lang w:val="sr-Latn-BA"/>
                </w:rPr>
              </w:pPr>
            </w:p>
            <w:p w14:paraId="646E22D2" w14:textId="77777777" w:rsidR="009628CE" w:rsidRPr="001B53A8" w:rsidRDefault="009628CE" w:rsidP="006B6E0C">
              <w:pPr>
                <w:spacing w:before="0" w:after="0" w:line="240" w:lineRule="auto"/>
                <w:rPr>
                  <w:lang w:val="sr-Latn-BA"/>
                </w:rPr>
              </w:pPr>
            </w:p>
            <w:p w14:paraId="703ACCDE" w14:textId="77777777" w:rsidR="009628CE" w:rsidRPr="001B53A8" w:rsidRDefault="009628CE" w:rsidP="006B6E0C">
              <w:pPr>
                <w:spacing w:before="0" w:after="0" w:line="240" w:lineRule="auto"/>
                <w:rPr>
                  <w:lang w:val="sr-Latn-BA"/>
                </w:rPr>
              </w:pPr>
            </w:p>
            <w:p w14:paraId="1AD26726" w14:textId="77777777" w:rsidR="009628CE" w:rsidRPr="001B53A8" w:rsidRDefault="009628CE" w:rsidP="006B6E0C">
              <w:pPr>
                <w:spacing w:before="0" w:after="0" w:line="240" w:lineRule="auto"/>
                <w:rPr>
                  <w:lang w:val="sr-Latn-BA"/>
                </w:rPr>
              </w:pPr>
            </w:p>
            <w:p w14:paraId="14CBD215" w14:textId="77777777" w:rsidR="009628CE" w:rsidRPr="001B53A8" w:rsidRDefault="009628CE" w:rsidP="006B6E0C">
              <w:pPr>
                <w:spacing w:before="0" w:after="0" w:line="240" w:lineRule="auto"/>
                <w:rPr>
                  <w:lang w:val="sr-Latn-BA"/>
                </w:rPr>
              </w:pPr>
            </w:p>
            <w:p w14:paraId="6A4728B9" w14:textId="77777777" w:rsidR="009628CE" w:rsidRPr="001B53A8" w:rsidRDefault="009628CE" w:rsidP="006B6E0C">
              <w:pPr>
                <w:spacing w:before="0" w:after="0" w:line="240" w:lineRule="auto"/>
                <w:rPr>
                  <w:lang w:val="sr-Latn-BA"/>
                </w:rPr>
              </w:pPr>
            </w:p>
            <w:p w14:paraId="46F22AC8" w14:textId="77777777" w:rsidR="009628CE" w:rsidRPr="001B53A8" w:rsidRDefault="009628CE" w:rsidP="006B6E0C">
              <w:pPr>
                <w:spacing w:before="0" w:after="0" w:line="240" w:lineRule="auto"/>
                <w:rPr>
                  <w:lang w:val="sr-Latn-BA"/>
                </w:rPr>
              </w:pPr>
            </w:p>
            <w:p w14:paraId="536011DF" w14:textId="77777777" w:rsidR="009628CE" w:rsidRPr="001B53A8" w:rsidRDefault="009628CE" w:rsidP="006B6E0C">
              <w:pPr>
                <w:spacing w:before="0" w:after="0" w:line="240" w:lineRule="auto"/>
                <w:rPr>
                  <w:lang w:val="sr-Latn-BA"/>
                </w:rPr>
              </w:pPr>
            </w:p>
            <w:p w14:paraId="279A8256" w14:textId="77777777" w:rsidR="009628CE" w:rsidRPr="001B53A8" w:rsidRDefault="009628CE" w:rsidP="006B6E0C">
              <w:pPr>
                <w:spacing w:before="0" w:after="0" w:line="240" w:lineRule="auto"/>
                <w:rPr>
                  <w:lang w:val="sr-Latn-BA"/>
                </w:rPr>
              </w:pPr>
            </w:p>
            <w:p w14:paraId="6D86ED6A" w14:textId="77777777" w:rsidR="009628CE" w:rsidRPr="001B53A8" w:rsidRDefault="009628CE" w:rsidP="006B6E0C">
              <w:pPr>
                <w:spacing w:before="0" w:after="0" w:line="240" w:lineRule="auto"/>
                <w:rPr>
                  <w:lang w:val="sr-Latn-BA"/>
                </w:rPr>
              </w:pPr>
            </w:p>
            <w:p w14:paraId="6C4EE2FB" w14:textId="77777777" w:rsidR="009628CE" w:rsidRPr="001B53A8" w:rsidRDefault="009628CE" w:rsidP="006B6E0C">
              <w:pPr>
                <w:spacing w:before="0" w:after="0" w:line="240" w:lineRule="auto"/>
                <w:rPr>
                  <w:lang w:val="sr-Latn-BA"/>
                </w:rPr>
              </w:pPr>
            </w:p>
            <w:p w14:paraId="2966B18B" w14:textId="77777777" w:rsidR="009628CE" w:rsidRPr="001B53A8" w:rsidRDefault="009628CE" w:rsidP="006B6E0C">
              <w:pPr>
                <w:spacing w:before="0" w:after="0" w:line="240" w:lineRule="auto"/>
                <w:rPr>
                  <w:lang w:val="sr-Latn-BA"/>
                </w:rPr>
              </w:pPr>
            </w:p>
            <w:p w14:paraId="63B5ECCC" w14:textId="77777777" w:rsidR="009628CE" w:rsidRPr="001B53A8" w:rsidRDefault="009628CE" w:rsidP="006B6E0C">
              <w:pPr>
                <w:spacing w:before="0" w:after="0" w:line="240" w:lineRule="auto"/>
                <w:rPr>
                  <w:lang w:val="sr-Latn-BA"/>
                </w:rPr>
              </w:pPr>
            </w:p>
            <w:p w14:paraId="554A3D01" w14:textId="77777777" w:rsidR="009628CE" w:rsidRPr="001B53A8" w:rsidRDefault="009628CE" w:rsidP="006B6E0C">
              <w:pPr>
                <w:spacing w:before="0" w:after="0" w:line="240" w:lineRule="auto"/>
                <w:rPr>
                  <w:lang w:val="sr-Latn-BA"/>
                </w:rPr>
              </w:pPr>
            </w:p>
            <w:p w14:paraId="1C13229C" w14:textId="77777777" w:rsidR="009628CE" w:rsidRPr="001B53A8" w:rsidRDefault="009628CE" w:rsidP="006B6E0C">
              <w:pPr>
                <w:spacing w:before="0" w:after="0" w:line="240" w:lineRule="auto"/>
                <w:rPr>
                  <w:lang w:val="sr-Latn-BA"/>
                </w:rPr>
              </w:pPr>
            </w:p>
            <w:p w14:paraId="25238CF2" w14:textId="77777777" w:rsidR="009628CE" w:rsidRPr="001B53A8" w:rsidRDefault="009628CE" w:rsidP="006B6E0C">
              <w:pPr>
                <w:spacing w:before="0" w:after="0" w:line="240" w:lineRule="auto"/>
                <w:rPr>
                  <w:lang w:val="sr-Latn-BA"/>
                </w:rPr>
              </w:pPr>
            </w:p>
            <w:p w14:paraId="5FE2E452" w14:textId="77777777" w:rsidR="009628CE" w:rsidRPr="001B53A8" w:rsidRDefault="009628CE" w:rsidP="006B6E0C">
              <w:pPr>
                <w:spacing w:before="0" w:after="0" w:line="240" w:lineRule="auto"/>
                <w:rPr>
                  <w:lang w:val="sr-Latn-BA"/>
                </w:rPr>
              </w:pPr>
            </w:p>
            <w:p w14:paraId="1E5E17C6" w14:textId="77777777" w:rsidR="009628CE" w:rsidRPr="001B53A8" w:rsidRDefault="009628CE" w:rsidP="006B6E0C">
              <w:pPr>
                <w:spacing w:before="0" w:after="0" w:line="240" w:lineRule="auto"/>
                <w:rPr>
                  <w:lang w:val="sr-Latn-BA"/>
                </w:rPr>
              </w:pPr>
            </w:p>
            <w:p w14:paraId="1AC2D5AF" w14:textId="77777777" w:rsidR="009628CE" w:rsidRPr="001B53A8" w:rsidRDefault="009628CE" w:rsidP="006B6E0C">
              <w:pPr>
                <w:spacing w:before="0" w:after="0" w:line="240" w:lineRule="auto"/>
                <w:rPr>
                  <w:lang w:val="sr-Latn-BA"/>
                </w:rPr>
              </w:pPr>
            </w:p>
            <w:p w14:paraId="3F8C4A61" w14:textId="77777777" w:rsidR="009628CE" w:rsidRPr="001B53A8" w:rsidRDefault="009628CE" w:rsidP="006B6E0C">
              <w:pPr>
                <w:spacing w:before="0" w:after="0" w:line="240" w:lineRule="auto"/>
                <w:rPr>
                  <w:lang w:val="sr-Latn-BA"/>
                </w:rPr>
              </w:pPr>
            </w:p>
            <w:p w14:paraId="040E40BC" w14:textId="23C459F8" w:rsidR="009628CE" w:rsidRPr="001B53A8" w:rsidRDefault="0048457A" w:rsidP="006B6E0C">
              <w:pPr>
                <w:spacing w:before="0" w:after="0" w:line="240" w:lineRule="auto"/>
                <w:rPr>
                  <w:lang w:val="sr-Latn-BA"/>
                </w:rPr>
              </w:pPr>
              <w:r w:rsidRPr="001B53A8">
                <w:rPr>
                  <w:b/>
                  <w:bCs/>
                  <w:noProof/>
                  <w:lang w:val="sr-Latn-BA"/>
                </w:rPr>
                <mc:AlternateContent>
                  <mc:Choice Requires="wps">
                    <w:drawing>
                      <wp:anchor distT="0" distB="0" distL="114300" distR="114300" simplePos="0" relativeHeight="251663360" behindDoc="1" locked="0" layoutInCell="1" allowOverlap="1" wp14:anchorId="7DE9DBC2" wp14:editId="798CA5DF">
                        <wp:simplePos x="0" y="0"/>
                        <wp:positionH relativeFrom="column">
                          <wp:posOffset>-445135</wp:posOffset>
                        </wp:positionH>
                        <wp:positionV relativeFrom="paragraph">
                          <wp:posOffset>149225</wp:posOffset>
                        </wp:positionV>
                        <wp:extent cx="6346190" cy="2676525"/>
                        <wp:effectExtent l="0" t="0" r="0" b="952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6190" cy="2676525"/>
                                </a:xfrm>
                                <a:prstGeom prst="rect">
                                  <a:avLst/>
                                </a:prstGeom>
                                <a:solidFill>
                                  <a:schemeClr val="accent1">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3A4ED7" id="Rectangle 1" o:spid="_x0000_s1026" style="position:absolute;margin-left:-35.05pt;margin-top:11.75pt;width:499.7pt;height:210.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" fillcolor="#b8cce4 [1300]" stroked="f"/>
                    </w:pict>
                  </mc:Fallback>
                </mc:AlternateContent>
              </w:r>
            </w:p>
            <w:p w14:paraId="31D62971" w14:textId="77777777" w:rsidR="009628CE" w:rsidRPr="001B53A8" w:rsidRDefault="009628CE" w:rsidP="006B6E0C">
              <w:pPr>
                <w:spacing w:before="0" w:after="0" w:line="240" w:lineRule="auto"/>
                <w:rPr>
                  <w:lang w:val="sr-Latn-BA"/>
                </w:rPr>
              </w:pPr>
            </w:p>
            <w:p w14:paraId="00008FEC" w14:textId="77777777" w:rsidR="009628CE" w:rsidRPr="001B53A8" w:rsidRDefault="009628CE" w:rsidP="006B6E0C">
              <w:pPr>
                <w:spacing w:before="0" w:after="0" w:line="240" w:lineRule="auto"/>
                <w:rPr>
                  <w:lang w:val="sr-Latn-BA"/>
                </w:rPr>
              </w:pPr>
            </w:p>
            <w:p w14:paraId="309E093B" w14:textId="77777777" w:rsidR="009628CE" w:rsidRPr="001B53A8" w:rsidRDefault="009628CE" w:rsidP="006B6E0C">
              <w:pPr>
                <w:spacing w:before="0" w:after="0" w:line="240" w:lineRule="auto"/>
                <w:rPr>
                  <w:lang w:val="sr-Latn-BA"/>
                </w:rPr>
              </w:pPr>
            </w:p>
            <w:p w14:paraId="39D4F4A0" w14:textId="77777777" w:rsidR="009628CE" w:rsidRPr="001B53A8" w:rsidRDefault="009628CE" w:rsidP="006B6E0C">
              <w:pPr>
                <w:spacing w:before="0" w:after="0" w:line="240" w:lineRule="auto"/>
                <w:rPr>
                  <w:lang w:val="sr-Latn-BA"/>
                </w:rPr>
              </w:pPr>
            </w:p>
            <w:p w14:paraId="39B97DBC" w14:textId="77777777" w:rsidR="009628CE" w:rsidRPr="001B53A8" w:rsidRDefault="009628CE" w:rsidP="006B6E0C">
              <w:pPr>
                <w:spacing w:before="0" w:after="0" w:line="240" w:lineRule="auto"/>
                <w:rPr>
                  <w:lang w:val="sr-Latn-BA"/>
                </w:rPr>
              </w:pPr>
            </w:p>
            <w:p w14:paraId="1C196672" w14:textId="77777777" w:rsidR="009628CE" w:rsidRPr="001B53A8" w:rsidRDefault="009628CE" w:rsidP="006B6E0C">
              <w:pPr>
                <w:spacing w:before="0" w:after="0" w:line="240" w:lineRule="auto"/>
                <w:rPr>
                  <w:lang w:val="sr-Latn-BA"/>
                </w:rPr>
              </w:pPr>
            </w:p>
            <w:p w14:paraId="157BF264" w14:textId="77777777" w:rsidR="009628CE" w:rsidRPr="001B53A8" w:rsidRDefault="009628CE" w:rsidP="006B6E0C">
              <w:pPr>
                <w:spacing w:before="0" w:after="0" w:line="240" w:lineRule="auto"/>
                <w:rPr>
                  <w:lang w:val="sr-Latn-BA"/>
                </w:rPr>
              </w:pPr>
            </w:p>
            <w:p w14:paraId="4F0EAB09" w14:textId="77777777" w:rsidR="009628CE" w:rsidRPr="001B53A8" w:rsidRDefault="009628CE" w:rsidP="006B6E0C">
              <w:pPr>
                <w:spacing w:before="0" w:after="0" w:line="240" w:lineRule="auto"/>
                <w:rPr>
                  <w:lang w:val="sr-Latn-BA"/>
                </w:rPr>
              </w:pPr>
            </w:p>
            <w:p w14:paraId="00C467C4" w14:textId="77777777" w:rsidR="009628CE" w:rsidRPr="001B53A8" w:rsidRDefault="009628CE" w:rsidP="006B6E0C">
              <w:pPr>
                <w:spacing w:before="0" w:after="0" w:line="240" w:lineRule="auto"/>
                <w:rPr>
                  <w:lang w:val="sr-Latn-BA"/>
                </w:rPr>
              </w:pPr>
            </w:p>
            <w:p w14:paraId="09CD8879" w14:textId="77777777" w:rsidR="009628CE" w:rsidRPr="001B53A8" w:rsidRDefault="009628CE" w:rsidP="006B6E0C">
              <w:pPr>
                <w:spacing w:before="0" w:after="0" w:line="240" w:lineRule="auto"/>
                <w:rPr>
                  <w:lang w:val="sr-Latn-BA"/>
                </w:rPr>
              </w:pPr>
            </w:p>
            <w:p w14:paraId="2CF93B43" w14:textId="089C6A26" w:rsidR="009628CE" w:rsidRPr="001B53A8" w:rsidRDefault="00EC330F" w:rsidP="006B6E0C">
              <w:pPr>
                <w:pStyle w:val="NoSpacing"/>
                <w:spacing w:before="0" w:after="0" w:line="240" w:lineRule="auto"/>
                <w:jc w:val="center"/>
                <w:rPr>
                  <w:b/>
                  <w:bCs/>
                  <w:sz w:val="28"/>
                  <w:lang w:val="sr-Latn-BA"/>
                </w:rPr>
              </w:pPr>
              <w:r>
                <w:rPr>
                  <w:b/>
                  <w:bCs/>
                  <w:sz w:val="28"/>
                  <w:lang w:val="sr-Latn-BA"/>
                </w:rPr>
                <w:t>Izvještaj</w:t>
              </w:r>
              <w:r w:rsidR="009628CE" w:rsidRPr="001B53A8">
                <w:rPr>
                  <w:b/>
                  <w:bCs/>
                  <w:sz w:val="28"/>
                  <w:lang w:val="sr-Latn-BA"/>
                </w:rPr>
                <w:t xml:space="preserve"> </w:t>
              </w:r>
              <w:r>
                <w:rPr>
                  <w:b/>
                  <w:bCs/>
                  <w:sz w:val="28"/>
                  <w:lang w:val="sr-Latn-BA"/>
                </w:rPr>
                <w:t>o</w:t>
              </w:r>
              <w:r w:rsidR="009628CE" w:rsidRPr="001B53A8">
                <w:rPr>
                  <w:b/>
                  <w:bCs/>
                  <w:sz w:val="28"/>
                  <w:lang w:val="sr-Latn-BA"/>
                </w:rPr>
                <w:t xml:space="preserve"> </w:t>
              </w:r>
              <w:r>
                <w:rPr>
                  <w:b/>
                  <w:bCs/>
                  <w:sz w:val="28"/>
                  <w:lang w:val="sr-Latn-BA"/>
                </w:rPr>
                <w:t>radu</w:t>
              </w:r>
            </w:p>
            <w:p w14:paraId="70634C3F" w14:textId="6EEAF26A" w:rsidR="009628CE" w:rsidRPr="001B53A8" w:rsidRDefault="00000000" w:rsidP="006B6E0C">
              <w:pPr>
                <w:pStyle w:val="NoSpacing"/>
                <w:spacing w:before="0" w:after="0" w:line="240" w:lineRule="auto"/>
                <w:jc w:val="center"/>
                <w:rPr>
                  <w:bCs/>
                  <w:lang w:val="sr-Latn-BA"/>
                </w:rPr>
              </w:pPr>
              <w:hyperlink r:id="rId12" w:history="1">
                <w:r w:rsidR="0060565E" w:rsidRPr="001B53A8">
                  <w:rPr>
                    <w:rStyle w:val="Hyperlink"/>
                    <w:bCs/>
                    <w:lang w:val="sr-Latn-BA"/>
                  </w:rPr>
                  <w:t>www.</w:t>
                </w:r>
                <w:r w:rsidR="00EC330F">
                  <w:rPr>
                    <w:rStyle w:val="Hyperlink"/>
                    <w:bCs/>
                    <w:lang w:val="sr-Latn-BA"/>
                  </w:rPr>
                  <w:t>secrs</w:t>
                </w:r>
                <w:r w:rsidR="0060565E" w:rsidRPr="001B53A8">
                  <w:rPr>
                    <w:rStyle w:val="Hyperlink"/>
                    <w:bCs/>
                    <w:lang w:val="sr-Latn-BA"/>
                  </w:rPr>
                  <w:t>.</w:t>
                </w:r>
                <w:r w:rsidR="00EC330F">
                  <w:rPr>
                    <w:rStyle w:val="Hyperlink"/>
                    <w:bCs/>
                    <w:lang w:val="sr-Latn-BA"/>
                  </w:rPr>
                  <w:t>gov</w:t>
                </w:r>
                <w:r w:rsidR="0060565E" w:rsidRPr="001B53A8">
                  <w:rPr>
                    <w:rStyle w:val="Hyperlink"/>
                    <w:bCs/>
                    <w:lang w:val="sr-Latn-BA"/>
                  </w:rPr>
                  <w:t>.</w:t>
                </w:r>
                <w:r w:rsidR="00EC330F">
                  <w:rPr>
                    <w:rStyle w:val="Hyperlink"/>
                    <w:bCs/>
                    <w:lang w:val="sr-Latn-BA"/>
                  </w:rPr>
                  <w:t>ba</w:t>
                </w:r>
                <w:r w:rsidR="0060565E" w:rsidRPr="001B53A8">
                  <w:rPr>
                    <w:rStyle w:val="Hyperlink"/>
                    <w:bCs/>
                    <w:lang w:val="sr-Latn-BA"/>
                  </w:rPr>
                  <w:t>/</w:t>
                </w:r>
                <w:r w:rsidR="00EC330F">
                  <w:rPr>
                    <w:rStyle w:val="Hyperlink"/>
                    <w:bCs/>
                    <w:lang w:val="sr-Latn-BA"/>
                  </w:rPr>
                  <w:t>Izvjestaji</w:t>
                </w:r>
                <w:r w:rsidR="0060565E" w:rsidRPr="001B53A8">
                  <w:rPr>
                    <w:rStyle w:val="Hyperlink"/>
                    <w:bCs/>
                    <w:lang w:val="sr-Latn-BA"/>
                  </w:rPr>
                  <w:t>/</w:t>
                </w:r>
                <w:r w:rsidR="00EC330F">
                  <w:rPr>
                    <w:rStyle w:val="Hyperlink"/>
                    <w:bCs/>
                    <w:lang w:val="sr-Latn-BA"/>
                  </w:rPr>
                  <w:t>Izvjestaj</w:t>
                </w:r>
                <w:r w:rsidR="0060565E" w:rsidRPr="001B53A8">
                  <w:rPr>
                    <w:rStyle w:val="Hyperlink"/>
                    <w:bCs/>
                    <w:lang w:val="sr-Latn-BA"/>
                  </w:rPr>
                  <w:t xml:space="preserve"> </w:t>
                </w:r>
                <w:r w:rsidR="00EC330F">
                  <w:rPr>
                    <w:rStyle w:val="Hyperlink"/>
                    <w:bCs/>
                    <w:lang w:val="sr-Latn-BA"/>
                  </w:rPr>
                  <w:t>o</w:t>
                </w:r>
                <w:r w:rsidR="0060565E" w:rsidRPr="001B53A8">
                  <w:rPr>
                    <w:rStyle w:val="Hyperlink"/>
                    <w:bCs/>
                    <w:lang w:val="sr-Latn-BA"/>
                  </w:rPr>
                  <w:t xml:space="preserve"> </w:t>
                </w:r>
                <w:r w:rsidR="00EC330F">
                  <w:rPr>
                    <w:rStyle w:val="Hyperlink"/>
                    <w:bCs/>
                    <w:lang w:val="sr-Latn-BA"/>
                  </w:rPr>
                  <w:t>radu</w:t>
                </w:r>
                <w:r w:rsidR="0060565E" w:rsidRPr="001B53A8">
                  <w:rPr>
                    <w:rStyle w:val="Hyperlink"/>
                    <w:bCs/>
                    <w:lang w:val="sr-Latn-BA"/>
                  </w:rPr>
                  <w:t xml:space="preserve"> 2023.</w:t>
                </w:r>
                <w:r w:rsidR="00EC330F">
                  <w:rPr>
                    <w:rStyle w:val="Hyperlink"/>
                    <w:bCs/>
                    <w:lang w:val="sr-Latn-BA"/>
                  </w:rPr>
                  <w:t>pdf</w:t>
                </w:r>
              </w:hyperlink>
            </w:p>
            <w:p w14:paraId="2C70F959" w14:textId="77777777" w:rsidR="009628CE" w:rsidRPr="001B53A8" w:rsidRDefault="00000000" w:rsidP="006B6E0C">
              <w:pPr>
                <w:pStyle w:val="NoSpacing"/>
                <w:spacing w:before="0" w:after="0" w:line="240" w:lineRule="auto"/>
                <w:rPr>
                  <w:bCs/>
                  <w:lang w:val="sr-Latn-BA"/>
                </w:rPr>
              </w:pPr>
            </w:p>
          </w:sdtContent>
        </w:sdt>
      </w:sdtContent>
    </w:sdt>
    <w:p w14:paraId="051A8F25" w14:textId="41A371FE" w:rsidR="009628CE" w:rsidRPr="001B53A8" w:rsidRDefault="00EC330F" w:rsidP="00D46B8D">
      <w:pPr>
        <w:spacing w:after="480" w:line="240" w:lineRule="auto"/>
        <w:ind w:firstLine="0"/>
        <w:rPr>
          <w:b/>
          <w:caps/>
          <w:lang w:val="sr-Latn-BA"/>
        </w:rPr>
      </w:pPr>
      <w:r>
        <w:rPr>
          <w:b/>
          <w:lang w:val="sr-Latn-BA"/>
        </w:rPr>
        <w:lastRenderedPageBreak/>
        <w:t>SADRŽAJ</w:t>
      </w:r>
    </w:p>
    <w:p w14:paraId="67FACB0B" w14:textId="30D622F9" w:rsidR="00A47DF9" w:rsidRDefault="00D3478F">
      <w:pPr>
        <w:pStyle w:val="TOC1"/>
        <w:rPr>
          <w:rFonts w:asciiTheme="minorHAnsi" w:eastAsiaTheme="minorEastAsia" w:hAnsiTheme="minorHAnsi" w:cstheme="minorBidi"/>
          <w:b w:val="0"/>
          <w:bCs w:val="0"/>
          <w:caps w:val="0"/>
          <w:color w:val="auto"/>
          <w:sz w:val="22"/>
          <w:szCs w:val="22"/>
          <w:lang w:val="bs-Latn-BA" w:eastAsia="bs-Latn-BA"/>
        </w:rPr>
      </w:pPr>
      <w:r w:rsidRPr="001B53A8">
        <w:rPr>
          <w:rFonts w:cs="Times New Roman"/>
          <w:color w:val="000000"/>
          <w:sz w:val="22"/>
          <w:szCs w:val="22"/>
          <w:lang w:val="sr-Latn-BA"/>
          <w14:textFill>
            <w14:solidFill>
              <w14:srgbClr w14:val="000000">
                <w14:lumMod w14:val="75000"/>
              </w14:srgbClr>
            </w14:solidFill>
          </w14:textFill>
        </w:rPr>
        <w:fldChar w:fldCharType="begin"/>
      </w:r>
      <w:r w:rsidR="009628CE" w:rsidRPr="001B53A8">
        <w:rPr>
          <w:rFonts w:cs="Times New Roman"/>
          <w:sz w:val="22"/>
          <w:szCs w:val="22"/>
          <w:lang w:val="sr-Latn-BA"/>
        </w:rPr>
        <w:instrText xml:space="preserve"> TOC \o "2-3" \h \z \t "Heading 1;1" </w:instrText>
      </w:r>
      <w:r w:rsidRPr="001B53A8">
        <w:rPr>
          <w:rFonts w:cs="Times New Roman"/>
          <w:color w:val="000000"/>
          <w:sz w:val="22"/>
          <w:szCs w:val="22"/>
          <w:lang w:val="sr-Latn-BA"/>
          <w14:textFill>
            <w14:solidFill>
              <w14:srgbClr w14:val="000000">
                <w14:lumMod w14:val="75000"/>
              </w14:srgbClr>
            </w14:solidFill>
          </w14:textFill>
        </w:rPr>
        <w:fldChar w:fldCharType="separate"/>
      </w:r>
      <w:hyperlink w:anchor="_Toc167962103" w:history="1">
        <w:r w:rsidR="00EC330F">
          <w:rPr>
            <w:rStyle w:val="Hyperlink"/>
            <w:lang w:val="sr-Latn-BA"/>
          </w:rPr>
          <w:t>I</w:t>
        </w:r>
        <w:r w:rsidR="00A47DF9">
          <w:rPr>
            <w:rFonts w:asciiTheme="minorHAnsi" w:eastAsiaTheme="minorEastAsia" w:hAnsiTheme="minorHAnsi" w:cstheme="minorBidi"/>
            <w:b w:val="0"/>
            <w:bCs w:val="0"/>
            <w:caps w:val="0"/>
            <w:color w:val="auto"/>
            <w:sz w:val="22"/>
            <w:szCs w:val="22"/>
            <w:lang w:val="bs-Latn-BA" w:eastAsia="bs-Latn-BA"/>
          </w:rPr>
          <w:tab/>
        </w:r>
        <w:r w:rsidR="00EC330F">
          <w:rPr>
            <w:rStyle w:val="Hyperlink"/>
            <w:lang w:val="sr-Latn-BA"/>
          </w:rPr>
          <w:t>OSNOVNI</w:t>
        </w:r>
        <w:r w:rsidR="00A47DF9" w:rsidRPr="003500A5">
          <w:rPr>
            <w:rStyle w:val="Hyperlink"/>
            <w:lang w:val="sr-Latn-BA"/>
          </w:rPr>
          <w:t xml:space="preserve"> </w:t>
        </w:r>
        <w:r w:rsidR="00EC330F">
          <w:rPr>
            <w:rStyle w:val="Hyperlink"/>
            <w:lang w:val="sr-Latn-BA"/>
          </w:rPr>
          <w:t>PODACI</w:t>
        </w:r>
        <w:r w:rsidR="00A47DF9" w:rsidRPr="003500A5">
          <w:rPr>
            <w:rStyle w:val="Hyperlink"/>
            <w:lang w:val="sr-Latn-BA"/>
          </w:rPr>
          <w:t xml:space="preserve"> </w:t>
        </w:r>
        <w:r w:rsidR="00EC330F">
          <w:rPr>
            <w:rStyle w:val="Hyperlink"/>
            <w:lang w:val="sr-Latn-BA"/>
          </w:rPr>
          <w:t>O</w:t>
        </w:r>
        <w:r w:rsidR="00A47DF9" w:rsidRPr="003500A5">
          <w:rPr>
            <w:rStyle w:val="Hyperlink"/>
            <w:lang w:val="sr-Latn-BA"/>
          </w:rPr>
          <w:t xml:space="preserve"> </w:t>
        </w:r>
        <w:r w:rsidR="00EC330F">
          <w:rPr>
            <w:rStyle w:val="Hyperlink"/>
            <w:lang w:val="sr-Latn-BA"/>
          </w:rPr>
          <w:t>KOMISIJI</w:t>
        </w:r>
        <w:r w:rsidR="00A47DF9">
          <w:rPr>
            <w:webHidden/>
          </w:rPr>
          <w:tab/>
        </w:r>
        <w:r w:rsidR="00A47DF9">
          <w:rPr>
            <w:webHidden/>
          </w:rPr>
          <w:fldChar w:fldCharType="begin"/>
        </w:r>
        <w:r w:rsidR="00A47DF9">
          <w:rPr>
            <w:webHidden/>
          </w:rPr>
          <w:instrText xml:space="preserve"> PAGEREF _Toc167962103 \h </w:instrText>
        </w:r>
        <w:r w:rsidR="00A47DF9">
          <w:rPr>
            <w:webHidden/>
          </w:rPr>
        </w:r>
        <w:r w:rsidR="00A47DF9">
          <w:rPr>
            <w:webHidden/>
          </w:rPr>
          <w:fldChar w:fldCharType="separate"/>
        </w:r>
        <w:r w:rsidR="00EC4EFC">
          <w:rPr>
            <w:webHidden/>
          </w:rPr>
          <w:t>4</w:t>
        </w:r>
        <w:r w:rsidR="00A47DF9">
          <w:rPr>
            <w:webHidden/>
          </w:rPr>
          <w:fldChar w:fldCharType="end"/>
        </w:r>
      </w:hyperlink>
    </w:p>
    <w:p w14:paraId="1B4C58B0" w14:textId="6ECE24DC" w:rsidR="00A47DF9" w:rsidRDefault="00000000">
      <w:pPr>
        <w:pStyle w:val="TOC2"/>
        <w:rPr>
          <w:rFonts w:asciiTheme="minorHAnsi" w:eastAsiaTheme="minorEastAsia" w:hAnsiTheme="minorHAnsi" w:cstheme="minorBidi"/>
          <w:sz w:val="22"/>
          <w:szCs w:val="22"/>
          <w:lang w:val="bs-Latn-BA" w:eastAsia="bs-Latn-BA"/>
        </w:rPr>
      </w:pPr>
      <w:hyperlink w:anchor="_Toc167962104" w:history="1">
        <w:r w:rsidR="00A47DF9" w:rsidRPr="003500A5">
          <w:rPr>
            <w:rStyle w:val="Hyperlink"/>
            <w:lang w:val="sr-Latn-BA"/>
          </w:rPr>
          <w:t>1.</w:t>
        </w:r>
        <w:r w:rsidR="00A47DF9">
          <w:rPr>
            <w:rFonts w:asciiTheme="minorHAnsi" w:eastAsiaTheme="minorEastAsia" w:hAnsiTheme="minorHAnsi" w:cstheme="minorBidi"/>
            <w:sz w:val="22"/>
            <w:szCs w:val="22"/>
            <w:lang w:val="bs-Latn-BA" w:eastAsia="bs-Latn-BA"/>
          </w:rPr>
          <w:tab/>
        </w:r>
        <w:r w:rsidR="00EC330F">
          <w:rPr>
            <w:rStyle w:val="Hyperlink"/>
            <w:lang w:val="sr-Latn-BA"/>
          </w:rPr>
          <w:t>Osnivanje</w:t>
        </w:r>
        <w:r w:rsidR="00A47DF9" w:rsidRPr="003500A5">
          <w:rPr>
            <w:rStyle w:val="Hyperlink"/>
            <w:lang w:val="sr-Latn-BA"/>
          </w:rPr>
          <w:t xml:space="preserve">, </w:t>
        </w:r>
        <w:r w:rsidR="00EC330F">
          <w:rPr>
            <w:rStyle w:val="Hyperlink"/>
            <w:lang w:val="sr-Latn-BA"/>
          </w:rPr>
          <w:t>pravni</w:t>
        </w:r>
        <w:r w:rsidR="00A47DF9" w:rsidRPr="003500A5">
          <w:rPr>
            <w:rStyle w:val="Hyperlink"/>
            <w:lang w:val="sr-Latn-BA"/>
          </w:rPr>
          <w:t xml:space="preserve"> </w:t>
        </w:r>
        <w:r w:rsidR="00EC330F">
          <w:rPr>
            <w:rStyle w:val="Hyperlink"/>
            <w:lang w:val="sr-Latn-BA"/>
          </w:rPr>
          <w:t>status</w:t>
        </w:r>
        <w:r w:rsidR="00A47DF9" w:rsidRPr="003500A5">
          <w:rPr>
            <w:rStyle w:val="Hyperlink"/>
            <w:lang w:val="sr-Latn-BA"/>
          </w:rPr>
          <w:t xml:space="preserve"> </w:t>
        </w:r>
        <w:r w:rsidR="00EC330F">
          <w:rPr>
            <w:rStyle w:val="Hyperlink"/>
            <w:lang w:val="sr-Latn-BA"/>
          </w:rPr>
          <w:t>i</w:t>
        </w:r>
        <w:r w:rsidR="00A47DF9" w:rsidRPr="003500A5">
          <w:rPr>
            <w:rStyle w:val="Hyperlink"/>
            <w:lang w:val="sr-Latn-BA"/>
          </w:rPr>
          <w:t xml:space="preserve"> </w:t>
        </w:r>
        <w:r w:rsidR="00EC330F">
          <w:rPr>
            <w:rStyle w:val="Hyperlink"/>
            <w:lang w:val="sr-Latn-BA"/>
          </w:rPr>
          <w:t>nadležnosti</w:t>
        </w:r>
        <w:r w:rsidR="00A47DF9" w:rsidRPr="003500A5">
          <w:rPr>
            <w:rStyle w:val="Hyperlink"/>
            <w:lang w:val="sr-Latn-BA"/>
          </w:rPr>
          <w:t xml:space="preserve"> </w:t>
        </w:r>
        <w:r w:rsidR="00EC330F">
          <w:rPr>
            <w:rStyle w:val="Hyperlink"/>
            <w:lang w:val="sr-Latn-BA"/>
          </w:rPr>
          <w:t>Komisije</w:t>
        </w:r>
        <w:r w:rsidR="00A47DF9">
          <w:rPr>
            <w:webHidden/>
          </w:rPr>
          <w:tab/>
        </w:r>
        <w:r w:rsidR="00A47DF9">
          <w:rPr>
            <w:webHidden/>
          </w:rPr>
          <w:fldChar w:fldCharType="begin"/>
        </w:r>
        <w:r w:rsidR="00A47DF9">
          <w:rPr>
            <w:webHidden/>
          </w:rPr>
          <w:instrText xml:space="preserve"> PAGEREF _Toc167962104 \h </w:instrText>
        </w:r>
        <w:r w:rsidR="00A47DF9">
          <w:rPr>
            <w:webHidden/>
          </w:rPr>
        </w:r>
        <w:r w:rsidR="00A47DF9">
          <w:rPr>
            <w:webHidden/>
          </w:rPr>
          <w:fldChar w:fldCharType="separate"/>
        </w:r>
        <w:r w:rsidR="00EC4EFC">
          <w:rPr>
            <w:webHidden/>
          </w:rPr>
          <w:t>4</w:t>
        </w:r>
        <w:r w:rsidR="00A47DF9">
          <w:rPr>
            <w:webHidden/>
          </w:rPr>
          <w:fldChar w:fldCharType="end"/>
        </w:r>
      </w:hyperlink>
    </w:p>
    <w:p w14:paraId="5AF31CCC" w14:textId="5ED69121" w:rsidR="00A47DF9" w:rsidRDefault="00000000">
      <w:pPr>
        <w:pStyle w:val="TOC2"/>
        <w:rPr>
          <w:rFonts w:asciiTheme="minorHAnsi" w:eastAsiaTheme="minorEastAsia" w:hAnsiTheme="minorHAnsi" w:cstheme="minorBidi"/>
          <w:sz w:val="22"/>
          <w:szCs w:val="22"/>
          <w:lang w:val="bs-Latn-BA" w:eastAsia="bs-Latn-BA"/>
        </w:rPr>
      </w:pPr>
      <w:hyperlink w:anchor="_Toc167962105" w:history="1">
        <w:r w:rsidR="00A47DF9" w:rsidRPr="003500A5">
          <w:rPr>
            <w:rStyle w:val="Hyperlink"/>
            <w:lang w:val="sr-Latn-BA"/>
          </w:rPr>
          <w:t>2.</w:t>
        </w:r>
        <w:r w:rsidR="00A47DF9">
          <w:rPr>
            <w:rFonts w:asciiTheme="minorHAnsi" w:eastAsiaTheme="minorEastAsia" w:hAnsiTheme="minorHAnsi" w:cstheme="minorBidi"/>
            <w:sz w:val="22"/>
            <w:szCs w:val="22"/>
            <w:lang w:val="bs-Latn-BA" w:eastAsia="bs-Latn-BA"/>
          </w:rPr>
          <w:tab/>
        </w:r>
        <w:r w:rsidR="00EC330F">
          <w:rPr>
            <w:rStyle w:val="Hyperlink"/>
            <w:lang w:val="sr-Latn-BA"/>
          </w:rPr>
          <w:t>Imenovanje</w:t>
        </w:r>
        <w:r w:rsidR="00A47DF9" w:rsidRPr="003500A5">
          <w:rPr>
            <w:rStyle w:val="Hyperlink"/>
            <w:lang w:val="sr-Latn-BA"/>
          </w:rPr>
          <w:t xml:space="preserve"> </w:t>
        </w:r>
        <w:r w:rsidR="00EC330F">
          <w:rPr>
            <w:rStyle w:val="Hyperlink"/>
            <w:lang w:val="sr-Latn-BA"/>
          </w:rPr>
          <w:t>članova</w:t>
        </w:r>
        <w:r w:rsidR="00A47DF9" w:rsidRPr="003500A5">
          <w:rPr>
            <w:rStyle w:val="Hyperlink"/>
            <w:lang w:val="sr-Latn-BA"/>
          </w:rPr>
          <w:t xml:space="preserve"> </w:t>
        </w:r>
        <w:r w:rsidR="00EC330F">
          <w:rPr>
            <w:rStyle w:val="Hyperlink"/>
            <w:lang w:val="sr-Latn-BA"/>
          </w:rPr>
          <w:t>i</w:t>
        </w:r>
        <w:r w:rsidR="00A47DF9" w:rsidRPr="003500A5">
          <w:rPr>
            <w:rStyle w:val="Hyperlink"/>
            <w:lang w:val="sr-Latn-BA"/>
          </w:rPr>
          <w:t xml:space="preserve"> </w:t>
        </w:r>
        <w:r w:rsidR="00EC330F">
          <w:rPr>
            <w:rStyle w:val="Hyperlink"/>
            <w:lang w:val="sr-Latn-BA"/>
          </w:rPr>
          <w:t>sastav</w:t>
        </w:r>
        <w:r w:rsidR="00A47DF9" w:rsidRPr="003500A5">
          <w:rPr>
            <w:rStyle w:val="Hyperlink"/>
            <w:lang w:val="sr-Latn-BA"/>
          </w:rPr>
          <w:t xml:space="preserve"> </w:t>
        </w:r>
        <w:r w:rsidR="00EC330F">
          <w:rPr>
            <w:rStyle w:val="Hyperlink"/>
            <w:lang w:val="sr-Latn-BA"/>
          </w:rPr>
          <w:t>Komisije</w:t>
        </w:r>
        <w:r w:rsidR="00A47DF9">
          <w:rPr>
            <w:webHidden/>
          </w:rPr>
          <w:tab/>
        </w:r>
        <w:r w:rsidR="00A47DF9">
          <w:rPr>
            <w:webHidden/>
          </w:rPr>
          <w:fldChar w:fldCharType="begin"/>
        </w:r>
        <w:r w:rsidR="00A47DF9">
          <w:rPr>
            <w:webHidden/>
          </w:rPr>
          <w:instrText xml:space="preserve"> PAGEREF _Toc167962105 \h </w:instrText>
        </w:r>
        <w:r w:rsidR="00A47DF9">
          <w:rPr>
            <w:webHidden/>
          </w:rPr>
        </w:r>
        <w:r w:rsidR="00A47DF9">
          <w:rPr>
            <w:webHidden/>
          </w:rPr>
          <w:fldChar w:fldCharType="separate"/>
        </w:r>
        <w:r w:rsidR="00EC4EFC">
          <w:rPr>
            <w:webHidden/>
          </w:rPr>
          <w:t>5</w:t>
        </w:r>
        <w:r w:rsidR="00A47DF9">
          <w:rPr>
            <w:webHidden/>
          </w:rPr>
          <w:fldChar w:fldCharType="end"/>
        </w:r>
      </w:hyperlink>
    </w:p>
    <w:p w14:paraId="3BA4952D" w14:textId="4A9D0252" w:rsidR="00A47DF9" w:rsidRDefault="00000000">
      <w:pPr>
        <w:pStyle w:val="TOC2"/>
        <w:rPr>
          <w:rFonts w:asciiTheme="minorHAnsi" w:eastAsiaTheme="minorEastAsia" w:hAnsiTheme="minorHAnsi" w:cstheme="minorBidi"/>
          <w:sz w:val="22"/>
          <w:szCs w:val="22"/>
          <w:lang w:val="bs-Latn-BA" w:eastAsia="bs-Latn-BA"/>
        </w:rPr>
      </w:pPr>
      <w:hyperlink w:anchor="_Toc167962106" w:history="1">
        <w:r w:rsidR="00A47DF9" w:rsidRPr="003500A5">
          <w:rPr>
            <w:rStyle w:val="Hyperlink"/>
            <w:lang w:val="sr-Latn-BA"/>
          </w:rPr>
          <w:t>3.</w:t>
        </w:r>
        <w:r w:rsidR="00A47DF9">
          <w:rPr>
            <w:rFonts w:asciiTheme="minorHAnsi" w:eastAsiaTheme="minorEastAsia" w:hAnsiTheme="minorHAnsi" w:cstheme="minorBidi"/>
            <w:sz w:val="22"/>
            <w:szCs w:val="22"/>
            <w:lang w:val="bs-Latn-BA" w:eastAsia="bs-Latn-BA"/>
          </w:rPr>
          <w:tab/>
        </w:r>
        <w:r w:rsidR="00EC330F">
          <w:rPr>
            <w:rStyle w:val="Hyperlink"/>
            <w:lang w:val="sr-Latn-BA"/>
          </w:rPr>
          <w:t>Organizaciona</w:t>
        </w:r>
        <w:r w:rsidR="00A47DF9" w:rsidRPr="003500A5">
          <w:rPr>
            <w:rStyle w:val="Hyperlink"/>
            <w:lang w:val="sr-Latn-BA"/>
          </w:rPr>
          <w:t xml:space="preserve"> </w:t>
        </w:r>
        <w:r w:rsidR="00EC330F">
          <w:rPr>
            <w:rStyle w:val="Hyperlink"/>
            <w:lang w:val="sr-Latn-BA"/>
          </w:rPr>
          <w:t>struktura</w:t>
        </w:r>
        <w:r w:rsidR="00A47DF9" w:rsidRPr="003500A5">
          <w:rPr>
            <w:rStyle w:val="Hyperlink"/>
            <w:lang w:val="sr-Latn-BA"/>
          </w:rPr>
          <w:t xml:space="preserve"> </w:t>
        </w:r>
        <w:r w:rsidR="00EC330F">
          <w:rPr>
            <w:rStyle w:val="Hyperlink"/>
            <w:lang w:val="sr-Latn-BA"/>
          </w:rPr>
          <w:t>Komisije</w:t>
        </w:r>
        <w:r w:rsidR="00A47DF9">
          <w:rPr>
            <w:webHidden/>
          </w:rPr>
          <w:tab/>
        </w:r>
        <w:r w:rsidR="00A47DF9">
          <w:rPr>
            <w:webHidden/>
          </w:rPr>
          <w:fldChar w:fldCharType="begin"/>
        </w:r>
        <w:r w:rsidR="00A47DF9">
          <w:rPr>
            <w:webHidden/>
          </w:rPr>
          <w:instrText xml:space="preserve"> PAGEREF _Toc167962106 \h </w:instrText>
        </w:r>
        <w:r w:rsidR="00A47DF9">
          <w:rPr>
            <w:webHidden/>
          </w:rPr>
        </w:r>
        <w:r w:rsidR="00A47DF9">
          <w:rPr>
            <w:webHidden/>
          </w:rPr>
          <w:fldChar w:fldCharType="separate"/>
        </w:r>
        <w:r w:rsidR="00EC4EFC">
          <w:rPr>
            <w:webHidden/>
          </w:rPr>
          <w:t>5</w:t>
        </w:r>
        <w:r w:rsidR="00A47DF9">
          <w:rPr>
            <w:webHidden/>
          </w:rPr>
          <w:fldChar w:fldCharType="end"/>
        </w:r>
      </w:hyperlink>
    </w:p>
    <w:p w14:paraId="33FBBBBC" w14:textId="19715CA7" w:rsidR="00A47DF9"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2107" w:history="1">
        <w:r w:rsidR="00EC330F">
          <w:rPr>
            <w:rStyle w:val="Hyperlink"/>
            <w:lang w:val="sr-Latn-BA"/>
          </w:rPr>
          <w:t>II</w:t>
        </w:r>
        <w:r w:rsidR="00A47DF9">
          <w:rPr>
            <w:rFonts w:asciiTheme="minorHAnsi" w:eastAsiaTheme="minorEastAsia" w:hAnsiTheme="minorHAnsi" w:cstheme="minorBidi"/>
            <w:b w:val="0"/>
            <w:bCs w:val="0"/>
            <w:caps w:val="0"/>
            <w:color w:val="auto"/>
            <w:sz w:val="22"/>
            <w:szCs w:val="22"/>
            <w:lang w:val="bs-Latn-BA" w:eastAsia="bs-Latn-BA"/>
          </w:rPr>
          <w:tab/>
        </w:r>
        <w:r w:rsidR="00EC330F">
          <w:rPr>
            <w:rStyle w:val="Hyperlink"/>
            <w:lang w:val="sr-Latn-BA"/>
          </w:rPr>
          <w:t>STATISTIČKI</w:t>
        </w:r>
        <w:r w:rsidR="00A47DF9" w:rsidRPr="003500A5">
          <w:rPr>
            <w:rStyle w:val="Hyperlink"/>
            <w:lang w:val="sr-Latn-BA"/>
          </w:rPr>
          <w:t xml:space="preserve"> </w:t>
        </w:r>
        <w:r w:rsidR="00EC330F">
          <w:rPr>
            <w:rStyle w:val="Hyperlink"/>
            <w:lang w:val="sr-Latn-BA"/>
          </w:rPr>
          <w:t>PODACI</w:t>
        </w:r>
        <w:r w:rsidR="00A47DF9" w:rsidRPr="003500A5">
          <w:rPr>
            <w:rStyle w:val="Hyperlink"/>
            <w:lang w:val="sr-Latn-BA"/>
          </w:rPr>
          <w:t xml:space="preserve"> </w:t>
        </w:r>
        <w:r w:rsidR="00EC330F">
          <w:rPr>
            <w:rStyle w:val="Hyperlink"/>
            <w:lang w:val="sr-Latn-BA"/>
          </w:rPr>
          <w:t>O</w:t>
        </w:r>
        <w:r w:rsidR="00A47DF9" w:rsidRPr="003500A5">
          <w:rPr>
            <w:rStyle w:val="Hyperlink"/>
            <w:lang w:val="sr-Latn-BA"/>
          </w:rPr>
          <w:t xml:space="preserve"> </w:t>
        </w:r>
        <w:r w:rsidR="00EC330F">
          <w:rPr>
            <w:rStyle w:val="Hyperlink"/>
            <w:lang w:val="sr-Latn-BA"/>
          </w:rPr>
          <w:t>RADU</w:t>
        </w:r>
        <w:r w:rsidR="00A47DF9" w:rsidRPr="003500A5">
          <w:rPr>
            <w:rStyle w:val="Hyperlink"/>
            <w:lang w:val="sr-Latn-BA"/>
          </w:rPr>
          <w:t xml:space="preserve"> </w:t>
        </w:r>
        <w:r w:rsidR="00EC330F">
          <w:rPr>
            <w:rStyle w:val="Hyperlink"/>
            <w:lang w:val="sr-Latn-BA"/>
          </w:rPr>
          <w:t>KOMISIJE</w:t>
        </w:r>
        <w:r w:rsidR="00A47DF9">
          <w:rPr>
            <w:webHidden/>
          </w:rPr>
          <w:tab/>
        </w:r>
        <w:r w:rsidR="00A47DF9">
          <w:rPr>
            <w:webHidden/>
          </w:rPr>
          <w:fldChar w:fldCharType="begin"/>
        </w:r>
        <w:r w:rsidR="00A47DF9">
          <w:rPr>
            <w:webHidden/>
          </w:rPr>
          <w:instrText xml:space="preserve"> PAGEREF _Toc167962107 \h </w:instrText>
        </w:r>
        <w:r w:rsidR="00A47DF9">
          <w:rPr>
            <w:webHidden/>
          </w:rPr>
        </w:r>
        <w:r w:rsidR="00A47DF9">
          <w:rPr>
            <w:webHidden/>
          </w:rPr>
          <w:fldChar w:fldCharType="separate"/>
        </w:r>
        <w:r w:rsidR="00EC4EFC">
          <w:rPr>
            <w:webHidden/>
          </w:rPr>
          <w:t>7</w:t>
        </w:r>
        <w:r w:rsidR="00A47DF9">
          <w:rPr>
            <w:webHidden/>
          </w:rPr>
          <w:fldChar w:fldCharType="end"/>
        </w:r>
      </w:hyperlink>
    </w:p>
    <w:p w14:paraId="5B5DF3B6" w14:textId="6411FA9E" w:rsidR="00A47DF9" w:rsidRDefault="00000000">
      <w:pPr>
        <w:pStyle w:val="TOC2"/>
        <w:rPr>
          <w:rFonts w:asciiTheme="minorHAnsi" w:eastAsiaTheme="minorEastAsia" w:hAnsiTheme="minorHAnsi" w:cstheme="minorBidi"/>
          <w:sz w:val="22"/>
          <w:szCs w:val="22"/>
          <w:lang w:val="bs-Latn-BA" w:eastAsia="bs-Latn-BA"/>
        </w:rPr>
      </w:pPr>
      <w:hyperlink w:anchor="_Toc167962108" w:history="1">
        <w:r w:rsidR="00A47DF9" w:rsidRPr="003500A5">
          <w:rPr>
            <w:rStyle w:val="Hyperlink"/>
            <w:lang w:val="sr-Latn-BA"/>
          </w:rPr>
          <w:t>1.</w:t>
        </w:r>
        <w:r w:rsidR="00A47DF9">
          <w:rPr>
            <w:rFonts w:asciiTheme="minorHAnsi" w:eastAsiaTheme="minorEastAsia" w:hAnsiTheme="minorHAnsi" w:cstheme="minorBidi"/>
            <w:sz w:val="22"/>
            <w:szCs w:val="22"/>
            <w:lang w:val="bs-Latn-BA" w:eastAsia="bs-Latn-BA"/>
          </w:rPr>
          <w:tab/>
        </w:r>
        <w:r w:rsidR="00EC330F">
          <w:rPr>
            <w:rStyle w:val="Hyperlink"/>
            <w:lang w:val="sr-Latn-BA"/>
          </w:rPr>
          <w:t>Sjednice</w:t>
        </w:r>
        <w:r w:rsidR="00A47DF9" w:rsidRPr="003500A5">
          <w:rPr>
            <w:rStyle w:val="Hyperlink"/>
            <w:lang w:val="sr-Latn-BA"/>
          </w:rPr>
          <w:t xml:space="preserve"> </w:t>
        </w:r>
        <w:r w:rsidR="00EC330F">
          <w:rPr>
            <w:rStyle w:val="Hyperlink"/>
            <w:lang w:val="sr-Latn-BA"/>
          </w:rPr>
          <w:t>Komisije</w:t>
        </w:r>
        <w:r w:rsidR="00A47DF9">
          <w:rPr>
            <w:webHidden/>
          </w:rPr>
          <w:tab/>
        </w:r>
        <w:r w:rsidR="00A47DF9">
          <w:rPr>
            <w:webHidden/>
          </w:rPr>
          <w:fldChar w:fldCharType="begin"/>
        </w:r>
        <w:r w:rsidR="00A47DF9">
          <w:rPr>
            <w:webHidden/>
          </w:rPr>
          <w:instrText xml:space="preserve"> PAGEREF _Toc167962108 \h </w:instrText>
        </w:r>
        <w:r w:rsidR="00A47DF9">
          <w:rPr>
            <w:webHidden/>
          </w:rPr>
        </w:r>
        <w:r w:rsidR="00A47DF9">
          <w:rPr>
            <w:webHidden/>
          </w:rPr>
          <w:fldChar w:fldCharType="separate"/>
        </w:r>
        <w:r w:rsidR="00EC4EFC">
          <w:rPr>
            <w:webHidden/>
          </w:rPr>
          <w:t>7</w:t>
        </w:r>
        <w:r w:rsidR="00A47DF9">
          <w:rPr>
            <w:webHidden/>
          </w:rPr>
          <w:fldChar w:fldCharType="end"/>
        </w:r>
      </w:hyperlink>
    </w:p>
    <w:p w14:paraId="3E5B73D8" w14:textId="35910E5D" w:rsidR="00A47DF9" w:rsidRDefault="00000000">
      <w:pPr>
        <w:pStyle w:val="TOC2"/>
        <w:rPr>
          <w:rFonts w:asciiTheme="minorHAnsi" w:eastAsiaTheme="minorEastAsia" w:hAnsiTheme="minorHAnsi" w:cstheme="minorBidi"/>
          <w:sz w:val="22"/>
          <w:szCs w:val="22"/>
          <w:lang w:val="bs-Latn-BA" w:eastAsia="bs-Latn-BA"/>
        </w:rPr>
      </w:pPr>
      <w:hyperlink w:anchor="_Toc167962109" w:history="1">
        <w:r w:rsidR="00A47DF9" w:rsidRPr="003500A5">
          <w:rPr>
            <w:rStyle w:val="Hyperlink"/>
            <w:lang w:val="sr-Latn-BA"/>
          </w:rPr>
          <w:t>2.</w:t>
        </w:r>
        <w:r w:rsidR="00A47DF9">
          <w:rPr>
            <w:rFonts w:asciiTheme="minorHAnsi" w:eastAsiaTheme="minorEastAsia" w:hAnsiTheme="minorHAnsi" w:cstheme="minorBidi"/>
            <w:sz w:val="22"/>
            <w:szCs w:val="22"/>
            <w:lang w:val="bs-Latn-BA" w:eastAsia="bs-Latn-BA"/>
          </w:rPr>
          <w:tab/>
        </w:r>
        <w:r w:rsidR="00EC330F">
          <w:rPr>
            <w:rStyle w:val="Hyperlink"/>
            <w:lang w:val="sr-Latn-BA"/>
          </w:rPr>
          <w:t>Registri</w:t>
        </w:r>
        <w:r w:rsidR="00A47DF9" w:rsidRPr="003500A5">
          <w:rPr>
            <w:rStyle w:val="Hyperlink"/>
            <w:lang w:val="sr-Latn-BA"/>
          </w:rPr>
          <w:t xml:space="preserve"> </w:t>
        </w:r>
        <w:r w:rsidR="00EC330F">
          <w:rPr>
            <w:rStyle w:val="Hyperlink"/>
            <w:lang w:val="sr-Latn-BA"/>
          </w:rPr>
          <w:t>i</w:t>
        </w:r>
        <w:r w:rsidR="00A47DF9" w:rsidRPr="003500A5">
          <w:rPr>
            <w:rStyle w:val="Hyperlink"/>
            <w:lang w:val="sr-Latn-BA"/>
          </w:rPr>
          <w:t xml:space="preserve"> </w:t>
        </w:r>
        <w:r w:rsidR="00EC330F">
          <w:rPr>
            <w:rStyle w:val="Hyperlink"/>
            <w:lang w:val="sr-Latn-BA"/>
          </w:rPr>
          <w:t>evidencije</w:t>
        </w:r>
        <w:r w:rsidR="00A47DF9" w:rsidRPr="003500A5">
          <w:rPr>
            <w:rStyle w:val="Hyperlink"/>
            <w:lang w:val="sr-Latn-BA"/>
          </w:rPr>
          <w:t xml:space="preserve"> </w:t>
        </w:r>
        <w:r w:rsidR="00EC330F">
          <w:rPr>
            <w:rStyle w:val="Hyperlink"/>
            <w:lang w:val="sr-Latn-BA"/>
          </w:rPr>
          <w:t>Komisije</w:t>
        </w:r>
        <w:r w:rsidR="00A47DF9">
          <w:rPr>
            <w:webHidden/>
          </w:rPr>
          <w:tab/>
        </w:r>
        <w:r w:rsidR="00A47DF9">
          <w:rPr>
            <w:webHidden/>
          </w:rPr>
          <w:fldChar w:fldCharType="begin"/>
        </w:r>
        <w:r w:rsidR="00A47DF9">
          <w:rPr>
            <w:webHidden/>
          </w:rPr>
          <w:instrText xml:space="preserve"> PAGEREF _Toc167962109 \h </w:instrText>
        </w:r>
        <w:r w:rsidR="00A47DF9">
          <w:rPr>
            <w:webHidden/>
          </w:rPr>
        </w:r>
        <w:r w:rsidR="00A47DF9">
          <w:rPr>
            <w:webHidden/>
          </w:rPr>
          <w:fldChar w:fldCharType="separate"/>
        </w:r>
        <w:r w:rsidR="00EC4EFC">
          <w:rPr>
            <w:webHidden/>
          </w:rPr>
          <w:t>8</w:t>
        </w:r>
        <w:r w:rsidR="00A47DF9">
          <w:rPr>
            <w:webHidden/>
          </w:rPr>
          <w:fldChar w:fldCharType="end"/>
        </w:r>
      </w:hyperlink>
    </w:p>
    <w:p w14:paraId="5578006E" w14:textId="75CDD40B" w:rsidR="00A47DF9"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2110" w:history="1">
        <w:r w:rsidR="00EC330F">
          <w:rPr>
            <w:rStyle w:val="Hyperlink"/>
            <w:lang w:val="sr-Latn-BA"/>
          </w:rPr>
          <w:t>III</w:t>
        </w:r>
        <w:r w:rsidR="00A47DF9">
          <w:rPr>
            <w:rFonts w:asciiTheme="minorHAnsi" w:eastAsiaTheme="minorEastAsia" w:hAnsiTheme="minorHAnsi" w:cstheme="minorBidi"/>
            <w:b w:val="0"/>
            <w:bCs w:val="0"/>
            <w:caps w:val="0"/>
            <w:color w:val="auto"/>
            <w:sz w:val="22"/>
            <w:szCs w:val="22"/>
            <w:lang w:val="bs-Latn-BA" w:eastAsia="bs-Latn-BA"/>
          </w:rPr>
          <w:tab/>
        </w:r>
        <w:r w:rsidR="00EC330F">
          <w:rPr>
            <w:rStyle w:val="Hyperlink"/>
            <w:lang w:val="sr-Latn-BA"/>
          </w:rPr>
          <w:t>EMISIJA</w:t>
        </w:r>
        <w:r w:rsidR="00A47DF9" w:rsidRPr="003500A5">
          <w:rPr>
            <w:rStyle w:val="Hyperlink"/>
            <w:lang w:val="sr-Latn-BA"/>
          </w:rPr>
          <w:t xml:space="preserve"> </w:t>
        </w:r>
        <w:r w:rsidR="00EC330F">
          <w:rPr>
            <w:rStyle w:val="Hyperlink"/>
            <w:lang w:val="sr-Latn-BA"/>
          </w:rPr>
          <w:t>HARTIJA</w:t>
        </w:r>
        <w:r w:rsidR="00A47DF9" w:rsidRPr="003500A5">
          <w:rPr>
            <w:rStyle w:val="Hyperlink"/>
            <w:lang w:val="sr-Latn-BA"/>
          </w:rPr>
          <w:t xml:space="preserve"> </w:t>
        </w:r>
        <w:r w:rsidR="00EC330F">
          <w:rPr>
            <w:rStyle w:val="Hyperlink"/>
            <w:lang w:val="sr-Latn-BA"/>
          </w:rPr>
          <w:t>OD</w:t>
        </w:r>
        <w:r w:rsidR="00A47DF9" w:rsidRPr="003500A5">
          <w:rPr>
            <w:rStyle w:val="Hyperlink"/>
            <w:lang w:val="sr-Latn-BA"/>
          </w:rPr>
          <w:t xml:space="preserve"> </w:t>
        </w:r>
        <w:r w:rsidR="00EC330F">
          <w:rPr>
            <w:rStyle w:val="Hyperlink"/>
            <w:lang w:val="sr-Latn-BA"/>
          </w:rPr>
          <w:t>VRIJEDNOSTI</w:t>
        </w:r>
        <w:r w:rsidR="00A47DF9">
          <w:rPr>
            <w:webHidden/>
          </w:rPr>
          <w:tab/>
        </w:r>
        <w:r w:rsidR="00A47DF9">
          <w:rPr>
            <w:webHidden/>
          </w:rPr>
          <w:fldChar w:fldCharType="begin"/>
        </w:r>
        <w:r w:rsidR="00A47DF9">
          <w:rPr>
            <w:webHidden/>
          </w:rPr>
          <w:instrText xml:space="preserve"> PAGEREF _Toc167962110 \h </w:instrText>
        </w:r>
        <w:r w:rsidR="00A47DF9">
          <w:rPr>
            <w:webHidden/>
          </w:rPr>
        </w:r>
        <w:r w:rsidR="00A47DF9">
          <w:rPr>
            <w:webHidden/>
          </w:rPr>
          <w:fldChar w:fldCharType="separate"/>
        </w:r>
        <w:r w:rsidR="00EC4EFC">
          <w:rPr>
            <w:webHidden/>
          </w:rPr>
          <w:t>9</w:t>
        </w:r>
        <w:r w:rsidR="00A47DF9">
          <w:rPr>
            <w:webHidden/>
          </w:rPr>
          <w:fldChar w:fldCharType="end"/>
        </w:r>
      </w:hyperlink>
    </w:p>
    <w:p w14:paraId="77B5696E" w14:textId="71F74571" w:rsidR="00A47DF9"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2111" w:history="1">
        <w:r w:rsidR="00EC330F">
          <w:rPr>
            <w:rStyle w:val="Hyperlink"/>
            <w:lang w:val="sr-Latn-BA"/>
          </w:rPr>
          <w:t>IV</w:t>
        </w:r>
        <w:r w:rsidR="00A47DF9">
          <w:rPr>
            <w:rFonts w:asciiTheme="minorHAnsi" w:eastAsiaTheme="minorEastAsia" w:hAnsiTheme="minorHAnsi" w:cstheme="minorBidi"/>
            <w:b w:val="0"/>
            <w:bCs w:val="0"/>
            <w:caps w:val="0"/>
            <w:color w:val="auto"/>
            <w:sz w:val="22"/>
            <w:szCs w:val="22"/>
            <w:lang w:val="bs-Latn-BA" w:eastAsia="bs-Latn-BA"/>
          </w:rPr>
          <w:tab/>
        </w:r>
        <w:r w:rsidR="00EC330F">
          <w:rPr>
            <w:rStyle w:val="Hyperlink"/>
            <w:lang w:val="sr-Latn-BA"/>
          </w:rPr>
          <w:t>IZVJEŠTAVANјE</w:t>
        </w:r>
        <w:r w:rsidR="00A47DF9" w:rsidRPr="003500A5">
          <w:rPr>
            <w:rStyle w:val="Hyperlink"/>
            <w:lang w:val="sr-Latn-BA"/>
          </w:rPr>
          <w:t xml:space="preserve"> </w:t>
        </w:r>
        <w:r w:rsidR="00EC330F">
          <w:rPr>
            <w:rStyle w:val="Hyperlink"/>
            <w:lang w:val="sr-Latn-BA"/>
          </w:rPr>
          <w:t>I</w:t>
        </w:r>
        <w:r w:rsidR="00A47DF9" w:rsidRPr="003500A5">
          <w:rPr>
            <w:rStyle w:val="Hyperlink"/>
            <w:lang w:val="sr-Latn-BA"/>
          </w:rPr>
          <w:t xml:space="preserve"> </w:t>
        </w:r>
        <w:r w:rsidR="00EC330F">
          <w:rPr>
            <w:rStyle w:val="Hyperlink"/>
            <w:lang w:val="sr-Latn-BA"/>
          </w:rPr>
          <w:t>OBJAVLjIVANјE</w:t>
        </w:r>
        <w:r w:rsidR="00A47DF9" w:rsidRPr="003500A5">
          <w:rPr>
            <w:rStyle w:val="Hyperlink"/>
            <w:lang w:val="sr-Latn-BA"/>
          </w:rPr>
          <w:t xml:space="preserve"> </w:t>
        </w:r>
        <w:r w:rsidR="00EC330F">
          <w:rPr>
            <w:rStyle w:val="Hyperlink"/>
            <w:lang w:val="sr-Latn-BA"/>
          </w:rPr>
          <w:t>INFORMACIJA</w:t>
        </w:r>
        <w:r w:rsidR="00A47DF9" w:rsidRPr="003500A5">
          <w:rPr>
            <w:rStyle w:val="Hyperlink"/>
            <w:lang w:val="sr-Latn-BA"/>
          </w:rPr>
          <w:t xml:space="preserve"> </w:t>
        </w:r>
        <w:r w:rsidR="00EC330F">
          <w:rPr>
            <w:rStyle w:val="Hyperlink"/>
            <w:lang w:val="sr-Latn-BA"/>
          </w:rPr>
          <w:t>OD</w:t>
        </w:r>
        <w:r w:rsidR="00A47DF9" w:rsidRPr="003500A5">
          <w:rPr>
            <w:rStyle w:val="Hyperlink"/>
            <w:lang w:val="sr-Latn-BA"/>
          </w:rPr>
          <w:t xml:space="preserve"> </w:t>
        </w:r>
        <w:r w:rsidR="00EC330F">
          <w:rPr>
            <w:rStyle w:val="Hyperlink"/>
            <w:lang w:val="sr-Latn-BA"/>
          </w:rPr>
          <w:t>STRANE</w:t>
        </w:r>
        <w:r w:rsidR="00A47DF9" w:rsidRPr="003500A5">
          <w:rPr>
            <w:rStyle w:val="Hyperlink"/>
            <w:lang w:val="sr-Latn-BA"/>
          </w:rPr>
          <w:t xml:space="preserve"> </w:t>
        </w:r>
        <w:r w:rsidR="00EC330F">
          <w:rPr>
            <w:rStyle w:val="Hyperlink"/>
            <w:lang w:val="sr-Latn-BA"/>
          </w:rPr>
          <w:t>EMITENATA</w:t>
        </w:r>
        <w:r w:rsidR="00A47DF9" w:rsidRPr="003500A5">
          <w:rPr>
            <w:rStyle w:val="Hyperlink"/>
            <w:lang w:val="sr-Latn-BA"/>
          </w:rPr>
          <w:t xml:space="preserve"> </w:t>
        </w:r>
        <w:r w:rsidR="00EC330F">
          <w:rPr>
            <w:rStyle w:val="Hyperlink"/>
            <w:lang w:val="sr-Latn-BA"/>
          </w:rPr>
          <w:t>HARTIJA</w:t>
        </w:r>
        <w:r w:rsidR="00A47DF9" w:rsidRPr="003500A5">
          <w:rPr>
            <w:rStyle w:val="Hyperlink"/>
            <w:lang w:val="sr-Latn-BA"/>
          </w:rPr>
          <w:t xml:space="preserve"> </w:t>
        </w:r>
        <w:r w:rsidR="00EC330F">
          <w:rPr>
            <w:rStyle w:val="Hyperlink"/>
            <w:lang w:val="sr-Latn-BA"/>
          </w:rPr>
          <w:t>OD</w:t>
        </w:r>
        <w:r w:rsidR="00A47DF9" w:rsidRPr="003500A5">
          <w:rPr>
            <w:rStyle w:val="Hyperlink"/>
            <w:lang w:val="sr-Latn-BA"/>
          </w:rPr>
          <w:t xml:space="preserve"> </w:t>
        </w:r>
        <w:r w:rsidR="00EC330F">
          <w:rPr>
            <w:rStyle w:val="Hyperlink"/>
            <w:lang w:val="sr-Latn-BA"/>
          </w:rPr>
          <w:t>VRIJEDNOSTI</w:t>
        </w:r>
        <w:r w:rsidR="00A47DF9" w:rsidRPr="003500A5">
          <w:rPr>
            <w:rStyle w:val="Hyperlink"/>
            <w:lang w:val="sr-Latn-BA"/>
          </w:rPr>
          <w:t xml:space="preserve"> </w:t>
        </w:r>
        <w:r w:rsidR="00EC330F">
          <w:rPr>
            <w:rStyle w:val="Hyperlink"/>
            <w:lang w:val="sr-Latn-BA"/>
          </w:rPr>
          <w:t>KOJE</w:t>
        </w:r>
        <w:r w:rsidR="00A47DF9" w:rsidRPr="003500A5">
          <w:rPr>
            <w:rStyle w:val="Hyperlink"/>
            <w:lang w:val="sr-Latn-BA"/>
          </w:rPr>
          <w:t xml:space="preserve"> </w:t>
        </w:r>
        <w:r w:rsidR="00EC330F">
          <w:rPr>
            <w:rStyle w:val="Hyperlink"/>
            <w:lang w:val="sr-Latn-BA"/>
          </w:rPr>
          <w:t>SU</w:t>
        </w:r>
        <w:r w:rsidR="00A47DF9" w:rsidRPr="003500A5">
          <w:rPr>
            <w:rStyle w:val="Hyperlink"/>
            <w:lang w:val="sr-Latn-BA"/>
          </w:rPr>
          <w:t xml:space="preserve"> </w:t>
        </w:r>
        <w:r w:rsidR="00EC330F">
          <w:rPr>
            <w:rStyle w:val="Hyperlink"/>
            <w:lang w:val="sr-Latn-BA"/>
          </w:rPr>
          <w:t>PREDMET</w:t>
        </w:r>
        <w:r w:rsidR="00A47DF9" w:rsidRPr="003500A5">
          <w:rPr>
            <w:rStyle w:val="Hyperlink"/>
            <w:lang w:val="sr-Latn-BA"/>
          </w:rPr>
          <w:t xml:space="preserve"> </w:t>
        </w:r>
        <w:r w:rsidR="00EC330F">
          <w:rPr>
            <w:rStyle w:val="Hyperlink"/>
            <w:lang w:val="sr-Latn-BA"/>
          </w:rPr>
          <w:t>JAVNE</w:t>
        </w:r>
        <w:r w:rsidR="00A47DF9" w:rsidRPr="003500A5">
          <w:rPr>
            <w:rStyle w:val="Hyperlink"/>
            <w:lang w:val="sr-Latn-BA"/>
          </w:rPr>
          <w:t xml:space="preserve"> </w:t>
        </w:r>
        <w:r w:rsidR="00EC330F">
          <w:rPr>
            <w:rStyle w:val="Hyperlink"/>
            <w:lang w:val="sr-Latn-BA"/>
          </w:rPr>
          <w:t>PRODAJE</w:t>
        </w:r>
        <w:r w:rsidR="00A47DF9">
          <w:rPr>
            <w:webHidden/>
          </w:rPr>
          <w:tab/>
        </w:r>
        <w:r w:rsidR="00A47DF9">
          <w:rPr>
            <w:webHidden/>
          </w:rPr>
          <w:fldChar w:fldCharType="begin"/>
        </w:r>
        <w:r w:rsidR="00A47DF9">
          <w:rPr>
            <w:webHidden/>
          </w:rPr>
          <w:instrText xml:space="preserve"> PAGEREF _Toc167962111 \h </w:instrText>
        </w:r>
        <w:r w:rsidR="00A47DF9">
          <w:rPr>
            <w:webHidden/>
          </w:rPr>
        </w:r>
        <w:r w:rsidR="00A47DF9">
          <w:rPr>
            <w:webHidden/>
          </w:rPr>
          <w:fldChar w:fldCharType="separate"/>
        </w:r>
        <w:r w:rsidR="00EC4EFC">
          <w:rPr>
            <w:webHidden/>
          </w:rPr>
          <w:t>12</w:t>
        </w:r>
        <w:r w:rsidR="00A47DF9">
          <w:rPr>
            <w:webHidden/>
          </w:rPr>
          <w:fldChar w:fldCharType="end"/>
        </w:r>
      </w:hyperlink>
    </w:p>
    <w:p w14:paraId="059A8944" w14:textId="015F8D8C" w:rsidR="00A47DF9"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2112" w:history="1">
        <w:r w:rsidR="00EC330F">
          <w:rPr>
            <w:rStyle w:val="Hyperlink"/>
            <w:lang w:val="sr-Latn-BA"/>
          </w:rPr>
          <w:t>V</w:t>
        </w:r>
        <w:r w:rsidR="00A47DF9">
          <w:rPr>
            <w:rFonts w:asciiTheme="minorHAnsi" w:eastAsiaTheme="minorEastAsia" w:hAnsiTheme="minorHAnsi" w:cstheme="minorBidi"/>
            <w:b w:val="0"/>
            <w:bCs w:val="0"/>
            <w:caps w:val="0"/>
            <w:color w:val="auto"/>
            <w:sz w:val="22"/>
            <w:szCs w:val="22"/>
            <w:lang w:val="bs-Latn-BA" w:eastAsia="bs-Latn-BA"/>
          </w:rPr>
          <w:tab/>
        </w:r>
        <w:r w:rsidR="00EC330F">
          <w:rPr>
            <w:rStyle w:val="Hyperlink"/>
            <w:lang w:val="sr-Latn-BA"/>
          </w:rPr>
          <w:t>PREUZIMANјE</w:t>
        </w:r>
        <w:r w:rsidR="00A47DF9" w:rsidRPr="003500A5">
          <w:rPr>
            <w:rStyle w:val="Hyperlink"/>
            <w:lang w:val="sr-Latn-BA"/>
          </w:rPr>
          <w:t xml:space="preserve"> </w:t>
        </w:r>
        <w:r w:rsidR="00EC330F">
          <w:rPr>
            <w:rStyle w:val="Hyperlink"/>
            <w:lang w:val="sr-Latn-BA"/>
          </w:rPr>
          <w:t>AKCIONARSKIH</w:t>
        </w:r>
        <w:r w:rsidR="00A47DF9" w:rsidRPr="003500A5">
          <w:rPr>
            <w:rStyle w:val="Hyperlink"/>
            <w:lang w:val="sr-Latn-BA"/>
          </w:rPr>
          <w:t xml:space="preserve"> </w:t>
        </w:r>
        <w:r w:rsidR="00EC330F">
          <w:rPr>
            <w:rStyle w:val="Hyperlink"/>
            <w:lang w:val="sr-Latn-BA"/>
          </w:rPr>
          <w:t>DRUŠTAVA</w:t>
        </w:r>
        <w:r w:rsidR="00A47DF9">
          <w:rPr>
            <w:webHidden/>
          </w:rPr>
          <w:tab/>
        </w:r>
        <w:r w:rsidR="00A47DF9">
          <w:rPr>
            <w:webHidden/>
          </w:rPr>
          <w:fldChar w:fldCharType="begin"/>
        </w:r>
        <w:r w:rsidR="00A47DF9">
          <w:rPr>
            <w:webHidden/>
          </w:rPr>
          <w:instrText xml:space="preserve"> PAGEREF _Toc167962112 \h </w:instrText>
        </w:r>
        <w:r w:rsidR="00A47DF9">
          <w:rPr>
            <w:webHidden/>
          </w:rPr>
        </w:r>
        <w:r w:rsidR="00A47DF9">
          <w:rPr>
            <w:webHidden/>
          </w:rPr>
          <w:fldChar w:fldCharType="separate"/>
        </w:r>
        <w:r w:rsidR="00EC4EFC">
          <w:rPr>
            <w:webHidden/>
          </w:rPr>
          <w:t>14</w:t>
        </w:r>
        <w:r w:rsidR="00A47DF9">
          <w:rPr>
            <w:webHidden/>
          </w:rPr>
          <w:fldChar w:fldCharType="end"/>
        </w:r>
      </w:hyperlink>
    </w:p>
    <w:p w14:paraId="1490A330" w14:textId="5FE2C091" w:rsidR="00A47DF9"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2113" w:history="1">
        <w:r w:rsidR="00EC330F">
          <w:rPr>
            <w:rStyle w:val="Hyperlink"/>
            <w:lang w:val="sr-Latn-BA"/>
          </w:rPr>
          <w:t>VI</w:t>
        </w:r>
        <w:r w:rsidR="00A47DF9">
          <w:rPr>
            <w:rFonts w:asciiTheme="minorHAnsi" w:eastAsiaTheme="minorEastAsia" w:hAnsiTheme="minorHAnsi" w:cstheme="minorBidi"/>
            <w:b w:val="0"/>
            <w:bCs w:val="0"/>
            <w:caps w:val="0"/>
            <w:color w:val="auto"/>
            <w:sz w:val="22"/>
            <w:szCs w:val="22"/>
            <w:lang w:val="bs-Latn-BA" w:eastAsia="bs-Latn-BA"/>
          </w:rPr>
          <w:tab/>
        </w:r>
        <w:r w:rsidR="00EC330F">
          <w:rPr>
            <w:rStyle w:val="Hyperlink"/>
            <w:lang w:val="sr-Latn-BA"/>
          </w:rPr>
          <w:t>PROMJENA</w:t>
        </w:r>
        <w:r w:rsidR="00A47DF9" w:rsidRPr="003500A5">
          <w:rPr>
            <w:rStyle w:val="Hyperlink"/>
            <w:lang w:val="sr-Latn-BA"/>
          </w:rPr>
          <w:t xml:space="preserve"> </w:t>
        </w:r>
        <w:r w:rsidR="00EC330F">
          <w:rPr>
            <w:rStyle w:val="Hyperlink"/>
            <w:lang w:val="sr-Latn-BA"/>
          </w:rPr>
          <w:t>OBLIKA</w:t>
        </w:r>
        <w:r w:rsidR="00A47DF9" w:rsidRPr="003500A5">
          <w:rPr>
            <w:rStyle w:val="Hyperlink"/>
            <w:lang w:val="sr-Latn-BA"/>
          </w:rPr>
          <w:t xml:space="preserve"> </w:t>
        </w:r>
        <w:r w:rsidR="00EC330F">
          <w:rPr>
            <w:rStyle w:val="Hyperlink"/>
            <w:lang w:val="sr-Latn-BA"/>
          </w:rPr>
          <w:t>AKCIONARSKOG</w:t>
        </w:r>
        <w:r w:rsidR="00A47DF9" w:rsidRPr="003500A5">
          <w:rPr>
            <w:rStyle w:val="Hyperlink"/>
            <w:lang w:val="sr-Latn-BA"/>
          </w:rPr>
          <w:t xml:space="preserve"> </w:t>
        </w:r>
        <w:r w:rsidR="00EC330F">
          <w:rPr>
            <w:rStyle w:val="Hyperlink"/>
            <w:lang w:val="sr-Latn-BA"/>
          </w:rPr>
          <w:t>DRUŠTVA</w:t>
        </w:r>
        <w:r w:rsidR="00A47DF9" w:rsidRPr="003500A5">
          <w:rPr>
            <w:rStyle w:val="Hyperlink"/>
            <w:lang w:val="sr-Latn-BA"/>
          </w:rPr>
          <w:t xml:space="preserve"> </w:t>
        </w:r>
        <w:r w:rsidR="00EC330F">
          <w:rPr>
            <w:rStyle w:val="Hyperlink"/>
            <w:lang w:val="sr-Latn-BA"/>
          </w:rPr>
          <w:t>I</w:t>
        </w:r>
        <w:r w:rsidR="00A47DF9" w:rsidRPr="003500A5">
          <w:rPr>
            <w:rStyle w:val="Hyperlink"/>
            <w:lang w:val="sr-Latn-BA"/>
          </w:rPr>
          <w:t xml:space="preserve"> </w:t>
        </w:r>
        <w:r w:rsidR="00EC330F">
          <w:rPr>
            <w:rStyle w:val="Hyperlink"/>
            <w:lang w:val="sr-Latn-BA"/>
          </w:rPr>
          <w:t>PROMJENA</w:t>
        </w:r>
        <w:r w:rsidR="00A47DF9" w:rsidRPr="003500A5">
          <w:rPr>
            <w:rStyle w:val="Hyperlink"/>
            <w:lang w:val="sr-Latn-BA"/>
          </w:rPr>
          <w:t xml:space="preserve"> </w:t>
        </w:r>
        <w:r w:rsidR="00EC330F">
          <w:rPr>
            <w:rStyle w:val="Hyperlink"/>
            <w:lang w:val="sr-Latn-BA"/>
          </w:rPr>
          <w:t>PRAVNE</w:t>
        </w:r>
        <w:r w:rsidR="00A47DF9" w:rsidRPr="003500A5">
          <w:rPr>
            <w:rStyle w:val="Hyperlink"/>
            <w:lang w:val="sr-Latn-BA"/>
          </w:rPr>
          <w:t xml:space="preserve"> </w:t>
        </w:r>
        <w:r w:rsidR="00EC330F">
          <w:rPr>
            <w:rStyle w:val="Hyperlink"/>
            <w:lang w:val="sr-Latn-BA"/>
          </w:rPr>
          <w:t>FORME</w:t>
        </w:r>
        <w:r w:rsidR="00A47DF9">
          <w:rPr>
            <w:webHidden/>
          </w:rPr>
          <w:tab/>
        </w:r>
        <w:r w:rsidR="00A47DF9">
          <w:rPr>
            <w:webHidden/>
          </w:rPr>
          <w:fldChar w:fldCharType="begin"/>
        </w:r>
        <w:r w:rsidR="00A47DF9">
          <w:rPr>
            <w:webHidden/>
          </w:rPr>
          <w:instrText xml:space="preserve"> PAGEREF _Toc167962113 \h </w:instrText>
        </w:r>
        <w:r w:rsidR="00A47DF9">
          <w:rPr>
            <w:webHidden/>
          </w:rPr>
        </w:r>
        <w:r w:rsidR="00A47DF9">
          <w:rPr>
            <w:webHidden/>
          </w:rPr>
          <w:fldChar w:fldCharType="separate"/>
        </w:r>
        <w:r w:rsidR="00EC4EFC">
          <w:rPr>
            <w:webHidden/>
          </w:rPr>
          <w:t>15</w:t>
        </w:r>
        <w:r w:rsidR="00A47DF9">
          <w:rPr>
            <w:webHidden/>
          </w:rPr>
          <w:fldChar w:fldCharType="end"/>
        </w:r>
      </w:hyperlink>
    </w:p>
    <w:p w14:paraId="0BD125BB" w14:textId="36BD8D89" w:rsidR="00A47DF9"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2114" w:history="1">
        <w:r w:rsidR="00EC330F">
          <w:rPr>
            <w:rStyle w:val="Hyperlink"/>
            <w:lang w:val="sr-Latn-BA"/>
          </w:rPr>
          <w:t>VII</w:t>
        </w:r>
        <w:r w:rsidR="00A47DF9">
          <w:rPr>
            <w:rFonts w:asciiTheme="minorHAnsi" w:eastAsiaTheme="minorEastAsia" w:hAnsiTheme="minorHAnsi" w:cstheme="minorBidi"/>
            <w:b w:val="0"/>
            <w:bCs w:val="0"/>
            <w:caps w:val="0"/>
            <w:color w:val="auto"/>
            <w:sz w:val="22"/>
            <w:szCs w:val="22"/>
            <w:lang w:val="bs-Latn-BA" w:eastAsia="bs-Latn-BA"/>
          </w:rPr>
          <w:tab/>
        </w:r>
        <w:r w:rsidR="00EC330F">
          <w:rPr>
            <w:rStyle w:val="Hyperlink"/>
            <w:lang w:val="sr-Latn-BA"/>
          </w:rPr>
          <w:t>IZDAVANјE</w:t>
        </w:r>
        <w:r w:rsidR="00A47DF9" w:rsidRPr="003500A5">
          <w:rPr>
            <w:rStyle w:val="Hyperlink"/>
            <w:lang w:val="sr-Latn-BA"/>
          </w:rPr>
          <w:t xml:space="preserve"> </w:t>
        </w:r>
        <w:r w:rsidR="00EC330F">
          <w:rPr>
            <w:rStyle w:val="Hyperlink"/>
            <w:lang w:val="sr-Latn-BA"/>
          </w:rPr>
          <w:t>DOZVOLA</w:t>
        </w:r>
        <w:r w:rsidR="00A47DF9" w:rsidRPr="003500A5">
          <w:rPr>
            <w:rStyle w:val="Hyperlink"/>
            <w:lang w:val="sr-Latn-BA"/>
          </w:rPr>
          <w:t xml:space="preserve"> </w:t>
        </w:r>
        <w:r w:rsidR="00EC330F">
          <w:rPr>
            <w:rStyle w:val="Hyperlink"/>
            <w:lang w:val="sr-Latn-BA"/>
          </w:rPr>
          <w:t>I</w:t>
        </w:r>
        <w:r w:rsidR="00A47DF9" w:rsidRPr="003500A5">
          <w:rPr>
            <w:rStyle w:val="Hyperlink"/>
            <w:lang w:val="sr-Latn-BA"/>
          </w:rPr>
          <w:t xml:space="preserve"> </w:t>
        </w:r>
        <w:r w:rsidR="00EC330F">
          <w:rPr>
            <w:rStyle w:val="Hyperlink"/>
            <w:lang w:val="sr-Latn-BA"/>
          </w:rPr>
          <w:t>SAGLASNOSTI</w:t>
        </w:r>
        <w:r w:rsidR="00A47DF9" w:rsidRPr="003500A5">
          <w:rPr>
            <w:rStyle w:val="Hyperlink"/>
            <w:lang w:val="sr-Latn-BA"/>
          </w:rPr>
          <w:t xml:space="preserve"> </w:t>
        </w:r>
        <w:r w:rsidR="00EC330F">
          <w:rPr>
            <w:rStyle w:val="Hyperlink"/>
            <w:lang w:val="sr-Latn-BA"/>
          </w:rPr>
          <w:t>UČESNICIMA</w:t>
        </w:r>
        <w:r w:rsidR="00A47DF9" w:rsidRPr="003500A5">
          <w:rPr>
            <w:rStyle w:val="Hyperlink"/>
            <w:lang w:val="sr-Latn-BA"/>
          </w:rPr>
          <w:t xml:space="preserve"> </w:t>
        </w:r>
        <w:r w:rsidR="00EC330F">
          <w:rPr>
            <w:rStyle w:val="Hyperlink"/>
            <w:lang w:val="sr-Latn-BA"/>
          </w:rPr>
          <w:t>NA</w:t>
        </w:r>
        <w:r w:rsidR="00A47DF9" w:rsidRPr="003500A5">
          <w:rPr>
            <w:rStyle w:val="Hyperlink"/>
            <w:lang w:val="sr-Latn-BA"/>
          </w:rPr>
          <w:t xml:space="preserve"> </w:t>
        </w:r>
        <w:r w:rsidR="00EC330F">
          <w:rPr>
            <w:rStyle w:val="Hyperlink"/>
            <w:lang w:val="sr-Latn-BA"/>
          </w:rPr>
          <w:t>TRŽIŠTU</w:t>
        </w:r>
        <w:r w:rsidR="00A47DF9">
          <w:rPr>
            <w:webHidden/>
          </w:rPr>
          <w:tab/>
        </w:r>
        <w:r w:rsidR="00A47DF9">
          <w:rPr>
            <w:webHidden/>
          </w:rPr>
          <w:fldChar w:fldCharType="begin"/>
        </w:r>
        <w:r w:rsidR="00A47DF9">
          <w:rPr>
            <w:webHidden/>
          </w:rPr>
          <w:instrText xml:space="preserve"> PAGEREF _Toc167962114 \h </w:instrText>
        </w:r>
        <w:r w:rsidR="00A47DF9">
          <w:rPr>
            <w:webHidden/>
          </w:rPr>
        </w:r>
        <w:r w:rsidR="00A47DF9">
          <w:rPr>
            <w:webHidden/>
          </w:rPr>
          <w:fldChar w:fldCharType="separate"/>
        </w:r>
        <w:r w:rsidR="00EC4EFC">
          <w:rPr>
            <w:webHidden/>
          </w:rPr>
          <w:t>16</w:t>
        </w:r>
        <w:r w:rsidR="00A47DF9">
          <w:rPr>
            <w:webHidden/>
          </w:rPr>
          <w:fldChar w:fldCharType="end"/>
        </w:r>
      </w:hyperlink>
    </w:p>
    <w:p w14:paraId="71A140BC" w14:textId="70A3ABED" w:rsidR="00A47DF9" w:rsidRDefault="00000000">
      <w:pPr>
        <w:pStyle w:val="TOC2"/>
        <w:rPr>
          <w:rFonts w:asciiTheme="minorHAnsi" w:eastAsiaTheme="minorEastAsia" w:hAnsiTheme="minorHAnsi" w:cstheme="minorBidi"/>
          <w:sz w:val="22"/>
          <w:szCs w:val="22"/>
          <w:lang w:val="bs-Latn-BA" w:eastAsia="bs-Latn-BA"/>
        </w:rPr>
      </w:pPr>
      <w:hyperlink w:anchor="_Toc167962115" w:history="1">
        <w:r w:rsidR="00A47DF9" w:rsidRPr="003500A5">
          <w:rPr>
            <w:rStyle w:val="Hyperlink"/>
            <w:lang w:val="sr-Latn-BA"/>
          </w:rPr>
          <w:t>1.</w:t>
        </w:r>
        <w:r w:rsidR="00A47DF9">
          <w:rPr>
            <w:rFonts w:asciiTheme="minorHAnsi" w:eastAsiaTheme="minorEastAsia" w:hAnsiTheme="minorHAnsi" w:cstheme="minorBidi"/>
            <w:sz w:val="22"/>
            <w:szCs w:val="22"/>
            <w:lang w:val="bs-Latn-BA" w:eastAsia="bs-Latn-BA"/>
          </w:rPr>
          <w:tab/>
        </w:r>
        <w:r w:rsidR="00EC330F">
          <w:rPr>
            <w:rStyle w:val="Hyperlink"/>
            <w:lang w:val="sr-Latn-BA"/>
          </w:rPr>
          <w:t>Izdavanje</w:t>
        </w:r>
        <w:r w:rsidR="00A47DF9" w:rsidRPr="003500A5">
          <w:rPr>
            <w:rStyle w:val="Hyperlink"/>
            <w:lang w:val="sr-Latn-BA"/>
          </w:rPr>
          <w:t xml:space="preserve"> </w:t>
        </w:r>
        <w:r w:rsidR="00EC330F">
          <w:rPr>
            <w:rStyle w:val="Hyperlink"/>
            <w:lang w:val="sr-Latn-BA"/>
          </w:rPr>
          <w:t>dozvola</w:t>
        </w:r>
        <w:r w:rsidR="00A47DF9" w:rsidRPr="003500A5">
          <w:rPr>
            <w:rStyle w:val="Hyperlink"/>
            <w:lang w:val="sr-Latn-BA"/>
          </w:rPr>
          <w:t xml:space="preserve"> </w:t>
        </w:r>
        <w:r w:rsidR="00EC330F">
          <w:rPr>
            <w:rStyle w:val="Hyperlink"/>
            <w:lang w:val="sr-Latn-BA"/>
          </w:rPr>
          <w:t>i</w:t>
        </w:r>
        <w:r w:rsidR="00A47DF9" w:rsidRPr="003500A5">
          <w:rPr>
            <w:rStyle w:val="Hyperlink"/>
            <w:lang w:val="sr-Latn-BA"/>
          </w:rPr>
          <w:t xml:space="preserve"> </w:t>
        </w:r>
        <w:r w:rsidR="00EC330F">
          <w:rPr>
            <w:rStyle w:val="Hyperlink"/>
            <w:lang w:val="sr-Latn-BA"/>
          </w:rPr>
          <w:t>saglasnosti</w:t>
        </w:r>
        <w:r w:rsidR="00A47DF9" w:rsidRPr="003500A5">
          <w:rPr>
            <w:rStyle w:val="Hyperlink"/>
            <w:lang w:val="sr-Latn-BA"/>
          </w:rPr>
          <w:t xml:space="preserve"> </w:t>
        </w:r>
        <w:r w:rsidR="00EC330F">
          <w:rPr>
            <w:rStyle w:val="Hyperlink"/>
            <w:lang w:val="sr-Latn-BA"/>
          </w:rPr>
          <w:t>učesnicima</w:t>
        </w:r>
        <w:r w:rsidR="00A47DF9" w:rsidRPr="003500A5">
          <w:rPr>
            <w:rStyle w:val="Hyperlink"/>
            <w:lang w:val="sr-Latn-BA"/>
          </w:rPr>
          <w:t xml:space="preserve"> </w:t>
        </w:r>
        <w:r w:rsidR="00EC330F">
          <w:rPr>
            <w:rStyle w:val="Hyperlink"/>
            <w:lang w:val="sr-Latn-BA"/>
          </w:rPr>
          <w:t>na</w:t>
        </w:r>
        <w:r w:rsidR="00A47DF9" w:rsidRPr="003500A5">
          <w:rPr>
            <w:rStyle w:val="Hyperlink"/>
            <w:lang w:val="sr-Latn-BA"/>
          </w:rPr>
          <w:t xml:space="preserve"> </w:t>
        </w:r>
        <w:r w:rsidR="00EC330F">
          <w:rPr>
            <w:rStyle w:val="Hyperlink"/>
            <w:lang w:val="sr-Latn-BA"/>
          </w:rPr>
          <w:t>tržištu</w:t>
        </w:r>
        <w:r w:rsidR="00A47DF9" w:rsidRPr="003500A5">
          <w:rPr>
            <w:rStyle w:val="Hyperlink"/>
            <w:lang w:val="sr-Latn-BA"/>
          </w:rPr>
          <w:t xml:space="preserve"> </w:t>
        </w:r>
        <w:r w:rsidR="00EC330F">
          <w:rPr>
            <w:rStyle w:val="Hyperlink"/>
            <w:lang w:val="sr-Latn-BA"/>
          </w:rPr>
          <w:t>u</w:t>
        </w:r>
        <w:r w:rsidR="00A47DF9" w:rsidRPr="003500A5">
          <w:rPr>
            <w:rStyle w:val="Hyperlink"/>
            <w:lang w:val="sr-Latn-BA"/>
          </w:rPr>
          <w:t xml:space="preserve"> </w:t>
        </w:r>
        <w:r w:rsidR="00EC330F">
          <w:rPr>
            <w:rStyle w:val="Hyperlink"/>
            <w:lang w:val="sr-Latn-BA"/>
          </w:rPr>
          <w:t>skladu</w:t>
        </w:r>
        <w:r w:rsidR="00A47DF9" w:rsidRPr="003500A5">
          <w:rPr>
            <w:rStyle w:val="Hyperlink"/>
            <w:lang w:val="sr-Latn-BA"/>
          </w:rPr>
          <w:t xml:space="preserve"> </w:t>
        </w:r>
        <w:r w:rsidR="00EC330F">
          <w:rPr>
            <w:rStyle w:val="Hyperlink"/>
            <w:lang w:val="sr-Latn-BA"/>
          </w:rPr>
          <w:t>sa</w:t>
        </w:r>
        <w:r w:rsidR="00A47DF9" w:rsidRPr="003500A5">
          <w:rPr>
            <w:rStyle w:val="Hyperlink"/>
            <w:lang w:val="sr-Latn-BA"/>
          </w:rPr>
          <w:t xml:space="preserve"> </w:t>
        </w:r>
        <w:r w:rsidR="00EC330F">
          <w:rPr>
            <w:rStyle w:val="Hyperlink"/>
            <w:lang w:val="sr-Latn-BA"/>
          </w:rPr>
          <w:t>Zakonom</w:t>
        </w:r>
        <w:r w:rsidR="00A47DF9" w:rsidRPr="003500A5">
          <w:rPr>
            <w:rStyle w:val="Hyperlink"/>
            <w:lang w:val="sr-Latn-BA"/>
          </w:rPr>
          <w:t xml:space="preserve"> </w:t>
        </w:r>
        <w:r w:rsidR="00EC330F">
          <w:rPr>
            <w:rStyle w:val="Hyperlink"/>
            <w:lang w:val="sr-Latn-BA"/>
          </w:rPr>
          <w:t>o</w:t>
        </w:r>
        <w:r w:rsidR="00A47DF9" w:rsidRPr="003500A5">
          <w:rPr>
            <w:rStyle w:val="Hyperlink"/>
            <w:lang w:val="sr-Latn-BA"/>
          </w:rPr>
          <w:t xml:space="preserve"> </w:t>
        </w:r>
        <w:r w:rsidR="00EC330F">
          <w:rPr>
            <w:rStyle w:val="Hyperlink"/>
            <w:lang w:val="sr-Latn-BA"/>
          </w:rPr>
          <w:t>tržištu</w:t>
        </w:r>
        <w:r w:rsidR="00A47DF9" w:rsidRPr="003500A5">
          <w:rPr>
            <w:rStyle w:val="Hyperlink"/>
            <w:lang w:val="sr-Latn-BA"/>
          </w:rPr>
          <w:t xml:space="preserve"> </w:t>
        </w:r>
        <w:r w:rsidR="00EC330F">
          <w:rPr>
            <w:rStyle w:val="Hyperlink"/>
            <w:lang w:val="sr-Latn-BA"/>
          </w:rPr>
          <w:t>hartija</w:t>
        </w:r>
        <w:r w:rsidR="00A47DF9" w:rsidRPr="003500A5">
          <w:rPr>
            <w:rStyle w:val="Hyperlink"/>
            <w:lang w:val="sr-Latn-BA"/>
          </w:rPr>
          <w:t xml:space="preserve"> </w:t>
        </w:r>
        <w:r w:rsidR="00EC330F">
          <w:rPr>
            <w:rStyle w:val="Hyperlink"/>
            <w:lang w:val="sr-Latn-BA"/>
          </w:rPr>
          <w:t>od</w:t>
        </w:r>
        <w:r w:rsidR="00A47DF9" w:rsidRPr="003500A5">
          <w:rPr>
            <w:rStyle w:val="Hyperlink"/>
            <w:lang w:val="sr-Latn-BA"/>
          </w:rPr>
          <w:t xml:space="preserve"> </w:t>
        </w:r>
        <w:r w:rsidR="00EC330F">
          <w:rPr>
            <w:rStyle w:val="Hyperlink"/>
            <w:lang w:val="sr-Latn-BA"/>
          </w:rPr>
          <w:t>vrijednosti</w:t>
        </w:r>
        <w:r w:rsidR="00A47DF9">
          <w:rPr>
            <w:webHidden/>
          </w:rPr>
          <w:tab/>
        </w:r>
        <w:r w:rsidR="00A47DF9">
          <w:rPr>
            <w:webHidden/>
          </w:rPr>
          <w:fldChar w:fldCharType="begin"/>
        </w:r>
        <w:r w:rsidR="00A47DF9">
          <w:rPr>
            <w:webHidden/>
          </w:rPr>
          <w:instrText xml:space="preserve"> PAGEREF _Toc167962115 \h </w:instrText>
        </w:r>
        <w:r w:rsidR="00A47DF9">
          <w:rPr>
            <w:webHidden/>
          </w:rPr>
        </w:r>
        <w:r w:rsidR="00A47DF9">
          <w:rPr>
            <w:webHidden/>
          </w:rPr>
          <w:fldChar w:fldCharType="separate"/>
        </w:r>
        <w:r w:rsidR="00EC4EFC">
          <w:rPr>
            <w:webHidden/>
          </w:rPr>
          <w:t>16</w:t>
        </w:r>
        <w:r w:rsidR="00A47DF9">
          <w:rPr>
            <w:webHidden/>
          </w:rPr>
          <w:fldChar w:fldCharType="end"/>
        </w:r>
      </w:hyperlink>
    </w:p>
    <w:p w14:paraId="523D6947" w14:textId="3E54CA16" w:rsidR="00A47DF9" w:rsidRDefault="00000000">
      <w:pPr>
        <w:pStyle w:val="TOC2"/>
        <w:rPr>
          <w:rFonts w:asciiTheme="minorHAnsi" w:eastAsiaTheme="minorEastAsia" w:hAnsiTheme="minorHAnsi" w:cstheme="minorBidi"/>
          <w:sz w:val="22"/>
          <w:szCs w:val="22"/>
          <w:lang w:val="bs-Latn-BA" w:eastAsia="bs-Latn-BA"/>
        </w:rPr>
      </w:pPr>
      <w:hyperlink w:anchor="_Toc167962116" w:history="1">
        <w:r w:rsidR="00A47DF9" w:rsidRPr="003500A5">
          <w:rPr>
            <w:rStyle w:val="Hyperlink"/>
            <w:lang w:val="sr-Latn-BA"/>
          </w:rPr>
          <w:t>2.</w:t>
        </w:r>
        <w:r w:rsidR="00A47DF9">
          <w:rPr>
            <w:rFonts w:asciiTheme="minorHAnsi" w:eastAsiaTheme="minorEastAsia" w:hAnsiTheme="minorHAnsi" w:cstheme="minorBidi"/>
            <w:sz w:val="22"/>
            <w:szCs w:val="22"/>
            <w:lang w:val="bs-Latn-BA" w:eastAsia="bs-Latn-BA"/>
          </w:rPr>
          <w:tab/>
        </w:r>
        <w:r w:rsidR="00EC330F">
          <w:rPr>
            <w:rStyle w:val="Hyperlink"/>
            <w:lang w:val="sr-Latn-BA"/>
          </w:rPr>
          <w:t>Izdavanje</w:t>
        </w:r>
        <w:r w:rsidR="00A47DF9" w:rsidRPr="003500A5">
          <w:rPr>
            <w:rStyle w:val="Hyperlink"/>
            <w:lang w:val="sr-Latn-BA"/>
          </w:rPr>
          <w:t xml:space="preserve"> </w:t>
        </w:r>
        <w:r w:rsidR="00EC330F">
          <w:rPr>
            <w:rStyle w:val="Hyperlink"/>
            <w:lang w:val="sr-Latn-BA"/>
          </w:rPr>
          <w:t>dozvola</w:t>
        </w:r>
        <w:r w:rsidR="00A47DF9" w:rsidRPr="003500A5">
          <w:rPr>
            <w:rStyle w:val="Hyperlink"/>
            <w:lang w:val="sr-Latn-BA"/>
          </w:rPr>
          <w:t xml:space="preserve"> </w:t>
        </w:r>
        <w:r w:rsidR="00EC330F">
          <w:rPr>
            <w:rStyle w:val="Hyperlink"/>
            <w:lang w:val="sr-Latn-BA"/>
          </w:rPr>
          <w:t>i</w:t>
        </w:r>
        <w:r w:rsidR="00A47DF9" w:rsidRPr="003500A5">
          <w:rPr>
            <w:rStyle w:val="Hyperlink"/>
            <w:lang w:val="sr-Latn-BA"/>
          </w:rPr>
          <w:t xml:space="preserve"> </w:t>
        </w:r>
        <w:r w:rsidR="00EC330F">
          <w:rPr>
            <w:rStyle w:val="Hyperlink"/>
            <w:lang w:val="sr-Latn-BA"/>
          </w:rPr>
          <w:t>saglasnosti</w:t>
        </w:r>
        <w:r w:rsidR="00A47DF9" w:rsidRPr="003500A5">
          <w:rPr>
            <w:rStyle w:val="Hyperlink"/>
            <w:lang w:val="sr-Latn-BA"/>
          </w:rPr>
          <w:t xml:space="preserve"> </w:t>
        </w:r>
        <w:r w:rsidR="00EC330F">
          <w:rPr>
            <w:rStyle w:val="Hyperlink"/>
            <w:lang w:val="sr-Latn-BA"/>
          </w:rPr>
          <w:t>učesnicima</w:t>
        </w:r>
        <w:r w:rsidR="00A47DF9" w:rsidRPr="003500A5">
          <w:rPr>
            <w:rStyle w:val="Hyperlink"/>
            <w:lang w:val="sr-Latn-BA"/>
          </w:rPr>
          <w:t xml:space="preserve"> </w:t>
        </w:r>
        <w:r w:rsidR="00EC330F">
          <w:rPr>
            <w:rStyle w:val="Hyperlink"/>
            <w:lang w:val="sr-Latn-BA"/>
          </w:rPr>
          <w:t>na</w:t>
        </w:r>
        <w:r w:rsidR="00A47DF9" w:rsidRPr="003500A5">
          <w:rPr>
            <w:rStyle w:val="Hyperlink"/>
            <w:lang w:val="sr-Latn-BA"/>
          </w:rPr>
          <w:t xml:space="preserve"> </w:t>
        </w:r>
        <w:r w:rsidR="00EC330F">
          <w:rPr>
            <w:rStyle w:val="Hyperlink"/>
            <w:lang w:val="sr-Latn-BA"/>
          </w:rPr>
          <w:t>tržištu</w:t>
        </w:r>
        <w:r w:rsidR="00A47DF9" w:rsidRPr="003500A5">
          <w:rPr>
            <w:rStyle w:val="Hyperlink"/>
            <w:lang w:val="sr-Latn-BA"/>
          </w:rPr>
          <w:t xml:space="preserve"> </w:t>
        </w:r>
        <w:r w:rsidR="00EC330F">
          <w:rPr>
            <w:rStyle w:val="Hyperlink"/>
            <w:lang w:val="sr-Latn-BA"/>
          </w:rPr>
          <w:t>u</w:t>
        </w:r>
        <w:r w:rsidR="00A47DF9" w:rsidRPr="003500A5">
          <w:rPr>
            <w:rStyle w:val="Hyperlink"/>
            <w:lang w:val="sr-Latn-BA"/>
          </w:rPr>
          <w:t xml:space="preserve"> </w:t>
        </w:r>
        <w:r w:rsidR="00EC330F">
          <w:rPr>
            <w:rStyle w:val="Hyperlink"/>
            <w:lang w:val="sr-Latn-BA"/>
          </w:rPr>
          <w:t>skladu</w:t>
        </w:r>
        <w:r w:rsidR="00A47DF9" w:rsidRPr="003500A5">
          <w:rPr>
            <w:rStyle w:val="Hyperlink"/>
            <w:lang w:val="sr-Latn-BA"/>
          </w:rPr>
          <w:t xml:space="preserve"> </w:t>
        </w:r>
        <w:r w:rsidR="00EC330F">
          <w:rPr>
            <w:rStyle w:val="Hyperlink"/>
            <w:lang w:val="sr-Latn-BA"/>
          </w:rPr>
          <w:t>sa</w:t>
        </w:r>
        <w:r w:rsidR="00A47DF9" w:rsidRPr="003500A5">
          <w:rPr>
            <w:rStyle w:val="Hyperlink"/>
            <w:lang w:val="sr-Latn-BA"/>
          </w:rPr>
          <w:t xml:space="preserve"> </w:t>
        </w:r>
        <w:r w:rsidR="00EC330F">
          <w:rPr>
            <w:rStyle w:val="Hyperlink"/>
            <w:lang w:val="sr-Latn-BA"/>
          </w:rPr>
          <w:t>Zakonom</w:t>
        </w:r>
        <w:r w:rsidR="00A47DF9" w:rsidRPr="003500A5">
          <w:rPr>
            <w:rStyle w:val="Hyperlink"/>
            <w:lang w:val="sr-Latn-BA"/>
          </w:rPr>
          <w:t xml:space="preserve"> </w:t>
        </w:r>
        <w:r w:rsidR="00EC330F">
          <w:rPr>
            <w:rStyle w:val="Hyperlink"/>
            <w:lang w:val="sr-Latn-BA"/>
          </w:rPr>
          <w:t>o</w:t>
        </w:r>
        <w:r w:rsidR="00A47DF9" w:rsidRPr="003500A5">
          <w:rPr>
            <w:rStyle w:val="Hyperlink"/>
            <w:lang w:val="sr-Latn-BA"/>
          </w:rPr>
          <w:t xml:space="preserve"> </w:t>
        </w:r>
        <w:r w:rsidR="00EC330F">
          <w:rPr>
            <w:rStyle w:val="Hyperlink"/>
            <w:lang w:val="sr-Latn-BA"/>
          </w:rPr>
          <w:t>investicionim</w:t>
        </w:r>
        <w:r w:rsidR="00A47DF9" w:rsidRPr="003500A5">
          <w:rPr>
            <w:rStyle w:val="Hyperlink"/>
            <w:lang w:val="sr-Latn-BA"/>
          </w:rPr>
          <w:t xml:space="preserve"> </w:t>
        </w:r>
        <w:r w:rsidR="00EC330F">
          <w:rPr>
            <w:rStyle w:val="Hyperlink"/>
            <w:lang w:val="sr-Latn-BA"/>
          </w:rPr>
          <w:t>fondovima</w:t>
        </w:r>
        <w:r w:rsidR="00A47DF9">
          <w:rPr>
            <w:webHidden/>
          </w:rPr>
          <w:tab/>
        </w:r>
        <w:r w:rsidR="00A47DF9">
          <w:rPr>
            <w:webHidden/>
          </w:rPr>
          <w:fldChar w:fldCharType="begin"/>
        </w:r>
        <w:r w:rsidR="00A47DF9">
          <w:rPr>
            <w:webHidden/>
          </w:rPr>
          <w:instrText xml:space="preserve"> PAGEREF _Toc167962116 \h </w:instrText>
        </w:r>
        <w:r w:rsidR="00A47DF9">
          <w:rPr>
            <w:webHidden/>
          </w:rPr>
        </w:r>
        <w:r w:rsidR="00A47DF9">
          <w:rPr>
            <w:webHidden/>
          </w:rPr>
          <w:fldChar w:fldCharType="separate"/>
        </w:r>
        <w:r w:rsidR="00EC4EFC">
          <w:rPr>
            <w:webHidden/>
          </w:rPr>
          <w:t>19</w:t>
        </w:r>
        <w:r w:rsidR="00A47DF9">
          <w:rPr>
            <w:webHidden/>
          </w:rPr>
          <w:fldChar w:fldCharType="end"/>
        </w:r>
      </w:hyperlink>
    </w:p>
    <w:p w14:paraId="18FCA1BC" w14:textId="5A2979C4" w:rsidR="00A47DF9" w:rsidRDefault="00000000">
      <w:pPr>
        <w:pStyle w:val="TOC2"/>
        <w:rPr>
          <w:rFonts w:asciiTheme="minorHAnsi" w:eastAsiaTheme="minorEastAsia" w:hAnsiTheme="minorHAnsi" w:cstheme="minorBidi"/>
          <w:sz w:val="22"/>
          <w:szCs w:val="22"/>
          <w:lang w:val="bs-Latn-BA" w:eastAsia="bs-Latn-BA"/>
        </w:rPr>
      </w:pPr>
      <w:hyperlink w:anchor="_Toc167962117" w:history="1">
        <w:r w:rsidR="00A47DF9" w:rsidRPr="003500A5">
          <w:rPr>
            <w:rStyle w:val="Hyperlink"/>
            <w:lang w:val="sr-Latn-BA"/>
          </w:rPr>
          <w:t>3.</w:t>
        </w:r>
        <w:r w:rsidR="00A47DF9">
          <w:rPr>
            <w:rFonts w:asciiTheme="minorHAnsi" w:eastAsiaTheme="minorEastAsia" w:hAnsiTheme="minorHAnsi" w:cstheme="minorBidi"/>
            <w:sz w:val="22"/>
            <w:szCs w:val="22"/>
            <w:lang w:val="bs-Latn-BA" w:eastAsia="bs-Latn-BA"/>
          </w:rPr>
          <w:tab/>
        </w:r>
        <w:r w:rsidR="00EC330F">
          <w:rPr>
            <w:rStyle w:val="Hyperlink"/>
            <w:lang w:val="sr-Latn-BA"/>
          </w:rPr>
          <w:t>Izdavanje</w:t>
        </w:r>
        <w:r w:rsidR="00A47DF9" w:rsidRPr="003500A5">
          <w:rPr>
            <w:rStyle w:val="Hyperlink"/>
            <w:lang w:val="sr-Latn-BA"/>
          </w:rPr>
          <w:t xml:space="preserve"> </w:t>
        </w:r>
        <w:r w:rsidR="00EC330F">
          <w:rPr>
            <w:rStyle w:val="Hyperlink"/>
            <w:lang w:val="sr-Latn-BA"/>
          </w:rPr>
          <w:t>dozvola</w:t>
        </w:r>
        <w:r w:rsidR="00A47DF9" w:rsidRPr="003500A5">
          <w:rPr>
            <w:rStyle w:val="Hyperlink"/>
            <w:lang w:val="sr-Latn-BA"/>
          </w:rPr>
          <w:t xml:space="preserve"> </w:t>
        </w:r>
        <w:r w:rsidR="00EC330F">
          <w:rPr>
            <w:rStyle w:val="Hyperlink"/>
            <w:lang w:val="sr-Latn-BA"/>
          </w:rPr>
          <w:t>i</w:t>
        </w:r>
        <w:r w:rsidR="00A47DF9" w:rsidRPr="003500A5">
          <w:rPr>
            <w:rStyle w:val="Hyperlink"/>
            <w:lang w:val="sr-Latn-BA"/>
          </w:rPr>
          <w:t xml:space="preserve"> </w:t>
        </w:r>
        <w:r w:rsidR="00EC330F">
          <w:rPr>
            <w:rStyle w:val="Hyperlink"/>
            <w:lang w:val="sr-Latn-BA"/>
          </w:rPr>
          <w:t>saglasnosti</w:t>
        </w:r>
        <w:r w:rsidR="00A47DF9" w:rsidRPr="003500A5">
          <w:rPr>
            <w:rStyle w:val="Hyperlink"/>
            <w:lang w:val="sr-Latn-BA"/>
          </w:rPr>
          <w:t xml:space="preserve"> </w:t>
        </w:r>
        <w:r w:rsidR="00EC330F">
          <w:rPr>
            <w:rStyle w:val="Hyperlink"/>
            <w:lang w:val="sr-Latn-BA"/>
          </w:rPr>
          <w:t>učesnicima</w:t>
        </w:r>
        <w:r w:rsidR="00A47DF9" w:rsidRPr="003500A5">
          <w:rPr>
            <w:rStyle w:val="Hyperlink"/>
            <w:lang w:val="sr-Latn-BA"/>
          </w:rPr>
          <w:t xml:space="preserve"> </w:t>
        </w:r>
        <w:r w:rsidR="00EC330F">
          <w:rPr>
            <w:rStyle w:val="Hyperlink"/>
            <w:lang w:val="sr-Latn-BA"/>
          </w:rPr>
          <w:t>na</w:t>
        </w:r>
        <w:r w:rsidR="00A47DF9" w:rsidRPr="003500A5">
          <w:rPr>
            <w:rStyle w:val="Hyperlink"/>
            <w:lang w:val="sr-Latn-BA"/>
          </w:rPr>
          <w:t xml:space="preserve"> </w:t>
        </w:r>
        <w:r w:rsidR="00EC330F">
          <w:rPr>
            <w:rStyle w:val="Hyperlink"/>
            <w:lang w:val="sr-Latn-BA"/>
          </w:rPr>
          <w:t>tržištu</w:t>
        </w:r>
        <w:r w:rsidR="00A47DF9" w:rsidRPr="003500A5">
          <w:rPr>
            <w:rStyle w:val="Hyperlink"/>
            <w:lang w:val="sr-Latn-BA"/>
          </w:rPr>
          <w:t xml:space="preserve"> </w:t>
        </w:r>
        <w:r w:rsidR="00EC330F">
          <w:rPr>
            <w:rStyle w:val="Hyperlink"/>
            <w:lang w:val="sr-Latn-BA"/>
          </w:rPr>
          <w:t>u</w:t>
        </w:r>
        <w:r w:rsidR="00A47DF9" w:rsidRPr="003500A5">
          <w:rPr>
            <w:rStyle w:val="Hyperlink"/>
            <w:lang w:val="sr-Latn-BA"/>
          </w:rPr>
          <w:t xml:space="preserve"> </w:t>
        </w:r>
        <w:r w:rsidR="00EC330F">
          <w:rPr>
            <w:rStyle w:val="Hyperlink"/>
            <w:lang w:val="sr-Latn-BA"/>
          </w:rPr>
          <w:t>skladu</w:t>
        </w:r>
        <w:r w:rsidR="00A47DF9" w:rsidRPr="003500A5">
          <w:rPr>
            <w:rStyle w:val="Hyperlink"/>
            <w:lang w:val="sr-Latn-BA"/>
          </w:rPr>
          <w:t xml:space="preserve"> </w:t>
        </w:r>
        <w:r w:rsidR="00EC330F">
          <w:rPr>
            <w:rStyle w:val="Hyperlink"/>
            <w:lang w:val="sr-Latn-BA"/>
          </w:rPr>
          <w:t>sa</w:t>
        </w:r>
        <w:r w:rsidR="00A47DF9" w:rsidRPr="003500A5">
          <w:rPr>
            <w:rStyle w:val="Hyperlink"/>
            <w:lang w:val="sr-Latn-BA"/>
          </w:rPr>
          <w:t xml:space="preserve"> </w:t>
        </w:r>
        <w:r w:rsidR="00EC330F">
          <w:rPr>
            <w:rStyle w:val="Hyperlink"/>
            <w:lang w:val="sr-Latn-BA"/>
          </w:rPr>
          <w:t>Zakonom</w:t>
        </w:r>
        <w:r w:rsidR="00A47DF9" w:rsidRPr="003500A5">
          <w:rPr>
            <w:rStyle w:val="Hyperlink"/>
            <w:lang w:val="sr-Latn-BA"/>
          </w:rPr>
          <w:t xml:space="preserve"> </w:t>
        </w:r>
        <w:r w:rsidR="00EC330F">
          <w:rPr>
            <w:rStyle w:val="Hyperlink"/>
            <w:lang w:val="sr-Latn-BA"/>
          </w:rPr>
          <w:t>o</w:t>
        </w:r>
        <w:r w:rsidR="00A47DF9" w:rsidRPr="003500A5">
          <w:rPr>
            <w:rStyle w:val="Hyperlink"/>
            <w:lang w:val="sr-Latn-BA"/>
          </w:rPr>
          <w:t xml:space="preserve"> </w:t>
        </w:r>
        <w:r w:rsidR="00EC330F">
          <w:rPr>
            <w:rStyle w:val="Hyperlink"/>
            <w:lang w:val="sr-Latn-BA"/>
          </w:rPr>
          <w:t>faktoringu</w:t>
        </w:r>
        <w:r w:rsidR="00A47DF9">
          <w:rPr>
            <w:webHidden/>
          </w:rPr>
          <w:tab/>
        </w:r>
        <w:r w:rsidR="00A47DF9">
          <w:rPr>
            <w:webHidden/>
          </w:rPr>
          <w:fldChar w:fldCharType="begin"/>
        </w:r>
        <w:r w:rsidR="00A47DF9">
          <w:rPr>
            <w:webHidden/>
          </w:rPr>
          <w:instrText xml:space="preserve"> PAGEREF _Toc167962117 \h </w:instrText>
        </w:r>
        <w:r w:rsidR="00A47DF9">
          <w:rPr>
            <w:webHidden/>
          </w:rPr>
        </w:r>
        <w:r w:rsidR="00A47DF9">
          <w:rPr>
            <w:webHidden/>
          </w:rPr>
          <w:fldChar w:fldCharType="separate"/>
        </w:r>
        <w:r w:rsidR="00EC4EFC">
          <w:rPr>
            <w:webHidden/>
          </w:rPr>
          <w:t>24</w:t>
        </w:r>
        <w:r w:rsidR="00A47DF9">
          <w:rPr>
            <w:webHidden/>
          </w:rPr>
          <w:fldChar w:fldCharType="end"/>
        </w:r>
      </w:hyperlink>
    </w:p>
    <w:p w14:paraId="2ED57414" w14:textId="3FBB0943" w:rsidR="00A47DF9" w:rsidRDefault="00000000">
      <w:pPr>
        <w:pStyle w:val="TOC2"/>
        <w:rPr>
          <w:rFonts w:asciiTheme="minorHAnsi" w:eastAsiaTheme="minorEastAsia" w:hAnsiTheme="minorHAnsi" w:cstheme="minorBidi"/>
          <w:sz w:val="22"/>
          <w:szCs w:val="22"/>
          <w:lang w:val="bs-Latn-BA" w:eastAsia="bs-Latn-BA"/>
        </w:rPr>
      </w:pPr>
      <w:hyperlink w:anchor="_Toc167962118" w:history="1">
        <w:r w:rsidR="00A47DF9" w:rsidRPr="003500A5">
          <w:rPr>
            <w:rStyle w:val="Hyperlink"/>
            <w:lang w:val="sr-Latn-BA"/>
          </w:rPr>
          <w:t>4.</w:t>
        </w:r>
        <w:r w:rsidR="00A47DF9">
          <w:rPr>
            <w:rFonts w:asciiTheme="minorHAnsi" w:eastAsiaTheme="minorEastAsia" w:hAnsiTheme="minorHAnsi" w:cstheme="minorBidi"/>
            <w:sz w:val="22"/>
            <w:szCs w:val="22"/>
            <w:lang w:val="bs-Latn-BA" w:eastAsia="bs-Latn-BA"/>
          </w:rPr>
          <w:tab/>
        </w:r>
        <w:r w:rsidR="00EC330F">
          <w:rPr>
            <w:rStyle w:val="Hyperlink"/>
            <w:lang w:val="sr-Latn-BA"/>
          </w:rPr>
          <w:t>Ispiti</w:t>
        </w:r>
        <w:r w:rsidR="00A47DF9" w:rsidRPr="003500A5">
          <w:rPr>
            <w:rStyle w:val="Hyperlink"/>
            <w:lang w:val="sr-Latn-BA"/>
          </w:rPr>
          <w:t xml:space="preserve"> </w:t>
        </w:r>
        <w:r w:rsidR="00EC330F">
          <w:rPr>
            <w:rStyle w:val="Hyperlink"/>
            <w:lang w:val="sr-Latn-BA"/>
          </w:rPr>
          <w:t>za</w:t>
        </w:r>
        <w:r w:rsidR="00A47DF9" w:rsidRPr="003500A5">
          <w:rPr>
            <w:rStyle w:val="Hyperlink"/>
            <w:lang w:val="sr-Latn-BA"/>
          </w:rPr>
          <w:t xml:space="preserve"> </w:t>
        </w:r>
        <w:r w:rsidR="00EC330F">
          <w:rPr>
            <w:rStyle w:val="Hyperlink"/>
            <w:lang w:val="sr-Latn-BA"/>
          </w:rPr>
          <w:t>sticanje</w:t>
        </w:r>
        <w:r w:rsidR="00A47DF9" w:rsidRPr="003500A5">
          <w:rPr>
            <w:rStyle w:val="Hyperlink"/>
            <w:lang w:val="sr-Latn-BA"/>
          </w:rPr>
          <w:t xml:space="preserve"> </w:t>
        </w:r>
        <w:r w:rsidR="00EC330F">
          <w:rPr>
            <w:rStyle w:val="Hyperlink"/>
            <w:lang w:val="sr-Latn-BA"/>
          </w:rPr>
          <w:t>zvanja</w:t>
        </w:r>
        <w:r w:rsidR="00A47DF9">
          <w:rPr>
            <w:webHidden/>
          </w:rPr>
          <w:tab/>
        </w:r>
        <w:r w:rsidR="00A47DF9">
          <w:rPr>
            <w:webHidden/>
          </w:rPr>
          <w:fldChar w:fldCharType="begin"/>
        </w:r>
        <w:r w:rsidR="00A47DF9">
          <w:rPr>
            <w:webHidden/>
          </w:rPr>
          <w:instrText xml:space="preserve"> PAGEREF _Toc167962118 \h </w:instrText>
        </w:r>
        <w:r w:rsidR="00A47DF9">
          <w:rPr>
            <w:webHidden/>
          </w:rPr>
        </w:r>
        <w:r w:rsidR="00A47DF9">
          <w:rPr>
            <w:webHidden/>
          </w:rPr>
          <w:fldChar w:fldCharType="separate"/>
        </w:r>
        <w:r w:rsidR="00EC4EFC">
          <w:rPr>
            <w:webHidden/>
          </w:rPr>
          <w:t>24</w:t>
        </w:r>
        <w:r w:rsidR="00A47DF9">
          <w:rPr>
            <w:webHidden/>
          </w:rPr>
          <w:fldChar w:fldCharType="end"/>
        </w:r>
      </w:hyperlink>
    </w:p>
    <w:p w14:paraId="4DD2E161" w14:textId="2349CCFC" w:rsidR="00A47DF9" w:rsidRDefault="00000000">
      <w:pPr>
        <w:pStyle w:val="TOC2"/>
        <w:rPr>
          <w:rFonts w:asciiTheme="minorHAnsi" w:eastAsiaTheme="minorEastAsia" w:hAnsiTheme="minorHAnsi" w:cstheme="minorBidi"/>
          <w:sz w:val="22"/>
          <w:szCs w:val="22"/>
          <w:lang w:val="bs-Latn-BA" w:eastAsia="bs-Latn-BA"/>
        </w:rPr>
      </w:pPr>
      <w:hyperlink w:anchor="_Toc167962119" w:history="1">
        <w:r w:rsidR="00A47DF9" w:rsidRPr="003500A5">
          <w:rPr>
            <w:rStyle w:val="Hyperlink"/>
            <w:lang w:val="sr-Latn-BA"/>
          </w:rPr>
          <w:t>5.</w:t>
        </w:r>
        <w:r w:rsidR="00A47DF9">
          <w:rPr>
            <w:rFonts w:asciiTheme="minorHAnsi" w:eastAsiaTheme="minorEastAsia" w:hAnsiTheme="minorHAnsi" w:cstheme="minorBidi"/>
            <w:sz w:val="22"/>
            <w:szCs w:val="22"/>
            <w:lang w:val="bs-Latn-BA" w:eastAsia="bs-Latn-BA"/>
          </w:rPr>
          <w:tab/>
        </w:r>
        <w:r w:rsidR="00EC330F">
          <w:rPr>
            <w:rStyle w:val="Hyperlink"/>
            <w:lang w:val="sr-Latn-BA"/>
          </w:rPr>
          <w:t>Evidencija</w:t>
        </w:r>
        <w:r w:rsidR="00A47DF9" w:rsidRPr="003500A5">
          <w:rPr>
            <w:rStyle w:val="Hyperlink"/>
            <w:lang w:val="sr-Latn-BA"/>
          </w:rPr>
          <w:t xml:space="preserve"> </w:t>
        </w:r>
        <w:r w:rsidR="00EC330F">
          <w:rPr>
            <w:rStyle w:val="Hyperlink"/>
            <w:lang w:val="sr-Latn-BA"/>
          </w:rPr>
          <w:t>pružalaca</w:t>
        </w:r>
        <w:r w:rsidR="00A47DF9" w:rsidRPr="003500A5">
          <w:rPr>
            <w:rStyle w:val="Hyperlink"/>
            <w:lang w:val="sr-Latn-BA"/>
          </w:rPr>
          <w:t xml:space="preserve"> </w:t>
        </w:r>
        <w:r w:rsidR="00EC330F">
          <w:rPr>
            <w:rStyle w:val="Hyperlink"/>
            <w:lang w:val="sr-Latn-BA"/>
          </w:rPr>
          <w:t>usluga</w:t>
        </w:r>
        <w:r w:rsidR="00A47DF9" w:rsidRPr="003500A5">
          <w:rPr>
            <w:rStyle w:val="Hyperlink"/>
            <w:lang w:val="sr-Latn-BA"/>
          </w:rPr>
          <w:t xml:space="preserve"> </w:t>
        </w:r>
        <w:r w:rsidR="00EC330F">
          <w:rPr>
            <w:rStyle w:val="Hyperlink"/>
            <w:lang w:val="sr-Latn-BA"/>
          </w:rPr>
          <w:t>povezanih</w:t>
        </w:r>
        <w:r w:rsidR="00A47DF9" w:rsidRPr="003500A5">
          <w:rPr>
            <w:rStyle w:val="Hyperlink"/>
            <w:lang w:val="sr-Latn-BA"/>
          </w:rPr>
          <w:t xml:space="preserve"> </w:t>
        </w:r>
        <w:r w:rsidR="00EC330F">
          <w:rPr>
            <w:rStyle w:val="Hyperlink"/>
            <w:lang w:val="sr-Latn-BA"/>
          </w:rPr>
          <w:t>sa</w:t>
        </w:r>
        <w:r w:rsidR="00A47DF9" w:rsidRPr="003500A5">
          <w:rPr>
            <w:rStyle w:val="Hyperlink"/>
            <w:lang w:val="sr-Latn-BA"/>
          </w:rPr>
          <w:t xml:space="preserve"> </w:t>
        </w:r>
        <w:r w:rsidR="00EC330F">
          <w:rPr>
            <w:rStyle w:val="Hyperlink"/>
            <w:lang w:val="sr-Latn-BA"/>
          </w:rPr>
          <w:t>virtuelnim</w:t>
        </w:r>
        <w:r w:rsidR="00A47DF9" w:rsidRPr="003500A5">
          <w:rPr>
            <w:rStyle w:val="Hyperlink"/>
            <w:lang w:val="sr-Latn-BA"/>
          </w:rPr>
          <w:t xml:space="preserve"> </w:t>
        </w:r>
        <w:r w:rsidR="00EC330F">
          <w:rPr>
            <w:rStyle w:val="Hyperlink"/>
            <w:lang w:val="sr-Latn-BA"/>
          </w:rPr>
          <w:t>valutama</w:t>
        </w:r>
        <w:r w:rsidR="00A47DF9">
          <w:rPr>
            <w:webHidden/>
          </w:rPr>
          <w:tab/>
        </w:r>
        <w:r w:rsidR="00A47DF9">
          <w:rPr>
            <w:webHidden/>
          </w:rPr>
          <w:fldChar w:fldCharType="begin"/>
        </w:r>
        <w:r w:rsidR="00A47DF9">
          <w:rPr>
            <w:webHidden/>
          </w:rPr>
          <w:instrText xml:space="preserve"> PAGEREF _Toc167962119 \h </w:instrText>
        </w:r>
        <w:r w:rsidR="00A47DF9">
          <w:rPr>
            <w:webHidden/>
          </w:rPr>
        </w:r>
        <w:r w:rsidR="00A47DF9">
          <w:rPr>
            <w:webHidden/>
          </w:rPr>
          <w:fldChar w:fldCharType="separate"/>
        </w:r>
        <w:r w:rsidR="00EC4EFC">
          <w:rPr>
            <w:webHidden/>
          </w:rPr>
          <w:t>25</w:t>
        </w:r>
        <w:r w:rsidR="00A47DF9">
          <w:rPr>
            <w:webHidden/>
          </w:rPr>
          <w:fldChar w:fldCharType="end"/>
        </w:r>
      </w:hyperlink>
    </w:p>
    <w:p w14:paraId="2E1D3655" w14:textId="6D2AF5B8" w:rsidR="00A47DF9"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2120" w:history="1">
        <w:r w:rsidR="00EC330F">
          <w:rPr>
            <w:rStyle w:val="Hyperlink"/>
            <w:lang w:val="sr-Latn-BA"/>
          </w:rPr>
          <w:t>VIII</w:t>
        </w:r>
        <w:r w:rsidR="00A47DF9">
          <w:rPr>
            <w:rFonts w:asciiTheme="minorHAnsi" w:eastAsiaTheme="minorEastAsia" w:hAnsiTheme="minorHAnsi" w:cstheme="minorBidi"/>
            <w:b w:val="0"/>
            <w:bCs w:val="0"/>
            <w:caps w:val="0"/>
            <w:color w:val="auto"/>
            <w:sz w:val="22"/>
            <w:szCs w:val="22"/>
            <w:lang w:val="bs-Latn-BA" w:eastAsia="bs-Latn-BA"/>
          </w:rPr>
          <w:tab/>
        </w:r>
        <w:r w:rsidR="00EC330F">
          <w:rPr>
            <w:rStyle w:val="Hyperlink"/>
            <w:lang w:val="sr-Latn-BA"/>
          </w:rPr>
          <w:t>RAZVOJ</w:t>
        </w:r>
        <w:r w:rsidR="00A47DF9" w:rsidRPr="003500A5">
          <w:rPr>
            <w:rStyle w:val="Hyperlink"/>
            <w:lang w:val="sr-Latn-BA"/>
          </w:rPr>
          <w:t xml:space="preserve"> </w:t>
        </w:r>
        <w:r w:rsidR="00EC330F">
          <w:rPr>
            <w:rStyle w:val="Hyperlink"/>
            <w:lang w:val="sr-Latn-BA"/>
          </w:rPr>
          <w:t>I</w:t>
        </w:r>
        <w:r w:rsidR="00A47DF9" w:rsidRPr="003500A5">
          <w:rPr>
            <w:rStyle w:val="Hyperlink"/>
            <w:lang w:val="sr-Latn-BA"/>
          </w:rPr>
          <w:t xml:space="preserve"> </w:t>
        </w:r>
        <w:r w:rsidR="00EC330F">
          <w:rPr>
            <w:rStyle w:val="Hyperlink"/>
            <w:lang w:val="sr-Latn-BA"/>
          </w:rPr>
          <w:t>MEĐUNARODNA</w:t>
        </w:r>
        <w:r w:rsidR="00A47DF9" w:rsidRPr="003500A5">
          <w:rPr>
            <w:rStyle w:val="Hyperlink"/>
            <w:lang w:val="sr-Latn-BA"/>
          </w:rPr>
          <w:t xml:space="preserve"> </w:t>
        </w:r>
        <w:r w:rsidR="00EC330F">
          <w:rPr>
            <w:rStyle w:val="Hyperlink"/>
            <w:lang w:val="sr-Latn-BA"/>
          </w:rPr>
          <w:t>SARADNјA</w:t>
        </w:r>
        <w:r w:rsidR="00A47DF9">
          <w:rPr>
            <w:webHidden/>
          </w:rPr>
          <w:tab/>
        </w:r>
        <w:r w:rsidR="00A47DF9">
          <w:rPr>
            <w:webHidden/>
          </w:rPr>
          <w:fldChar w:fldCharType="begin"/>
        </w:r>
        <w:r w:rsidR="00A47DF9">
          <w:rPr>
            <w:webHidden/>
          </w:rPr>
          <w:instrText xml:space="preserve"> PAGEREF _Toc167962120 \h </w:instrText>
        </w:r>
        <w:r w:rsidR="00A47DF9">
          <w:rPr>
            <w:webHidden/>
          </w:rPr>
        </w:r>
        <w:r w:rsidR="00A47DF9">
          <w:rPr>
            <w:webHidden/>
          </w:rPr>
          <w:fldChar w:fldCharType="separate"/>
        </w:r>
        <w:r w:rsidR="00EC4EFC">
          <w:rPr>
            <w:webHidden/>
          </w:rPr>
          <w:t>25</w:t>
        </w:r>
        <w:r w:rsidR="00A47DF9">
          <w:rPr>
            <w:webHidden/>
          </w:rPr>
          <w:fldChar w:fldCharType="end"/>
        </w:r>
      </w:hyperlink>
    </w:p>
    <w:p w14:paraId="31BA2A87" w14:textId="31B67B4E" w:rsidR="00A47DF9" w:rsidRDefault="00000000">
      <w:pPr>
        <w:pStyle w:val="TOC2"/>
        <w:rPr>
          <w:rFonts w:asciiTheme="minorHAnsi" w:eastAsiaTheme="minorEastAsia" w:hAnsiTheme="minorHAnsi" w:cstheme="minorBidi"/>
          <w:sz w:val="22"/>
          <w:szCs w:val="22"/>
          <w:lang w:val="bs-Latn-BA" w:eastAsia="bs-Latn-BA"/>
        </w:rPr>
      </w:pPr>
      <w:hyperlink w:anchor="_Toc167962121" w:history="1">
        <w:r w:rsidR="00A47DF9" w:rsidRPr="003500A5">
          <w:rPr>
            <w:rStyle w:val="Hyperlink"/>
            <w:lang w:val="sr-Latn-BA"/>
          </w:rPr>
          <w:t>1.</w:t>
        </w:r>
        <w:r w:rsidR="00A47DF9">
          <w:rPr>
            <w:rFonts w:asciiTheme="minorHAnsi" w:eastAsiaTheme="minorEastAsia" w:hAnsiTheme="minorHAnsi" w:cstheme="minorBidi"/>
            <w:sz w:val="22"/>
            <w:szCs w:val="22"/>
            <w:lang w:val="bs-Latn-BA" w:eastAsia="bs-Latn-BA"/>
          </w:rPr>
          <w:tab/>
        </w:r>
        <w:r w:rsidR="00EC330F">
          <w:rPr>
            <w:rStyle w:val="Hyperlink"/>
            <w:lang w:val="sr-Latn-BA"/>
          </w:rPr>
          <w:t>Normativne</w:t>
        </w:r>
        <w:r w:rsidR="00A47DF9" w:rsidRPr="003500A5">
          <w:rPr>
            <w:rStyle w:val="Hyperlink"/>
            <w:lang w:val="sr-Latn-BA"/>
          </w:rPr>
          <w:t xml:space="preserve"> </w:t>
        </w:r>
        <w:r w:rsidR="00EC330F">
          <w:rPr>
            <w:rStyle w:val="Hyperlink"/>
            <w:lang w:val="sr-Latn-BA"/>
          </w:rPr>
          <w:t>aktivnosti</w:t>
        </w:r>
        <w:r w:rsidR="00A47DF9">
          <w:rPr>
            <w:webHidden/>
          </w:rPr>
          <w:tab/>
        </w:r>
        <w:r w:rsidR="00A47DF9">
          <w:rPr>
            <w:webHidden/>
          </w:rPr>
          <w:fldChar w:fldCharType="begin"/>
        </w:r>
        <w:r w:rsidR="00A47DF9">
          <w:rPr>
            <w:webHidden/>
          </w:rPr>
          <w:instrText xml:space="preserve"> PAGEREF _Toc167962121 \h </w:instrText>
        </w:r>
        <w:r w:rsidR="00A47DF9">
          <w:rPr>
            <w:webHidden/>
          </w:rPr>
        </w:r>
        <w:r w:rsidR="00A47DF9">
          <w:rPr>
            <w:webHidden/>
          </w:rPr>
          <w:fldChar w:fldCharType="separate"/>
        </w:r>
        <w:r w:rsidR="00EC4EFC">
          <w:rPr>
            <w:webHidden/>
          </w:rPr>
          <w:t>26</w:t>
        </w:r>
        <w:r w:rsidR="00A47DF9">
          <w:rPr>
            <w:webHidden/>
          </w:rPr>
          <w:fldChar w:fldCharType="end"/>
        </w:r>
      </w:hyperlink>
    </w:p>
    <w:p w14:paraId="4DFE5A1A" w14:textId="1007D4DB" w:rsidR="00A47DF9" w:rsidRDefault="00000000">
      <w:pPr>
        <w:pStyle w:val="TOC2"/>
        <w:rPr>
          <w:rFonts w:asciiTheme="minorHAnsi" w:eastAsiaTheme="minorEastAsia" w:hAnsiTheme="minorHAnsi" w:cstheme="minorBidi"/>
          <w:sz w:val="22"/>
          <w:szCs w:val="22"/>
          <w:lang w:val="bs-Latn-BA" w:eastAsia="bs-Latn-BA"/>
        </w:rPr>
      </w:pPr>
      <w:hyperlink w:anchor="_Toc167962122" w:history="1">
        <w:r w:rsidR="00A47DF9" w:rsidRPr="003500A5">
          <w:rPr>
            <w:rStyle w:val="Hyperlink"/>
            <w:lang w:val="sr-Latn-BA"/>
          </w:rPr>
          <w:t>2.</w:t>
        </w:r>
        <w:r w:rsidR="00A47DF9">
          <w:rPr>
            <w:rFonts w:asciiTheme="minorHAnsi" w:eastAsiaTheme="minorEastAsia" w:hAnsiTheme="minorHAnsi" w:cstheme="minorBidi"/>
            <w:sz w:val="22"/>
            <w:szCs w:val="22"/>
            <w:lang w:val="bs-Latn-BA" w:eastAsia="bs-Latn-BA"/>
          </w:rPr>
          <w:tab/>
        </w:r>
        <w:r w:rsidR="00EC330F">
          <w:rPr>
            <w:rStyle w:val="Hyperlink"/>
            <w:lang w:val="sr-Latn-BA"/>
          </w:rPr>
          <w:t>Saradnja</w:t>
        </w:r>
        <w:r w:rsidR="00A47DF9">
          <w:rPr>
            <w:webHidden/>
          </w:rPr>
          <w:tab/>
        </w:r>
        <w:r w:rsidR="00A47DF9">
          <w:rPr>
            <w:webHidden/>
          </w:rPr>
          <w:fldChar w:fldCharType="begin"/>
        </w:r>
        <w:r w:rsidR="00A47DF9">
          <w:rPr>
            <w:webHidden/>
          </w:rPr>
          <w:instrText xml:space="preserve"> PAGEREF _Toc167962122 \h </w:instrText>
        </w:r>
        <w:r w:rsidR="00A47DF9">
          <w:rPr>
            <w:webHidden/>
          </w:rPr>
        </w:r>
        <w:r w:rsidR="00A47DF9">
          <w:rPr>
            <w:webHidden/>
          </w:rPr>
          <w:fldChar w:fldCharType="separate"/>
        </w:r>
        <w:r w:rsidR="00EC4EFC">
          <w:rPr>
            <w:webHidden/>
          </w:rPr>
          <w:t>27</w:t>
        </w:r>
        <w:r w:rsidR="00A47DF9">
          <w:rPr>
            <w:webHidden/>
          </w:rPr>
          <w:fldChar w:fldCharType="end"/>
        </w:r>
      </w:hyperlink>
    </w:p>
    <w:p w14:paraId="31D38837" w14:textId="4453C917" w:rsidR="00A47DF9" w:rsidRDefault="00000000">
      <w:pPr>
        <w:pStyle w:val="TOC3"/>
        <w:rPr>
          <w:rFonts w:asciiTheme="minorHAnsi" w:eastAsiaTheme="minorEastAsia" w:hAnsiTheme="minorHAnsi" w:cstheme="minorBidi"/>
          <w:iCs w:val="0"/>
          <w:sz w:val="22"/>
          <w:szCs w:val="22"/>
          <w:lang w:val="bs-Latn-BA" w:eastAsia="bs-Latn-BA"/>
        </w:rPr>
      </w:pPr>
      <w:hyperlink w:anchor="_Toc167962123" w:history="1">
        <w:r w:rsidR="00A47DF9" w:rsidRPr="003500A5">
          <w:rPr>
            <w:rStyle w:val="Hyperlink"/>
            <w:lang w:val="sr-Latn-BA"/>
          </w:rPr>
          <w:t>2.1.</w:t>
        </w:r>
        <w:r w:rsidR="00A47DF9">
          <w:rPr>
            <w:rFonts w:asciiTheme="minorHAnsi" w:eastAsiaTheme="minorEastAsia" w:hAnsiTheme="minorHAnsi" w:cstheme="minorBidi"/>
            <w:iCs w:val="0"/>
            <w:sz w:val="22"/>
            <w:szCs w:val="22"/>
            <w:lang w:val="bs-Latn-BA" w:eastAsia="bs-Latn-BA"/>
          </w:rPr>
          <w:tab/>
        </w:r>
        <w:r w:rsidR="00EC330F">
          <w:rPr>
            <w:rStyle w:val="Hyperlink"/>
            <w:lang w:val="sr-Latn-BA"/>
          </w:rPr>
          <w:t>Međunarodna</w:t>
        </w:r>
        <w:r w:rsidR="00A47DF9" w:rsidRPr="003500A5">
          <w:rPr>
            <w:rStyle w:val="Hyperlink"/>
            <w:lang w:val="sr-Latn-BA"/>
          </w:rPr>
          <w:t xml:space="preserve"> </w:t>
        </w:r>
        <w:r w:rsidR="00EC330F">
          <w:rPr>
            <w:rStyle w:val="Hyperlink"/>
            <w:lang w:val="sr-Latn-BA"/>
          </w:rPr>
          <w:t>saradnja</w:t>
        </w:r>
        <w:r w:rsidR="00A47DF9">
          <w:rPr>
            <w:webHidden/>
          </w:rPr>
          <w:tab/>
        </w:r>
        <w:r w:rsidR="00A47DF9">
          <w:rPr>
            <w:webHidden/>
          </w:rPr>
          <w:fldChar w:fldCharType="begin"/>
        </w:r>
        <w:r w:rsidR="00A47DF9">
          <w:rPr>
            <w:webHidden/>
          </w:rPr>
          <w:instrText xml:space="preserve"> PAGEREF _Toc167962123 \h </w:instrText>
        </w:r>
        <w:r w:rsidR="00A47DF9">
          <w:rPr>
            <w:webHidden/>
          </w:rPr>
        </w:r>
        <w:r w:rsidR="00A47DF9">
          <w:rPr>
            <w:webHidden/>
          </w:rPr>
          <w:fldChar w:fldCharType="separate"/>
        </w:r>
        <w:r w:rsidR="00EC4EFC">
          <w:rPr>
            <w:webHidden/>
          </w:rPr>
          <w:t>27</w:t>
        </w:r>
        <w:r w:rsidR="00A47DF9">
          <w:rPr>
            <w:webHidden/>
          </w:rPr>
          <w:fldChar w:fldCharType="end"/>
        </w:r>
      </w:hyperlink>
    </w:p>
    <w:p w14:paraId="1B1D679F" w14:textId="7F88E3FD" w:rsidR="00A47DF9" w:rsidRDefault="00000000">
      <w:pPr>
        <w:pStyle w:val="TOC3"/>
        <w:rPr>
          <w:rFonts w:asciiTheme="minorHAnsi" w:eastAsiaTheme="minorEastAsia" w:hAnsiTheme="minorHAnsi" w:cstheme="minorBidi"/>
          <w:iCs w:val="0"/>
          <w:sz w:val="22"/>
          <w:szCs w:val="22"/>
          <w:lang w:val="bs-Latn-BA" w:eastAsia="bs-Latn-BA"/>
        </w:rPr>
      </w:pPr>
      <w:hyperlink w:anchor="_Toc167962124" w:history="1">
        <w:r w:rsidR="00A47DF9" w:rsidRPr="003500A5">
          <w:rPr>
            <w:rStyle w:val="Hyperlink"/>
            <w:lang w:val="sr-Latn-BA"/>
          </w:rPr>
          <w:t>2.2.</w:t>
        </w:r>
        <w:r w:rsidR="00A47DF9">
          <w:rPr>
            <w:rFonts w:asciiTheme="minorHAnsi" w:eastAsiaTheme="minorEastAsia" w:hAnsiTheme="minorHAnsi" w:cstheme="minorBidi"/>
            <w:iCs w:val="0"/>
            <w:sz w:val="22"/>
            <w:szCs w:val="22"/>
            <w:lang w:val="bs-Latn-BA" w:eastAsia="bs-Latn-BA"/>
          </w:rPr>
          <w:tab/>
        </w:r>
        <w:r w:rsidR="00EC330F">
          <w:rPr>
            <w:rStyle w:val="Hyperlink"/>
            <w:lang w:val="sr-Latn-BA"/>
          </w:rPr>
          <w:t>Promocija</w:t>
        </w:r>
        <w:r w:rsidR="00A47DF9" w:rsidRPr="003500A5">
          <w:rPr>
            <w:rStyle w:val="Hyperlink"/>
            <w:lang w:val="sr-Latn-BA"/>
          </w:rPr>
          <w:t xml:space="preserve"> </w:t>
        </w:r>
        <w:r w:rsidR="00EC330F">
          <w:rPr>
            <w:rStyle w:val="Hyperlink"/>
            <w:lang w:val="sr-Latn-BA"/>
          </w:rPr>
          <w:t>i</w:t>
        </w:r>
        <w:r w:rsidR="00A47DF9" w:rsidRPr="003500A5">
          <w:rPr>
            <w:rStyle w:val="Hyperlink"/>
            <w:lang w:val="sr-Latn-BA"/>
          </w:rPr>
          <w:t xml:space="preserve"> </w:t>
        </w:r>
        <w:r w:rsidR="00EC330F">
          <w:rPr>
            <w:rStyle w:val="Hyperlink"/>
            <w:lang w:val="sr-Latn-BA"/>
          </w:rPr>
          <w:t>edukacija</w:t>
        </w:r>
        <w:r w:rsidR="00A47DF9">
          <w:rPr>
            <w:webHidden/>
          </w:rPr>
          <w:tab/>
        </w:r>
        <w:r w:rsidR="00A47DF9">
          <w:rPr>
            <w:webHidden/>
          </w:rPr>
          <w:fldChar w:fldCharType="begin"/>
        </w:r>
        <w:r w:rsidR="00A47DF9">
          <w:rPr>
            <w:webHidden/>
          </w:rPr>
          <w:instrText xml:space="preserve"> PAGEREF _Toc167962124 \h </w:instrText>
        </w:r>
        <w:r w:rsidR="00A47DF9">
          <w:rPr>
            <w:webHidden/>
          </w:rPr>
        </w:r>
        <w:r w:rsidR="00A47DF9">
          <w:rPr>
            <w:webHidden/>
          </w:rPr>
          <w:fldChar w:fldCharType="separate"/>
        </w:r>
        <w:r w:rsidR="00EC4EFC">
          <w:rPr>
            <w:webHidden/>
          </w:rPr>
          <w:t>29</w:t>
        </w:r>
        <w:r w:rsidR="00A47DF9">
          <w:rPr>
            <w:webHidden/>
          </w:rPr>
          <w:fldChar w:fldCharType="end"/>
        </w:r>
      </w:hyperlink>
    </w:p>
    <w:p w14:paraId="521CF6BB" w14:textId="1AF902A9" w:rsidR="00A47DF9"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2125" w:history="1">
        <w:r w:rsidR="00EC330F">
          <w:rPr>
            <w:rStyle w:val="Hyperlink"/>
            <w:lang w:val="sr-Latn-BA"/>
          </w:rPr>
          <w:t>I</w:t>
        </w:r>
        <w:r w:rsidR="00A47DF9" w:rsidRPr="003500A5">
          <w:rPr>
            <w:rStyle w:val="Hyperlink"/>
            <w:lang w:val="sr-Latn-BA"/>
          </w:rPr>
          <w:t>X</w:t>
        </w:r>
        <w:r w:rsidR="00A47DF9">
          <w:rPr>
            <w:rFonts w:asciiTheme="minorHAnsi" w:eastAsiaTheme="minorEastAsia" w:hAnsiTheme="minorHAnsi" w:cstheme="minorBidi"/>
            <w:b w:val="0"/>
            <w:bCs w:val="0"/>
            <w:caps w:val="0"/>
            <w:color w:val="auto"/>
            <w:sz w:val="22"/>
            <w:szCs w:val="22"/>
            <w:lang w:val="bs-Latn-BA" w:eastAsia="bs-Latn-BA"/>
          </w:rPr>
          <w:tab/>
        </w:r>
        <w:r w:rsidR="00EC330F">
          <w:rPr>
            <w:rStyle w:val="Hyperlink"/>
            <w:lang w:val="sr-Latn-BA"/>
          </w:rPr>
          <w:t>NADZOR</w:t>
        </w:r>
        <w:r w:rsidR="00A47DF9" w:rsidRPr="003500A5">
          <w:rPr>
            <w:rStyle w:val="Hyperlink"/>
            <w:lang w:val="sr-Latn-BA"/>
          </w:rPr>
          <w:t xml:space="preserve"> </w:t>
        </w:r>
        <w:r w:rsidR="00EC330F">
          <w:rPr>
            <w:rStyle w:val="Hyperlink"/>
            <w:lang w:val="sr-Latn-BA"/>
          </w:rPr>
          <w:t>NAD</w:t>
        </w:r>
        <w:r w:rsidR="00A47DF9" w:rsidRPr="003500A5">
          <w:rPr>
            <w:rStyle w:val="Hyperlink"/>
            <w:lang w:val="sr-Latn-BA"/>
          </w:rPr>
          <w:t xml:space="preserve"> </w:t>
        </w:r>
        <w:r w:rsidR="00EC330F">
          <w:rPr>
            <w:rStyle w:val="Hyperlink"/>
            <w:lang w:val="sr-Latn-BA"/>
          </w:rPr>
          <w:t>UČESNICIMA</w:t>
        </w:r>
        <w:r w:rsidR="00A47DF9" w:rsidRPr="003500A5">
          <w:rPr>
            <w:rStyle w:val="Hyperlink"/>
            <w:lang w:val="sr-Latn-BA"/>
          </w:rPr>
          <w:t xml:space="preserve"> </w:t>
        </w:r>
        <w:r w:rsidR="00EC330F">
          <w:rPr>
            <w:rStyle w:val="Hyperlink"/>
            <w:lang w:val="sr-Latn-BA"/>
          </w:rPr>
          <w:t>NA</w:t>
        </w:r>
        <w:r w:rsidR="00A47DF9" w:rsidRPr="003500A5">
          <w:rPr>
            <w:rStyle w:val="Hyperlink"/>
            <w:lang w:val="sr-Latn-BA"/>
          </w:rPr>
          <w:t xml:space="preserve"> </w:t>
        </w:r>
        <w:r w:rsidR="00EC330F">
          <w:rPr>
            <w:rStyle w:val="Hyperlink"/>
            <w:lang w:val="sr-Latn-BA"/>
          </w:rPr>
          <w:t>TRŽIŠTU</w:t>
        </w:r>
        <w:r w:rsidR="00A47DF9" w:rsidRPr="003500A5">
          <w:rPr>
            <w:rStyle w:val="Hyperlink"/>
            <w:lang w:val="sr-Latn-BA"/>
          </w:rPr>
          <w:t xml:space="preserve"> </w:t>
        </w:r>
        <w:r w:rsidR="00EC330F">
          <w:rPr>
            <w:rStyle w:val="Hyperlink"/>
            <w:lang w:val="sr-Latn-BA"/>
          </w:rPr>
          <w:t>HARTIJA</w:t>
        </w:r>
        <w:r w:rsidR="00A47DF9" w:rsidRPr="003500A5">
          <w:rPr>
            <w:rStyle w:val="Hyperlink"/>
            <w:lang w:val="sr-Latn-BA"/>
          </w:rPr>
          <w:t xml:space="preserve"> </w:t>
        </w:r>
        <w:r w:rsidR="00EC330F">
          <w:rPr>
            <w:rStyle w:val="Hyperlink"/>
            <w:lang w:val="sr-Latn-BA"/>
          </w:rPr>
          <w:t>OD</w:t>
        </w:r>
        <w:r w:rsidR="00A47DF9" w:rsidRPr="003500A5">
          <w:rPr>
            <w:rStyle w:val="Hyperlink"/>
            <w:lang w:val="sr-Latn-BA"/>
          </w:rPr>
          <w:t xml:space="preserve"> </w:t>
        </w:r>
        <w:r w:rsidR="00EC330F">
          <w:rPr>
            <w:rStyle w:val="Hyperlink"/>
            <w:lang w:val="sr-Latn-BA"/>
          </w:rPr>
          <w:t>VRIJEDNOSTI</w:t>
        </w:r>
        <w:r w:rsidR="00A47DF9">
          <w:rPr>
            <w:webHidden/>
          </w:rPr>
          <w:tab/>
        </w:r>
        <w:r w:rsidR="00A47DF9">
          <w:rPr>
            <w:webHidden/>
          </w:rPr>
          <w:fldChar w:fldCharType="begin"/>
        </w:r>
        <w:r w:rsidR="00A47DF9">
          <w:rPr>
            <w:webHidden/>
          </w:rPr>
          <w:instrText xml:space="preserve"> PAGEREF _Toc167962125 \h </w:instrText>
        </w:r>
        <w:r w:rsidR="00A47DF9">
          <w:rPr>
            <w:webHidden/>
          </w:rPr>
        </w:r>
        <w:r w:rsidR="00A47DF9">
          <w:rPr>
            <w:webHidden/>
          </w:rPr>
          <w:fldChar w:fldCharType="separate"/>
        </w:r>
        <w:r w:rsidR="00EC4EFC">
          <w:rPr>
            <w:webHidden/>
          </w:rPr>
          <w:t>29</w:t>
        </w:r>
        <w:r w:rsidR="00A47DF9">
          <w:rPr>
            <w:webHidden/>
          </w:rPr>
          <w:fldChar w:fldCharType="end"/>
        </w:r>
      </w:hyperlink>
    </w:p>
    <w:p w14:paraId="3C325813" w14:textId="12AF1D53" w:rsidR="00A47DF9"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962126" w:history="1">
        <w:r w:rsidR="00A47DF9" w:rsidRPr="003500A5">
          <w:rPr>
            <w:rStyle w:val="Hyperlink"/>
            <w:lang w:val="sr-Latn-BA"/>
          </w:rPr>
          <w:t>X</w:t>
        </w:r>
        <w:r w:rsidR="00A47DF9">
          <w:rPr>
            <w:rFonts w:asciiTheme="minorHAnsi" w:eastAsiaTheme="minorEastAsia" w:hAnsiTheme="minorHAnsi" w:cstheme="minorBidi"/>
            <w:b w:val="0"/>
            <w:bCs w:val="0"/>
            <w:caps w:val="0"/>
            <w:color w:val="auto"/>
            <w:sz w:val="22"/>
            <w:szCs w:val="22"/>
            <w:lang w:val="bs-Latn-BA" w:eastAsia="bs-Latn-BA"/>
          </w:rPr>
          <w:tab/>
        </w:r>
        <w:r w:rsidR="00EC330F">
          <w:rPr>
            <w:rStyle w:val="Hyperlink"/>
            <w:lang w:val="sr-Latn-BA"/>
          </w:rPr>
          <w:t>EDUKACIJA</w:t>
        </w:r>
        <w:r w:rsidR="00A47DF9">
          <w:rPr>
            <w:webHidden/>
          </w:rPr>
          <w:tab/>
        </w:r>
        <w:r w:rsidR="00A47DF9">
          <w:rPr>
            <w:webHidden/>
          </w:rPr>
          <w:fldChar w:fldCharType="begin"/>
        </w:r>
        <w:r w:rsidR="00A47DF9">
          <w:rPr>
            <w:webHidden/>
          </w:rPr>
          <w:instrText xml:space="preserve"> PAGEREF _Toc167962126 \h </w:instrText>
        </w:r>
        <w:r w:rsidR="00A47DF9">
          <w:rPr>
            <w:webHidden/>
          </w:rPr>
        </w:r>
        <w:r w:rsidR="00A47DF9">
          <w:rPr>
            <w:webHidden/>
          </w:rPr>
          <w:fldChar w:fldCharType="separate"/>
        </w:r>
        <w:r w:rsidR="00EC4EFC">
          <w:rPr>
            <w:webHidden/>
          </w:rPr>
          <w:t>34</w:t>
        </w:r>
        <w:r w:rsidR="00A47DF9">
          <w:rPr>
            <w:webHidden/>
          </w:rPr>
          <w:fldChar w:fldCharType="end"/>
        </w:r>
      </w:hyperlink>
    </w:p>
    <w:p w14:paraId="168AAF56" w14:textId="78301525" w:rsidR="00A47DF9" w:rsidRDefault="00D3478F" w:rsidP="00A47DF9">
      <w:pPr>
        <w:rPr>
          <w:lang w:val="sr-Latn-BA"/>
        </w:rPr>
      </w:pPr>
      <w:r w:rsidRPr="001B53A8">
        <w:rPr>
          <w:lang w:val="sr-Latn-BA"/>
        </w:rPr>
        <w:fldChar w:fldCharType="end"/>
      </w:r>
      <w:bookmarkStart w:id="0" w:name="_Toc194970087"/>
      <w:bookmarkStart w:id="1" w:name="_Toc194970118"/>
      <w:bookmarkStart w:id="2" w:name="_Toc321408884"/>
      <w:bookmarkStart w:id="3" w:name="_Toc167962103"/>
    </w:p>
    <w:p w14:paraId="67A82872" w14:textId="59D457F1" w:rsidR="00A47DF9" w:rsidRDefault="00A47DF9" w:rsidP="00A47DF9">
      <w:pPr>
        <w:rPr>
          <w:lang w:val="sr-Latn-BA"/>
        </w:rPr>
      </w:pPr>
    </w:p>
    <w:p w14:paraId="423EAA5E" w14:textId="7B947883" w:rsidR="00A47DF9" w:rsidRDefault="00A47DF9" w:rsidP="00A47DF9">
      <w:pPr>
        <w:rPr>
          <w:lang w:val="sr-Latn-BA"/>
        </w:rPr>
      </w:pPr>
    </w:p>
    <w:p w14:paraId="09E0244B" w14:textId="77777777" w:rsidR="00A47DF9" w:rsidRPr="00A47DF9" w:rsidRDefault="00A47DF9" w:rsidP="00A47DF9">
      <w:pPr>
        <w:rPr>
          <w:color w:val="002060"/>
          <w:sz w:val="28"/>
          <w:szCs w:val="32"/>
          <w:lang w:val="sr-Latn-BA"/>
        </w:rPr>
      </w:pPr>
    </w:p>
    <w:p w14:paraId="5D5E8D08" w14:textId="5C4D24D4" w:rsidR="009628CE" w:rsidRPr="001B53A8" w:rsidRDefault="00003F34" w:rsidP="006B6E0C">
      <w:pPr>
        <w:pStyle w:val="Heading1"/>
        <w:shd w:val="clear" w:color="auto" w:fill="auto"/>
        <w:spacing w:before="360" w:line="240" w:lineRule="auto"/>
        <w:ind w:left="567" w:hanging="567"/>
        <w:rPr>
          <w:rFonts w:ascii="Times New Roman" w:hAnsi="Times New Roman"/>
          <w:caps w:val="0"/>
          <w:color w:val="002060"/>
          <w:lang w:val="sr-Latn-BA"/>
        </w:rPr>
      </w:pPr>
      <w:r w:rsidRPr="001B53A8">
        <w:rPr>
          <w:rFonts w:ascii="Times New Roman" w:hAnsi="Times New Roman"/>
          <w:caps w:val="0"/>
          <w:color w:val="002060"/>
          <w:lang w:val="sr-Latn-BA"/>
        </w:rPr>
        <w:lastRenderedPageBreak/>
        <w:t>OSNOVNI</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PODACI</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O</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KOMISIJI</w:t>
      </w:r>
      <w:bookmarkEnd w:id="0"/>
      <w:bookmarkEnd w:id="1"/>
      <w:bookmarkEnd w:id="2"/>
      <w:bookmarkEnd w:id="3"/>
    </w:p>
    <w:p w14:paraId="0F554899" w14:textId="70EEB920" w:rsidR="009628CE" w:rsidRPr="001B53A8" w:rsidRDefault="00003F34" w:rsidP="006B6E0C">
      <w:pPr>
        <w:pStyle w:val="Heading2"/>
        <w:spacing w:before="240" w:after="0" w:line="240" w:lineRule="auto"/>
        <w:ind w:left="578" w:hanging="578"/>
        <w:rPr>
          <w:rFonts w:ascii="Times New Roman" w:hAnsi="Times New Roman"/>
          <w:sz w:val="24"/>
          <w:lang w:val="sr-Latn-BA"/>
        </w:rPr>
      </w:pPr>
      <w:bookmarkStart w:id="4" w:name="_Toc194970088"/>
      <w:bookmarkStart w:id="5" w:name="_Toc194970119"/>
      <w:bookmarkStart w:id="6" w:name="_Toc321408885"/>
      <w:bookmarkStart w:id="7" w:name="_Toc167962104"/>
      <w:r w:rsidRPr="001B53A8">
        <w:rPr>
          <w:rFonts w:ascii="Times New Roman" w:hAnsi="Times New Roman"/>
          <w:sz w:val="24"/>
          <w:lang w:val="sr-Latn-BA"/>
        </w:rPr>
        <w:t>Osnivanje</w:t>
      </w:r>
      <w:r w:rsidR="009628CE" w:rsidRPr="001B53A8">
        <w:rPr>
          <w:rFonts w:ascii="Times New Roman" w:hAnsi="Times New Roman"/>
          <w:sz w:val="24"/>
          <w:lang w:val="sr-Latn-BA"/>
        </w:rPr>
        <w:t xml:space="preserve">, </w:t>
      </w:r>
      <w:r w:rsidRPr="001B53A8">
        <w:rPr>
          <w:rFonts w:ascii="Times New Roman" w:hAnsi="Times New Roman"/>
          <w:sz w:val="24"/>
          <w:lang w:val="sr-Latn-BA"/>
        </w:rPr>
        <w:t>pravni</w:t>
      </w:r>
      <w:r w:rsidR="009628CE" w:rsidRPr="001B53A8">
        <w:rPr>
          <w:rFonts w:ascii="Times New Roman" w:hAnsi="Times New Roman"/>
          <w:sz w:val="24"/>
          <w:lang w:val="sr-Latn-BA"/>
        </w:rPr>
        <w:t xml:space="preserve"> </w:t>
      </w:r>
      <w:r w:rsidRPr="001B53A8">
        <w:rPr>
          <w:rFonts w:ascii="Times New Roman" w:hAnsi="Times New Roman"/>
          <w:sz w:val="24"/>
          <w:lang w:val="sr-Latn-BA"/>
        </w:rPr>
        <w:t>status</w:t>
      </w:r>
      <w:r w:rsidR="009628CE" w:rsidRPr="001B53A8">
        <w:rPr>
          <w:rFonts w:ascii="Times New Roman" w:hAnsi="Times New Roman"/>
          <w:sz w:val="24"/>
          <w:lang w:val="sr-Latn-BA"/>
        </w:rPr>
        <w:t xml:space="preserve"> </w:t>
      </w:r>
      <w:r w:rsidRPr="001B53A8">
        <w:rPr>
          <w:rFonts w:ascii="Times New Roman" w:hAnsi="Times New Roman"/>
          <w:sz w:val="24"/>
          <w:lang w:val="sr-Latn-BA"/>
        </w:rPr>
        <w:t>i</w:t>
      </w:r>
      <w:r w:rsidR="009628CE" w:rsidRPr="001B53A8">
        <w:rPr>
          <w:rFonts w:ascii="Times New Roman" w:hAnsi="Times New Roman"/>
          <w:sz w:val="24"/>
          <w:lang w:val="sr-Latn-BA"/>
        </w:rPr>
        <w:t xml:space="preserve"> </w:t>
      </w:r>
      <w:r w:rsidRPr="001B53A8">
        <w:rPr>
          <w:rFonts w:ascii="Times New Roman" w:hAnsi="Times New Roman"/>
          <w:sz w:val="24"/>
          <w:lang w:val="sr-Latn-BA"/>
        </w:rPr>
        <w:t>nadležnosti</w:t>
      </w:r>
      <w:r w:rsidR="009628CE" w:rsidRPr="001B53A8">
        <w:rPr>
          <w:rFonts w:ascii="Times New Roman" w:hAnsi="Times New Roman"/>
          <w:sz w:val="24"/>
          <w:lang w:val="sr-Latn-BA"/>
        </w:rPr>
        <w:t xml:space="preserve"> </w:t>
      </w:r>
      <w:r w:rsidRPr="001B53A8">
        <w:rPr>
          <w:rFonts w:ascii="Times New Roman" w:hAnsi="Times New Roman"/>
          <w:sz w:val="24"/>
          <w:lang w:val="sr-Latn-BA"/>
        </w:rPr>
        <w:t>Komisije</w:t>
      </w:r>
      <w:bookmarkEnd w:id="4"/>
      <w:bookmarkEnd w:id="5"/>
      <w:bookmarkEnd w:id="6"/>
      <w:bookmarkEnd w:id="7"/>
    </w:p>
    <w:p w14:paraId="55CEBD25" w14:textId="6DB7751D" w:rsidR="009628CE" w:rsidRPr="001B53A8" w:rsidRDefault="00003F34" w:rsidP="006B6E0C">
      <w:pPr>
        <w:spacing w:after="0" w:line="240" w:lineRule="auto"/>
        <w:ind w:firstLine="567"/>
        <w:rPr>
          <w:lang w:val="sr-Latn-BA"/>
        </w:rPr>
      </w:pPr>
      <w:r w:rsidRPr="001B53A8">
        <w:rPr>
          <w:lang w:val="sr-Latn-BA"/>
        </w:rPr>
        <w:t>Pravni</w:t>
      </w:r>
      <w:r w:rsidR="009628CE" w:rsidRPr="001B53A8">
        <w:rPr>
          <w:lang w:val="sr-Latn-BA"/>
        </w:rPr>
        <w:t xml:space="preserve"> </w:t>
      </w:r>
      <w:r w:rsidRPr="001B53A8">
        <w:rPr>
          <w:lang w:val="sr-Latn-BA"/>
        </w:rPr>
        <w:t>status</w:t>
      </w:r>
      <w:r w:rsidR="009628CE" w:rsidRPr="001B53A8">
        <w:rPr>
          <w:lang w:val="sr-Latn-BA"/>
        </w:rPr>
        <w:t xml:space="preserve"> </w:t>
      </w:r>
      <w:r w:rsidRPr="001B53A8">
        <w:rPr>
          <w:lang w:val="sr-Latn-BA"/>
        </w:rPr>
        <w:t>Komisije</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hartije</w:t>
      </w:r>
      <w:r w:rsidR="009628CE" w:rsidRPr="001B53A8">
        <w:rPr>
          <w:lang w:val="sr-Latn-BA"/>
        </w:rPr>
        <w:t xml:space="preserve"> </w:t>
      </w:r>
      <w:r w:rsidRPr="001B53A8">
        <w:rPr>
          <w:lang w:val="sr-Latn-BA"/>
        </w:rPr>
        <w:t>od</w:t>
      </w:r>
      <w:r w:rsidR="009628CE" w:rsidRPr="001B53A8">
        <w:rPr>
          <w:lang w:val="sr-Latn-BA"/>
        </w:rPr>
        <w:t xml:space="preserve"> </w:t>
      </w:r>
      <w:r w:rsidRPr="001B53A8">
        <w:rPr>
          <w:lang w:val="sr-Latn-BA"/>
        </w:rPr>
        <w:t>vrijednosti</w:t>
      </w:r>
      <w:r w:rsidR="009628CE" w:rsidRPr="001B53A8">
        <w:rPr>
          <w:lang w:val="sr-Latn-BA"/>
        </w:rPr>
        <w:t xml:space="preserve"> </w:t>
      </w:r>
      <w:r w:rsidRPr="001B53A8">
        <w:rPr>
          <w:lang w:val="sr-Latn-BA"/>
        </w:rPr>
        <w:t>Republike</w:t>
      </w:r>
      <w:r w:rsidR="009628CE" w:rsidRPr="001B53A8">
        <w:rPr>
          <w:lang w:val="sr-Latn-BA"/>
        </w:rPr>
        <w:t xml:space="preserve"> </w:t>
      </w:r>
      <w:r w:rsidRPr="001B53A8">
        <w:rPr>
          <w:lang w:val="sr-Latn-BA"/>
        </w:rPr>
        <w:t>Srpske</w:t>
      </w:r>
      <w:r w:rsidR="009628CE" w:rsidRPr="001B53A8">
        <w:rPr>
          <w:lang w:val="sr-Latn-BA"/>
        </w:rPr>
        <w:t xml:space="preserve">, </w:t>
      </w:r>
      <w:r w:rsidRPr="001B53A8">
        <w:rPr>
          <w:lang w:val="sr-Latn-BA"/>
        </w:rPr>
        <w:t>njene</w:t>
      </w:r>
      <w:r w:rsidR="009628CE" w:rsidRPr="001B53A8">
        <w:rPr>
          <w:lang w:val="sr-Latn-BA"/>
        </w:rPr>
        <w:t xml:space="preserve"> </w:t>
      </w:r>
      <w:r w:rsidRPr="001B53A8">
        <w:rPr>
          <w:lang w:val="sr-Latn-BA"/>
        </w:rPr>
        <w:t>nadležnosti</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način</w:t>
      </w:r>
      <w:r w:rsidR="009628CE" w:rsidRPr="001B53A8">
        <w:rPr>
          <w:lang w:val="sr-Latn-BA"/>
        </w:rPr>
        <w:t xml:space="preserve"> </w:t>
      </w:r>
      <w:r w:rsidRPr="001B53A8">
        <w:rPr>
          <w:lang w:val="sr-Latn-BA"/>
        </w:rPr>
        <w:t>rada</w:t>
      </w:r>
      <w:r w:rsidR="009628CE" w:rsidRPr="001B53A8">
        <w:rPr>
          <w:lang w:val="sr-Latn-BA"/>
        </w:rPr>
        <w:t xml:space="preserve"> </w:t>
      </w:r>
      <w:r w:rsidRPr="001B53A8">
        <w:rPr>
          <w:lang w:val="sr-Latn-BA"/>
        </w:rPr>
        <w:t>uređeni</w:t>
      </w:r>
      <w:r w:rsidR="009628CE" w:rsidRPr="001B53A8">
        <w:rPr>
          <w:lang w:val="sr-Latn-BA"/>
        </w:rPr>
        <w:t xml:space="preserve"> </w:t>
      </w:r>
      <w:r w:rsidRPr="001B53A8">
        <w:rPr>
          <w:lang w:val="sr-Latn-BA"/>
        </w:rPr>
        <w:t>su</w:t>
      </w:r>
      <w:r w:rsidR="009628CE" w:rsidRPr="001B53A8">
        <w:rPr>
          <w:lang w:val="sr-Latn-BA"/>
        </w:rPr>
        <w:t xml:space="preserve"> </w:t>
      </w:r>
      <w:r w:rsidRPr="001B53A8">
        <w:rPr>
          <w:lang w:val="sr-Latn-BA"/>
        </w:rPr>
        <w:t>Zakonom</w:t>
      </w:r>
      <w:r w:rsidR="009628CE" w:rsidRPr="001B53A8">
        <w:rPr>
          <w:lang w:val="sr-Latn-BA"/>
        </w:rPr>
        <w:t xml:space="preserve"> </w:t>
      </w:r>
      <w:r w:rsidRPr="001B53A8">
        <w:rPr>
          <w:lang w:val="sr-Latn-BA"/>
        </w:rPr>
        <w:t>o</w:t>
      </w:r>
      <w:r w:rsidR="009628CE" w:rsidRPr="001B53A8">
        <w:rPr>
          <w:lang w:val="sr-Latn-BA"/>
        </w:rPr>
        <w:t xml:space="preserve"> </w:t>
      </w:r>
      <w:r w:rsidRPr="001B53A8">
        <w:rPr>
          <w:lang w:val="sr-Latn-BA"/>
        </w:rPr>
        <w:t>tržištu</w:t>
      </w:r>
      <w:r w:rsidR="00C35AB4" w:rsidRPr="001B53A8">
        <w:rPr>
          <w:lang w:val="sr-Latn-BA"/>
        </w:rPr>
        <w:t xml:space="preserve"> </w:t>
      </w:r>
      <w:r w:rsidRPr="001B53A8">
        <w:rPr>
          <w:lang w:val="sr-Latn-BA"/>
        </w:rPr>
        <w:t>hartija</w:t>
      </w:r>
      <w:r w:rsidR="00C35AB4" w:rsidRPr="001B53A8">
        <w:rPr>
          <w:lang w:val="sr-Latn-BA"/>
        </w:rPr>
        <w:t xml:space="preserve"> </w:t>
      </w:r>
      <w:r w:rsidRPr="001B53A8">
        <w:rPr>
          <w:lang w:val="sr-Latn-BA"/>
        </w:rPr>
        <w:t>od</w:t>
      </w:r>
      <w:r w:rsidR="00C35AB4" w:rsidRPr="001B53A8">
        <w:rPr>
          <w:lang w:val="sr-Latn-BA"/>
        </w:rPr>
        <w:t xml:space="preserve"> </w:t>
      </w:r>
      <w:r w:rsidRPr="001B53A8">
        <w:rPr>
          <w:lang w:val="sr-Latn-BA"/>
        </w:rPr>
        <w:t>vrijednosti</w:t>
      </w:r>
      <w:r w:rsidR="00C35AB4" w:rsidRPr="001B53A8">
        <w:rPr>
          <w:rStyle w:val="FootnoteReference"/>
          <w:lang w:val="sr-Latn-BA"/>
        </w:rPr>
        <w:footnoteReference w:id="1"/>
      </w:r>
      <w:r w:rsidR="00C35AB4" w:rsidRPr="001B53A8">
        <w:rPr>
          <w:lang w:val="sr-Latn-BA"/>
        </w:rPr>
        <w:t>.</w:t>
      </w:r>
      <w:r w:rsidR="009628CE" w:rsidRPr="001B53A8">
        <w:rPr>
          <w:lang w:val="sr-Latn-BA"/>
        </w:rPr>
        <w:t xml:space="preserve"> </w:t>
      </w:r>
      <w:r w:rsidRPr="001B53A8">
        <w:rPr>
          <w:lang w:val="sr-Latn-BA"/>
        </w:rPr>
        <w:t>Komisija</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hartije</w:t>
      </w:r>
      <w:r w:rsidR="009628CE" w:rsidRPr="001B53A8">
        <w:rPr>
          <w:lang w:val="sr-Latn-BA"/>
        </w:rPr>
        <w:t xml:space="preserve"> </w:t>
      </w:r>
      <w:r w:rsidRPr="001B53A8">
        <w:rPr>
          <w:lang w:val="sr-Latn-BA"/>
        </w:rPr>
        <w:t>od</w:t>
      </w:r>
      <w:r w:rsidR="009628CE" w:rsidRPr="001B53A8">
        <w:rPr>
          <w:lang w:val="sr-Latn-BA"/>
        </w:rPr>
        <w:t xml:space="preserve"> </w:t>
      </w:r>
      <w:r w:rsidRPr="001B53A8">
        <w:rPr>
          <w:lang w:val="sr-Latn-BA"/>
        </w:rPr>
        <w:t>vrijednosti</w:t>
      </w:r>
      <w:r w:rsidR="009628CE" w:rsidRPr="001B53A8">
        <w:rPr>
          <w:lang w:val="sr-Latn-BA"/>
        </w:rPr>
        <w:t xml:space="preserve"> </w:t>
      </w:r>
      <w:r w:rsidRPr="001B53A8">
        <w:rPr>
          <w:lang w:val="sr-Latn-BA"/>
        </w:rPr>
        <w:t>je</w:t>
      </w:r>
      <w:r w:rsidR="009628CE" w:rsidRPr="001B53A8">
        <w:rPr>
          <w:lang w:val="sr-Latn-BA"/>
        </w:rPr>
        <w:t xml:space="preserve"> </w:t>
      </w:r>
      <w:r w:rsidRPr="001B53A8">
        <w:rPr>
          <w:lang w:val="sr-Latn-BA"/>
        </w:rPr>
        <w:t>stalno</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nezavisno</w:t>
      </w:r>
      <w:r w:rsidR="009628CE" w:rsidRPr="001B53A8">
        <w:rPr>
          <w:lang w:val="sr-Latn-BA"/>
        </w:rPr>
        <w:t xml:space="preserve"> </w:t>
      </w:r>
      <w:r w:rsidRPr="001B53A8">
        <w:rPr>
          <w:lang w:val="sr-Latn-BA"/>
        </w:rPr>
        <w:t>pravno</w:t>
      </w:r>
      <w:r w:rsidR="009628CE" w:rsidRPr="001B53A8">
        <w:rPr>
          <w:lang w:val="sr-Latn-BA"/>
        </w:rPr>
        <w:t xml:space="preserve"> </w:t>
      </w:r>
      <w:r w:rsidRPr="001B53A8">
        <w:rPr>
          <w:lang w:val="sr-Latn-BA"/>
        </w:rPr>
        <w:t>lice</w:t>
      </w:r>
      <w:r w:rsidR="009628CE" w:rsidRPr="001B53A8">
        <w:rPr>
          <w:lang w:val="sr-Latn-BA"/>
        </w:rPr>
        <w:t xml:space="preserve"> </w:t>
      </w:r>
      <w:r w:rsidRPr="001B53A8">
        <w:rPr>
          <w:lang w:val="sr-Latn-BA"/>
        </w:rPr>
        <w:t>osnovano</w:t>
      </w:r>
      <w:r w:rsidR="009628CE" w:rsidRPr="001B53A8">
        <w:rPr>
          <w:lang w:val="sr-Latn-BA"/>
        </w:rPr>
        <w:t xml:space="preserve"> </w:t>
      </w:r>
      <w:r w:rsidRPr="001B53A8">
        <w:rPr>
          <w:lang w:val="sr-Latn-BA"/>
        </w:rPr>
        <w:t>radi</w:t>
      </w:r>
      <w:r w:rsidR="009628CE" w:rsidRPr="001B53A8">
        <w:rPr>
          <w:lang w:val="sr-Latn-BA"/>
        </w:rPr>
        <w:t xml:space="preserve"> </w:t>
      </w:r>
      <w:r w:rsidRPr="001B53A8">
        <w:rPr>
          <w:lang w:val="sr-Latn-BA"/>
        </w:rPr>
        <w:t>uređivanja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kontrole</w:t>
      </w:r>
      <w:r w:rsidR="009628CE" w:rsidRPr="001B53A8">
        <w:rPr>
          <w:lang w:val="sr-Latn-BA"/>
        </w:rPr>
        <w:t xml:space="preserve"> </w:t>
      </w:r>
      <w:r w:rsidRPr="001B53A8">
        <w:rPr>
          <w:lang w:val="sr-Latn-BA"/>
        </w:rPr>
        <w:t>emitovanja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prometa</w:t>
      </w:r>
      <w:r w:rsidR="009628CE" w:rsidRPr="001B53A8">
        <w:rPr>
          <w:lang w:val="sr-Latn-BA"/>
        </w:rPr>
        <w:t xml:space="preserve"> </w:t>
      </w:r>
      <w:r w:rsidRPr="001B53A8">
        <w:rPr>
          <w:lang w:val="sr-Latn-BA"/>
        </w:rPr>
        <w:t>hartija</w:t>
      </w:r>
      <w:r w:rsidR="009628CE" w:rsidRPr="001B53A8">
        <w:rPr>
          <w:lang w:val="sr-Latn-BA"/>
        </w:rPr>
        <w:t xml:space="preserve"> </w:t>
      </w:r>
      <w:r w:rsidRPr="001B53A8">
        <w:rPr>
          <w:lang w:val="sr-Latn-BA"/>
        </w:rPr>
        <w:t>od</w:t>
      </w:r>
      <w:r w:rsidR="009628CE" w:rsidRPr="001B53A8">
        <w:rPr>
          <w:lang w:val="sr-Latn-BA"/>
        </w:rPr>
        <w:t xml:space="preserve"> </w:t>
      </w:r>
      <w:r w:rsidRPr="001B53A8">
        <w:rPr>
          <w:lang w:val="sr-Latn-BA"/>
        </w:rPr>
        <w:t>vrijednosti</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Republici</w:t>
      </w:r>
      <w:r w:rsidR="009628CE" w:rsidRPr="001B53A8">
        <w:rPr>
          <w:lang w:val="sr-Latn-BA"/>
        </w:rPr>
        <w:t xml:space="preserve"> </w:t>
      </w:r>
      <w:r w:rsidRPr="001B53A8">
        <w:rPr>
          <w:lang w:val="sr-Latn-BA"/>
        </w:rPr>
        <w:t>Srpskoj</w:t>
      </w:r>
      <w:r w:rsidR="009628CE" w:rsidRPr="001B53A8">
        <w:rPr>
          <w:lang w:val="sr-Latn-BA"/>
        </w:rPr>
        <w:t>.</w:t>
      </w:r>
    </w:p>
    <w:p w14:paraId="773B0AAE" w14:textId="5D8512B5" w:rsidR="009628CE" w:rsidRPr="001B53A8" w:rsidRDefault="00003F34" w:rsidP="006B6E0C">
      <w:pPr>
        <w:spacing w:after="0" w:line="240" w:lineRule="auto"/>
        <w:ind w:firstLine="567"/>
        <w:rPr>
          <w:lang w:val="sr-Latn-BA"/>
        </w:rPr>
      </w:pPr>
      <w:r w:rsidRPr="001B53A8">
        <w:rPr>
          <w:lang w:val="sr-Latn-BA"/>
        </w:rPr>
        <w:t>Sjedište</w:t>
      </w:r>
      <w:r w:rsidR="009628CE" w:rsidRPr="001B53A8">
        <w:rPr>
          <w:lang w:val="sr-Latn-BA"/>
        </w:rPr>
        <w:t xml:space="preserve"> </w:t>
      </w:r>
      <w:r w:rsidRPr="001B53A8">
        <w:rPr>
          <w:lang w:val="sr-Latn-BA"/>
        </w:rPr>
        <w:t>Komisije</w:t>
      </w:r>
      <w:r w:rsidR="009628CE" w:rsidRPr="001B53A8">
        <w:rPr>
          <w:lang w:val="sr-Latn-BA"/>
        </w:rPr>
        <w:t xml:space="preserve"> </w:t>
      </w:r>
      <w:r w:rsidRPr="001B53A8">
        <w:rPr>
          <w:lang w:val="sr-Latn-BA"/>
        </w:rPr>
        <w:t>je</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Banjoj</w:t>
      </w:r>
      <w:r w:rsidR="009628CE" w:rsidRPr="001B53A8">
        <w:rPr>
          <w:lang w:val="sr-Latn-BA"/>
        </w:rPr>
        <w:t xml:space="preserve"> </w:t>
      </w:r>
      <w:r w:rsidRPr="001B53A8">
        <w:rPr>
          <w:lang w:val="sr-Latn-BA"/>
        </w:rPr>
        <w:t>Luci</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Ulici</w:t>
      </w:r>
      <w:r w:rsidR="009628CE" w:rsidRPr="001B53A8">
        <w:rPr>
          <w:lang w:val="sr-Latn-BA"/>
        </w:rPr>
        <w:t xml:space="preserve"> </w:t>
      </w:r>
      <w:r w:rsidRPr="001B53A8">
        <w:rPr>
          <w:lang w:val="sr-Latn-BA"/>
        </w:rPr>
        <w:t>Vuka</w:t>
      </w:r>
      <w:r w:rsidR="009628CE" w:rsidRPr="001B53A8">
        <w:rPr>
          <w:lang w:val="sr-Latn-BA"/>
        </w:rPr>
        <w:t xml:space="preserve"> </w:t>
      </w:r>
      <w:r w:rsidRPr="001B53A8">
        <w:rPr>
          <w:lang w:val="sr-Latn-BA"/>
        </w:rPr>
        <w:t>Karadžića</w:t>
      </w:r>
      <w:r w:rsidR="009628CE" w:rsidRPr="001B53A8">
        <w:rPr>
          <w:lang w:val="sr-Latn-BA"/>
        </w:rPr>
        <w:t xml:space="preserve"> </w:t>
      </w:r>
      <w:r w:rsidRPr="001B53A8">
        <w:rPr>
          <w:lang w:val="sr-Latn-BA"/>
        </w:rPr>
        <w:t>broj</w:t>
      </w:r>
      <w:r w:rsidR="009628CE" w:rsidRPr="001B53A8">
        <w:rPr>
          <w:lang w:val="sr-Latn-BA"/>
        </w:rPr>
        <w:t xml:space="preserve"> 6. </w:t>
      </w:r>
      <w:r w:rsidRPr="001B53A8">
        <w:rPr>
          <w:lang w:val="sr-Latn-BA"/>
        </w:rPr>
        <w:t>U</w:t>
      </w:r>
      <w:r w:rsidR="009628CE" w:rsidRPr="001B53A8">
        <w:rPr>
          <w:lang w:val="sr-Latn-BA"/>
        </w:rPr>
        <w:t xml:space="preserve"> </w:t>
      </w:r>
      <w:r w:rsidRPr="001B53A8">
        <w:rPr>
          <w:lang w:val="sr-Latn-BA"/>
        </w:rPr>
        <w:t>skladu</w:t>
      </w:r>
      <w:r w:rsidR="009628CE" w:rsidRPr="001B53A8">
        <w:rPr>
          <w:lang w:val="sr-Latn-BA"/>
        </w:rPr>
        <w:t xml:space="preserve"> </w:t>
      </w:r>
      <w:r w:rsidRPr="001B53A8">
        <w:rPr>
          <w:lang w:val="sr-Latn-BA"/>
        </w:rPr>
        <w:t>sa</w:t>
      </w:r>
      <w:r w:rsidR="009628CE" w:rsidRPr="001B53A8">
        <w:rPr>
          <w:lang w:val="sr-Latn-BA"/>
        </w:rPr>
        <w:t xml:space="preserve"> </w:t>
      </w:r>
      <w:r w:rsidRPr="001B53A8">
        <w:rPr>
          <w:lang w:val="sr-Latn-BA"/>
        </w:rPr>
        <w:t>Zakonom</w:t>
      </w:r>
      <w:r w:rsidR="009628CE" w:rsidRPr="001B53A8">
        <w:rPr>
          <w:lang w:val="sr-Latn-BA"/>
        </w:rPr>
        <w:t xml:space="preserve"> </w:t>
      </w:r>
      <w:r w:rsidRPr="001B53A8">
        <w:rPr>
          <w:lang w:val="sr-Latn-BA"/>
        </w:rPr>
        <w:t>o</w:t>
      </w:r>
      <w:r w:rsidR="009628CE" w:rsidRPr="001B53A8">
        <w:rPr>
          <w:lang w:val="sr-Latn-BA"/>
        </w:rPr>
        <w:t xml:space="preserve"> </w:t>
      </w:r>
      <w:r w:rsidRPr="001B53A8">
        <w:rPr>
          <w:lang w:val="sr-Latn-BA"/>
        </w:rPr>
        <w:t>tržištu</w:t>
      </w:r>
      <w:r w:rsidR="009628CE" w:rsidRPr="001B53A8">
        <w:rPr>
          <w:lang w:val="sr-Latn-BA"/>
        </w:rPr>
        <w:t xml:space="preserve"> </w:t>
      </w:r>
      <w:r w:rsidRPr="001B53A8">
        <w:rPr>
          <w:lang w:val="sr-Latn-BA"/>
        </w:rPr>
        <w:t>hartija</w:t>
      </w:r>
      <w:r w:rsidR="009628CE" w:rsidRPr="001B53A8">
        <w:rPr>
          <w:lang w:val="sr-Latn-BA"/>
        </w:rPr>
        <w:t xml:space="preserve"> </w:t>
      </w:r>
      <w:r w:rsidRPr="001B53A8">
        <w:rPr>
          <w:lang w:val="sr-Latn-BA"/>
        </w:rPr>
        <w:t>od</w:t>
      </w:r>
      <w:r w:rsidR="009628CE" w:rsidRPr="001B53A8">
        <w:rPr>
          <w:lang w:val="sr-Latn-BA"/>
        </w:rPr>
        <w:t xml:space="preserve"> </w:t>
      </w:r>
      <w:r w:rsidRPr="001B53A8">
        <w:rPr>
          <w:lang w:val="sr-Latn-BA"/>
        </w:rPr>
        <w:t>vrijednosti</w:t>
      </w:r>
      <w:r w:rsidR="009628CE" w:rsidRPr="001B53A8">
        <w:rPr>
          <w:lang w:val="sr-Latn-BA"/>
        </w:rPr>
        <w:t xml:space="preserve">, </w:t>
      </w:r>
      <w:r w:rsidRPr="001B53A8">
        <w:rPr>
          <w:lang w:val="sr-Latn-BA"/>
        </w:rPr>
        <w:t>Komisija</w:t>
      </w:r>
      <w:r w:rsidR="009628CE" w:rsidRPr="001B53A8">
        <w:rPr>
          <w:lang w:val="sr-Latn-BA"/>
        </w:rPr>
        <w:t xml:space="preserve"> </w:t>
      </w:r>
      <w:r w:rsidRPr="001B53A8">
        <w:rPr>
          <w:lang w:val="sr-Latn-BA"/>
        </w:rPr>
        <w:t>je</w:t>
      </w:r>
      <w:r w:rsidR="009628CE" w:rsidRPr="001B53A8">
        <w:rPr>
          <w:lang w:val="sr-Latn-BA"/>
        </w:rPr>
        <w:t xml:space="preserve"> </w:t>
      </w:r>
      <w:r w:rsidRPr="001B53A8">
        <w:rPr>
          <w:lang w:val="sr-Latn-BA"/>
        </w:rPr>
        <w:t>nadležna</w:t>
      </w:r>
      <w:r w:rsidR="009628CE" w:rsidRPr="001B53A8">
        <w:rPr>
          <w:lang w:val="sr-Latn-BA"/>
        </w:rPr>
        <w:t xml:space="preserve"> </w:t>
      </w:r>
      <w:r w:rsidRPr="001B53A8">
        <w:rPr>
          <w:lang w:val="sr-Latn-BA"/>
        </w:rPr>
        <w:t>da</w:t>
      </w:r>
      <w:r w:rsidR="009628CE" w:rsidRPr="001B53A8">
        <w:rPr>
          <w:lang w:val="sr-Latn-BA"/>
        </w:rPr>
        <w:t>:</w:t>
      </w:r>
    </w:p>
    <w:p w14:paraId="68AFBA4D" w14:textId="0DB97C99" w:rsidR="0066171A" w:rsidRPr="001B53A8" w:rsidRDefault="00003F34" w:rsidP="0066171A">
      <w:pPr>
        <w:tabs>
          <w:tab w:val="left" w:pos="851"/>
        </w:tabs>
        <w:spacing w:before="0" w:after="0" w:line="240" w:lineRule="auto"/>
        <w:ind w:left="851" w:hanging="283"/>
        <w:rPr>
          <w:lang w:val="sr-Latn-BA"/>
        </w:rPr>
      </w:pPr>
      <w:r w:rsidRPr="001B53A8">
        <w:rPr>
          <w:lang w:val="sr-Latn-BA"/>
        </w:rPr>
        <w:t>a</w:t>
      </w:r>
      <w:r w:rsidR="0066171A" w:rsidRPr="001B53A8">
        <w:rPr>
          <w:lang w:val="sr-Latn-BA"/>
        </w:rPr>
        <w:t>)</w:t>
      </w:r>
      <w:r w:rsidR="0066171A" w:rsidRPr="001B53A8">
        <w:rPr>
          <w:lang w:val="sr-Latn-BA"/>
        </w:rPr>
        <w:tab/>
      </w:r>
      <w:r w:rsidRPr="001B53A8">
        <w:rPr>
          <w:lang w:val="sr-Latn-BA"/>
        </w:rPr>
        <w:t>donosi</w:t>
      </w:r>
      <w:r w:rsidR="0066171A" w:rsidRPr="001B53A8">
        <w:rPr>
          <w:lang w:val="sr-Latn-BA"/>
        </w:rPr>
        <w:t xml:space="preserve"> </w:t>
      </w:r>
      <w:r w:rsidRPr="001B53A8">
        <w:rPr>
          <w:lang w:val="sr-Latn-BA"/>
        </w:rPr>
        <w:t>opšte</w:t>
      </w:r>
      <w:r w:rsidR="0066171A" w:rsidRPr="001B53A8">
        <w:rPr>
          <w:lang w:val="sr-Latn-BA"/>
        </w:rPr>
        <w:t xml:space="preserve"> </w:t>
      </w:r>
      <w:r w:rsidRPr="001B53A8">
        <w:rPr>
          <w:lang w:val="sr-Latn-BA"/>
        </w:rPr>
        <w:t>akte</w:t>
      </w:r>
      <w:r w:rsidR="0066171A" w:rsidRPr="001B53A8">
        <w:rPr>
          <w:lang w:val="sr-Latn-BA"/>
        </w:rPr>
        <w:t xml:space="preserve"> </w:t>
      </w:r>
      <w:r w:rsidRPr="001B53A8">
        <w:rPr>
          <w:lang w:val="sr-Latn-BA"/>
        </w:rPr>
        <w:t>u</w:t>
      </w:r>
      <w:r w:rsidR="0066171A" w:rsidRPr="001B53A8">
        <w:rPr>
          <w:lang w:val="sr-Latn-BA"/>
        </w:rPr>
        <w:t xml:space="preserve"> </w:t>
      </w:r>
      <w:r w:rsidRPr="001B53A8">
        <w:rPr>
          <w:lang w:val="sr-Latn-BA"/>
        </w:rPr>
        <w:t>sprovođenju</w:t>
      </w:r>
      <w:r w:rsidR="0066171A" w:rsidRPr="001B53A8">
        <w:rPr>
          <w:lang w:val="sr-Latn-BA"/>
        </w:rPr>
        <w:t xml:space="preserve"> </w:t>
      </w:r>
      <w:r w:rsidRPr="001B53A8">
        <w:rPr>
          <w:lang w:val="sr-Latn-BA"/>
        </w:rPr>
        <w:t>ovog</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drugih</w:t>
      </w:r>
      <w:r w:rsidR="0066171A" w:rsidRPr="001B53A8">
        <w:rPr>
          <w:lang w:val="sr-Latn-BA"/>
        </w:rPr>
        <w:t xml:space="preserve"> </w:t>
      </w:r>
      <w:r w:rsidRPr="001B53A8">
        <w:rPr>
          <w:lang w:val="sr-Latn-BA"/>
        </w:rPr>
        <w:t>zakona</w:t>
      </w:r>
      <w:r w:rsidR="0066171A" w:rsidRPr="001B53A8">
        <w:rPr>
          <w:lang w:val="sr-Latn-BA"/>
        </w:rPr>
        <w:t xml:space="preserve">, </w:t>
      </w:r>
      <w:r w:rsidRPr="001B53A8">
        <w:rPr>
          <w:lang w:val="sr-Latn-BA"/>
        </w:rPr>
        <w:t>kada</w:t>
      </w:r>
      <w:r w:rsidR="0066171A" w:rsidRPr="001B53A8">
        <w:rPr>
          <w:lang w:val="sr-Latn-BA"/>
        </w:rPr>
        <w:t xml:space="preserve"> </w:t>
      </w:r>
      <w:r w:rsidRPr="001B53A8">
        <w:rPr>
          <w:lang w:val="sr-Latn-BA"/>
        </w:rPr>
        <w:t>je</w:t>
      </w:r>
      <w:r w:rsidR="0066171A" w:rsidRPr="001B53A8">
        <w:rPr>
          <w:lang w:val="sr-Latn-BA"/>
        </w:rPr>
        <w:t xml:space="preserve"> </w:t>
      </w:r>
      <w:r w:rsidRPr="001B53A8">
        <w:rPr>
          <w:lang w:val="sr-Latn-BA"/>
        </w:rPr>
        <w:t>za</w:t>
      </w:r>
      <w:r w:rsidR="0066171A" w:rsidRPr="001B53A8">
        <w:rPr>
          <w:lang w:val="sr-Latn-BA"/>
        </w:rPr>
        <w:t xml:space="preserve"> </w:t>
      </w:r>
      <w:r w:rsidRPr="001B53A8">
        <w:rPr>
          <w:lang w:val="sr-Latn-BA"/>
        </w:rPr>
        <w:t>to</w:t>
      </w:r>
      <w:r w:rsidR="0066171A" w:rsidRPr="001B53A8">
        <w:rPr>
          <w:lang w:val="sr-Latn-BA"/>
        </w:rPr>
        <w:t xml:space="preserve"> </w:t>
      </w:r>
      <w:r w:rsidRPr="001B53A8">
        <w:rPr>
          <w:lang w:val="sr-Latn-BA"/>
        </w:rPr>
        <w:t>ovlašćena</w:t>
      </w:r>
      <w:r w:rsidR="0066171A" w:rsidRPr="001B53A8">
        <w:rPr>
          <w:lang w:val="sr-Latn-BA"/>
        </w:rPr>
        <w:t xml:space="preserve"> </w:t>
      </w:r>
      <w:r w:rsidRPr="001B53A8">
        <w:rPr>
          <w:lang w:val="sr-Latn-BA"/>
        </w:rPr>
        <w:t>zakonom</w:t>
      </w:r>
      <w:r w:rsidR="0066171A" w:rsidRPr="001B53A8">
        <w:rPr>
          <w:lang w:val="sr-Latn-BA"/>
        </w:rPr>
        <w:t>,</w:t>
      </w:r>
    </w:p>
    <w:p w14:paraId="388B00D4" w14:textId="7B4DB0CC" w:rsidR="0066171A" w:rsidRPr="001B53A8" w:rsidRDefault="00003F34" w:rsidP="0066171A">
      <w:pPr>
        <w:tabs>
          <w:tab w:val="left" w:pos="851"/>
        </w:tabs>
        <w:spacing w:before="0" w:after="0" w:line="240" w:lineRule="auto"/>
        <w:ind w:left="851" w:hanging="283"/>
        <w:rPr>
          <w:lang w:val="sr-Latn-BA"/>
        </w:rPr>
      </w:pPr>
      <w:r w:rsidRPr="001B53A8">
        <w:rPr>
          <w:lang w:val="sr-Latn-BA"/>
        </w:rPr>
        <w:t>b</w:t>
      </w:r>
      <w:r w:rsidR="0066171A" w:rsidRPr="001B53A8">
        <w:rPr>
          <w:lang w:val="sr-Latn-BA"/>
        </w:rPr>
        <w:t>)</w:t>
      </w:r>
      <w:r w:rsidR="0066171A" w:rsidRPr="001B53A8">
        <w:rPr>
          <w:lang w:val="sr-Latn-BA"/>
        </w:rPr>
        <w:tab/>
      </w:r>
      <w:r w:rsidRPr="001B53A8">
        <w:rPr>
          <w:lang w:val="sr-Latn-BA"/>
        </w:rPr>
        <w:t>prati</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proučava</w:t>
      </w:r>
      <w:r w:rsidR="0066171A" w:rsidRPr="001B53A8">
        <w:rPr>
          <w:lang w:val="sr-Latn-BA"/>
        </w:rPr>
        <w:t xml:space="preserve"> </w:t>
      </w:r>
      <w:r w:rsidRPr="001B53A8">
        <w:rPr>
          <w:lang w:val="sr-Latn-BA"/>
        </w:rPr>
        <w:t>stanje</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kretanje</w:t>
      </w:r>
      <w:r w:rsidR="0066171A" w:rsidRPr="001B53A8">
        <w:rPr>
          <w:lang w:val="sr-Latn-BA"/>
        </w:rPr>
        <w:t xml:space="preserve"> </w:t>
      </w:r>
      <w:r w:rsidRPr="001B53A8">
        <w:rPr>
          <w:lang w:val="sr-Latn-BA"/>
        </w:rPr>
        <w:t>na</w:t>
      </w:r>
      <w:r w:rsidR="0066171A" w:rsidRPr="001B53A8">
        <w:rPr>
          <w:lang w:val="sr-Latn-BA"/>
        </w:rPr>
        <w:t xml:space="preserve"> </w:t>
      </w:r>
      <w:r w:rsidRPr="001B53A8">
        <w:rPr>
          <w:lang w:val="sr-Latn-BA"/>
        </w:rPr>
        <w:t>tržištu</w:t>
      </w:r>
      <w:r w:rsidR="0066171A" w:rsidRPr="001B53A8">
        <w:rPr>
          <w:lang w:val="sr-Latn-BA"/>
        </w:rPr>
        <w:t xml:space="preserve"> </w:t>
      </w:r>
      <w:r w:rsidRPr="001B53A8">
        <w:rPr>
          <w:lang w:val="sr-Latn-BA"/>
        </w:rPr>
        <w:t>hartija</w:t>
      </w:r>
      <w:r w:rsidR="0066171A" w:rsidRPr="001B53A8">
        <w:rPr>
          <w:lang w:val="sr-Latn-BA"/>
        </w:rPr>
        <w:t xml:space="preserve"> </w:t>
      </w:r>
      <w:r w:rsidRPr="001B53A8">
        <w:rPr>
          <w:lang w:val="sr-Latn-BA"/>
        </w:rPr>
        <w:t>od</w:t>
      </w:r>
      <w:r w:rsidR="0066171A" w:rsidRPr="001B53A8">
        <w:rPr>
          <w:lang w:val="sr-Latn-BA"/>
        </w:rPr>
        <w:t xml:space="preserve"> </w:t>
      </w:r>
      <w:r w:rsidRPr="001B53A8">
        <w:rPr>
          <w:lang w:val="sr-Latn-BA"/>
        </w:rPr>
        <w:t>vrijednosti</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o</w:t>
      </w:r>
      <w:r w:rsidR="0066171A" w:rsidRPr="001B53A8">
        <w:rPr>
          <w:lang w:val="sr-Latn-BA"/>
        </w:rPr>
        <w:t xml:space="preserve"> </w:t>
      </w:r>
      <w:r w:rsidRPr="001B53A8">
        <w:rPr>
          <w:lang w:val="sr-Latn-BA"/>
        </w:rPr>
        <w:t>tome</w:t>
      </w:r>
      <w:r w:rsidR="0066171A" w:rsidRPr="001B53A8">
        <w:rPr>
          <w:lang w:val="sr-Latn-BA"/>
        </w:rPr>
        <w:t xml:space="preserve"> </w:t>
      </w:r>
      <w:r w:rsidRPr="001B53A8">
        <w:rPr>
          <w:lang w:val="sr-Latn-BA"/>
        </w:rPr>
        <w:t>obavještava</w:t>
      </w:r>
      <w:r w:rsidR="0066171A" w:rsidRPr="001B53A8">
        <w:rPr>
          <w:lang w:val="sr-Latn-BA"/>
        </w:rPr>
        <w:t xml:space="preserve"> </w:t>
      </w:r>
      <w:r w:rsidRPr="001B53A8">
        <w:rPr>
          <w:lang w:val="sr-Latn-BA"/>
        </w:rPr>
        <w:t>Vladu</w:t>
      </w:r>
      <w:r w:rsidR="0066171A" w:rsidRPr="001B53A8">
        <w:rPr>
          <w:lang w:val="sr-Latn-BA"/>
        </w:rPr>
        <w:t xml:space="preserve"> </w:t>
      </w:r>
      <w:r w:rsidRPr="001B53A8">
        <w:rPr>
          <w:lang w:val="sr-Latn-BA"/>
        </w:rPr>
        <w:t>Republike</w:t>
      </w:r>
      <w:r w:rsidR="0066171A" w:rsidRPr="001B53A8">
        <w:rPr>
          <w:lang w:val="sr-Latn-BA"/>
        </w:rPr>
        <w:t xml:space="preserve"> </w:t>
      </w:r>
      <w:r w:rsidRPr="001B53A8">
        <w:rPr>
          <w:lang w:val="sr-Latn-BA"/>
        </w:rPr>
        <w:t>Srpske</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Narodnu</w:t>
      </w:r>
      <w:r w:rsidR="0066171A" w:rsidRPr="001B53A8">
        <w:rPr>
          <w:lang w:val="sr-Latn-BA"/>
        </w:rPr>
        <w:t xml:space="preserve"> </w:t>
      </w:r>
      <w:r w:rsidRPr="001B53A8">
        <w:rPr>
          <w:lang w:val="sr-Latn-BA"/>
        </w:rPr>
        <w:t>skupštinu</w:t>
      </w:r>
      <w:r w:rsidR="0066171A" w:rsidRPr="001B53A8">
        <w:rPr>
          <w:lang w:val="sr-Latn-BA"/>
        </w:rPr>
        <w:t xml:space="preserve"> </w:t>
      </w:r>
      <w:r w:rsidRPr="001B53A8">
        <w:rPr>
          <w:lang w:val="sr-Latn-BA"/>
        </w:rPr>
        <w:t>Republike</w:t>
      </w:r>
      <w:r w:rsidR="0066171A" w:rsidRPr="001B53A8">
        <w:rPr>
          <w:lang w:val="sr-Latn-BA"/>
        </w:rPr>
        <w:t xml:space="preserve"> </w:t>
      </w:r>
      <w:r w:rsidRPr="001B53A8">
        <w:rPr>
          <w:lang w:val="sr-Latn-BA"/>
        </w:rPr>
        <w:t>Srpske</w:t>
      </w:r>
      <w:r w:rsidR="0066171A" w:rsidRPr="001B53A8">
        <w:rPr>
          <w:lang w:val="sr-Latn-BA"/>
        </w:rPr>
        <w:t xml:space="preserve">, </w:t>
      </w:r>
    </w:p>
    <w:p w14:paraId="47AB8B39" w14:textId="6BD8B0C5" w:rsidR="0066171A" w:rsidRPr="001B53A8" w:rsidRDefault="00003F34" w:rsidP="0066171A">
      <w:pPr>
        <w:tabs>
          <w:tab w:val="left" w:pos="851"/>
        </w:tabs>
        <w:spacing w:before="0" w:after="0" w:line="240" w:lineRule="auto"/>
        <w:ind w:left="851" w:hanging="283"/>
        <w:rPr>
          <w:lang w:val="sr-Latn-BA"/>
        </w:rPr>
      </w:pPr>
      <w:r w:rsidRPr="001B53A8">
        <w:rPr>
          <w:lang w:val="sr-Latn-BA"/>
        </w:rPr>
        <w:t>v</w:t>
      </w:r>
      <w:r w:rsidR="0066171A" w:rsidRPr="001B53A8">
        <w:rPr>
          <w:lang w:val="sr-Latn-BA"/>
        </w:rPr>
        <w:t>)</w:t>
      </w:r>
      <w:r w:rsidR="0066171A" w:rsidRPr="001B53A8">
        <w:rPr>
          <w:lang w:val="sr-Latn-BA"/>
        </w:rPr>
        <w:tab/>
      </w:r>
      <w:r w:rsidRPr="001B53A8">
        <w:rPr>
          <w:lang w:val="sr-Latn-BA"/>
        </w:rPr>
        <w:t>daje</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oduzima</w:t>
      </w:r>
      <w:r w:rsidR="0066171A" w:rsidRPr="001B53A8">
        <w:rPr>
          <w:lang w:val="sr-Latn-BA"/>
        </w:rPr>
        <w:t xml:space="preserve"> </w:t>
      </w:r>
      <w:r w:rsidRPr="001B53A8">
        <w:rPr>
          <w:lang w:val="sr-Latn-BA"/>
        </w:rPr>
        <w:t>dozvole</w:t>
      </w:r>
      <w:r w:rsidR="0066171A" w:rsidRPr="001B53A8">
        <w:rPr>
          <w:lang w:val="sr-Latn-BA"/>
        </w:rPr>
        <w:t xml:space="preserve">, </w:t>
      </w:r>
      <w:r w:rsidRPr="001B53A8">
        <w:rPr>
          <w:lang w:val="sr-Latn-BA"/>
        </w:rPr>
        <w:t>odobrenja</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saglasnosti</w:t>
      </w:r>
      <w:r w:rsidR="0066171A" w:rsidRPr="001B53A8">
        <w:rPr>
          <w:lang w:val="sr-Latn-BA"/>
        </w:rPr>
        <w:t xml:space="preserve"> </w:t>
      </w:r>
      <w:r w:rsidRPr="001B53A8">
        <w:rPr>
          <w:lang w:val="sr-Latn-BA"/>
        </w:rPr>
        <w:t>kada</w:t>
      </w:r>
      <w:r w:rsidR="0066171A" w:rsidRPr="001B53A8">
        <w:rPr>
          <w:lang w:val="sr-Latn-BA"/>
        </w:rPr>
        <w:t xml:space="preserve"> </w:t>
      </w:r>
      <w:r w:rsidRPr="001B53A8">
        <w:rPr>
          <w:lang w:val="sr-Latn-BA"/>
        </w:rPr>
        <w:t>je</w:t>
      </w:r>
      <w:r w:rsidR="0066171A" w:rsidRPr="001B53A8">
        <w:rPr>
          <w:lang w:val="sr-Latn-BA"/>
        </w:rPr>
        <w:t xml:space="preserve"> </w:t>
      </w:r>
      <w:r w:rsidRPr="001B53A8">
        <w:rPr>
          <w:lang w:val="sr-Latn-BA"/>
        </w:rPr>
        <w:t>za</w:t>
      </w:r>
      <w:r w:rsidR="0066171A" w:rsidRPr="001B53A8">
        <w:rPr>
          <w:lang w:val="sr-Latn-BA"/>
        </w:rPr>
        <w:t xml:space="preserve"> </w:t>
      </w:r>
      <w:r w:rsidRPr="001B53A8">
        <w:rPr>
          <w:lang w:val="sr-Latn-BA"/>
        </w:rPr>
        <w:t>to</w:t>
      </w:r>
      <w:r w:rsidR="0066171A" w:rsidRPr="001B53A8">
        <w:rPr>
          <w:lang w:val="sr-Latn-BA"/>
        </w:rPr>
        <w:t xml:space="preserve"> </w:t>
      </w:r>
      <w:r w:rsidRPr="001B53A8">
        <w:rPr>
          <w:lang w:val="sr-Latn-BA"/>
        </w:rPr>
        <w:t>ovlašćena</w:t>
      </w:r>
      <w:r w:rsidR="0066171A" w:rsidRPr="001B53A8">
        <w:rPr>
          <w:lang w:val="sr-Latn-BA"/>
        </w:rPr>
        <w:t xml:space="preserve"> </w:t>
      </w:r>
      <w:r w:rsidRPr="001B53A8">
        <w:rPr>
          <w:lang w:val="sr-Latn-BA"/>
        </w:rPr>
        <w:t>ovim</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drugim</w:t>
      </w:r>
      <w:r w:rsidR="0066171A" w:rsidRPr="001B53A8">
        <w:rPr>
          <w:lang w:val="sr-Latn-BA"/>
        </w:rPr>
        <w:t xml:space="preserve"> </w:t>
      </w:r>
      <w:r w:rsidRPr="001B53A8">
        <w:rPr>
          <w:lang w:val="sr-Latn-BA"/>
        </w:rPr>
        <w:t>zakonima</w:t>
      </w:r>
      <w:r w:rsidR="0066171A" w:rsidRPr="001B53A8">
        <w:rPr>
          <w:lang w:val="sr-Latn-BA"/>
        </w:rPr>
        <w:t>,</w:t>
      </w:r>
    </w:p>
    <w:p w14:paraId="1B08EB1E" w14:textId="1E94B07B" w:rsidR="0066171A" w:rsidRPr="001B53A8" w:rsidRDefault="00003F34" w:rsidP="0066171A">
      <w:pPr>
        <w:tabs>
          <w:tab w:val="left" w:pos="851"/>
        </w:tabs>
        <w:spacing w:before="0" w:after="0" w:line="240" w:lineRule="auto"/>
        <w:ind w:left="851" w:hanging="283"/>
        <w:rPr>
          <w:lang w:val="sr-Latn-BA"/>
        </w:rPr>
      </w:pPr>
      <w:r w:rsidRPr="001B53A8">
        <w:rPr>
          <w:lang w:val="sr-Latn-BA"/>
        </w:rPr>
        <w:t>g</w:t>
      </w:r>
      <w:r w:rsidR="0066171A" w:rsidRPr="001B53A8">
        <w:rPr>
          <w:lang w:val="sr-Latn-BA"/>
        </w:rPr>
        <w:t>)</w:t>
      </w:r>
      <w:r w:rsidR="0066171A" w:rsidRPr="001B53A8">
        <w:rPr>
          <w:lang w:val="sr-Latn-BA"/>
        </w:rPr>
        <w:tab/>
      </w:r>
      <w:r w:rsidRPr="001B53A8">
        <w:rPr>
          <w:lang w:val="sr-Latn-BA"/>
        </w:rPr>
        <w:t>kontroliše</w:t>
      </w:r>
      <w:r w:rsidR="0066171A" w:rsidRPr="001B53A8">
        <w:rPr>
          <w:lang w:val="sr-Latn-BA"/>
        </w:rPr>
        <w:t xml:space="preserve"> </w:t>
      </w:r>
      <w:r w:rsidRPr="001B53A8">
        <w:rPr>
          <w:lang w:val="sr-Latn-BA"/>
        </w:rPr>
        <w:t>poštivanje</w:t>
      </w:r>
      <w:r w:rsidR="0066171A" w:rsidRPr="001B53A8">
        <w:rPr>
          <w:lang w:val="sr-Latn-BA"/>
        </w:rPr>
        <w:t xml:space="preserve"> </w:t>
      </w:r>
      <w:r w:rsidRPr="001B53A8">
        <w:rPr>
          <w:lang w:val="sr-Latn-BA"/>
        </w:rPr>
        <w:t>pravila</w:t>
      </w:r>
      <w:r w:rsidR="0066171A" w:rsidRPr="001B53A8">
        <w:rPr>
          <w:lang w:val="sr-Latn-BA"/>
        </w:rPr>
        <w:t xml:space="preserve"> </w:t>
      </w:r>
      <w:r w:rsidRPr="001B53A8">
        <w:rPr>
          <w:lang w:val="sr-Latn-BA"/>
        </w:rPr>
        <w:t>uobičajene</w:t>
      </w:r>
      <w:r w:rsidR="0066171A" w:rsidRPr="001B53A8">
        <w:rPr>
          <w:lang w:val="sr-Latn-BA"/>
        </w:rPr>
        <w:t xml:space="preserve"> </w:t>
      </w:r>
      <w:r w:rsidRPr="001B53A8">
        <w:rPr>
          <w:lang w:val="sr-Latn-BA"/>
        </w:rPr>
        <w:t>trgovine</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lojalne</w:t>
      </w:r>
      <w:r w:rsidR="0066171A" w:rsidRPr="001B53A8">
        <w:rPr>
          <w:lang w:val="sr-Latn-BA"/>
        </w:rPr>
        <w:t xml:space="preserve"> </w:t>
      </w:r>
      <w:r w:rsidRPr="001B53A8">
        <w:rPr>
          <w:lang w:val="sr-Latn-BA"/>
        </w:rPr>
        <w:t>konkurencije</w:t>
      </w:r>
      <w:r w:rsidR="0066171A" w:rsidRPr="001B53A8">
        <w:rPr>
          <w:lang w:val="sr-Latn-BA"/>
        </w:rPr>
        <w:t xml:space="preserve"> </w:t>
      </w:r>
      <w:r w:rsidRPr="001B53A8">
        <w:rPr>
          <w:lang w:val="sr-Latn-BA"/>
        </w:rPr>
        <w:t>u</w:t>
      </w:r>
      <w:r w:rsidR="0066171A" w:rsidRPr="001B53A8">
        <w:rPr>
          <w:lang w:val="sr-Latn-BA"/>
        </w:rPr>
        <w:t xml:space="preserve"> </w:t>
      </w:r>
      <w:r w:rsidRPr="001B53A8">
        <w:rPr>
          <w:lang w:val="sr-Latn-BA"/>
        </w:rPr>
        <w:t>trgovini</w:t>
      </w:r>
      <w:r w:rsidR="0066171A" w:rsidRPr="001B53A8">
        <w:rPr>
          <w:lang w:val="sr-Latn-BA"/>
        </w:rPr>
        <w:t xml:space="preserve"> </w:t>
      </w:r>
      <w:r w:rsidRPr="001B53A8">
        <w:rPr>
          <w:lang w:val="sr-Latn-BA"/>
        </w:rPr>
        <w:t>hartijama</w:t>
      </w:r>
      <w:r w:rsidR="0066171A" w:rsidRPr="001B53A8">
        <w:rPr>
          <w:lang w:val="sr-Latn-BA"/>
        </w:rPr>
        <w:t xml:space="preserve"> </w:t>
      </w:r>
      <w:r w:rsidRPr="001B53A8">
        <w:rPr>
          <w:lang w:val="sr-Latn-BA"/>
        </w:rPr>
        <w:t>od</w:t>
      </w:r>
      <w:r w:rsidR="0066171A" w:rsidRPr="001B53A8">
        <w:rPr>
          <w:lang w:val="sr-Latn-BA"/>
        </w:rPr>
        <w:t xml:space="preserve"> </w:t>
      </w:r>
      <w:r w:rsidRPr="001B53A8">
        <w:rPr>
          <w:lang w:val="sr-Latn-BA"/>
        </w:rPr>
        <w:t>vrijednosti</w:t>
      </w:r>
      <w:r w:rsidR="0066171A" w:rsidRPr="001B53A8">
        <w:rPr>
          <w:lang w:val="sr-Latn-BA"/>
        </w:rPr>
        <w:t>,</w:t>
      </w:r>
    </w:p>
    <w:p w14:paraId="40309678" w14:textId="2CCC0430" w:rsidR="0066171A" w:rsidRPr="001B53A8" w:rsidRDefault="00003F34" w:rsidP="0066171A">
      <w:pPr>
        <w:tabs>
          <w:tab w:val="left" w:pos="851"/>
        </w:tabs>
        <w:spacing w:before="0" w:after="0" w:line="240" w:lineRule="auto"/>
        <w:ind w:left="851" w:hanging="283"/>
        <w:rPr>
          <w:lang w:val="sr-Latn-BA"/>
        </w:rPr>
      </w:pPr>
      <w:r w:rsidRPr="001B53A8">
        <w:rPr>
          <w:lang w:val="sr-Latn-BA"/>
        </w:rPr>
        <w:t>d</w:t>
      </w:r>
      <w:r w:rsidR="0066171A" w:rsidRPr="001B53A8">
        <w:rPr>
          <w:lang w:val="sr-Latn-BA"/>
        </w:rPr>
        <w:t>)</w:t>
      </w:r>
      <w:r w:rsidR="0066171A" w:rsidRPr="001B53A8">
        <w:rPr>
          <w:lang w:val="sr-Latn-BA"/>
        </w:rPr>
        <w:tab/>
      </w:r>
      <w:r w:rsidRPr="001B53A8">
        <w:rPr>
          <w:lang w:val="sr-Latn-BA"/>
        </w:rPr>
        <w:t>vrši</w:t>
      </w:r>
      <w:r w:rsidR="0066171A" w:rsidRPr="001B53A8">
        <w:rPr>
          <w:lang w:val="sr-Latn-BA"/>
        </w:rPr>
        <w:t xml:space="preserve"> </w:t>
      </w:r>
      <w:r w:rsidRPr="001B53A8">
        <w:rPr>
          <w:lang w:val="sr-Latn-BA"/>
        </w:rPr>
        <w:t>nadzor</w:t>
      </w:r>
      <w:r w:rsidR="0066171A" w:rsidRPr="001B53A8">
        <w:rPr>
          <w:lang w:val="sr-Latn-BA"/>
        </w:rPr>
        <w:t xml:space="preserve"> </w:t>
      </w:r>
      <w:r w:rsidRPr="001B53A8">
        <w:rPr>
          <w:lang w:val="sr-Latn-BA"/>
        </w:rPr>
        <w:t>nad</w:t>
      </w:r>
      <w:r w:rsidR="0066171A" w:rsidRPr="001B53A8">
        <w:rPr>
          <w:lang w:val="sr-Latn-BA"/>
        </w:rPr>
        <w:t xml:space="preserve"> </w:t>
      </w:r>
      <w:r w:rsidRPr="001B53A8">
        <w:rPr>
          <w:lang w:val="sr-Latn-BA"/>
        </w:rPr>
        <w:t>licima</w:t>
      </w:r>
      <w:r w:rsidR="0066171A" w:rsidRPr="001B53A8">
        <w:rPr>
          <w:lang w:val="sr-Latn-BA"/>
        </w:rPr>
        <w:t xml:space="preserve"> </w:t>
      </w:r>
      <w:r w:rsidRPr="001B53A8">
        <w:rPr>
          <w:lang w:val="sr-Latn-BA"/>
        </w:rPr>
        <w:t>kojima</w:t>
      </w:r>
      <w:r w:rsidR="0066171A" w:rsidRPr="001B53A8">
        <w:rPr>
          <w:lang w:val="sr-Latn-BA"/>
        </w:rPr>
        <w:t xml:space="preserve"> </w:t>
      </w:r>
      <w:r w:rsidRPr="001B53A8">
        <w:rPr>
          <w:lang w:val="sr-Latn-BA"/>
        </w:rPr>
        <w:t>daje</w:t>
      </w:r>
      <w:r w:rsidR="0066171A" w:rsidRPr="001B53A8">
        <w:rPr>
          <w:lang w:val="sr-Latn-BA"/>
        </w:rPr>
        <w:t xml:space="preserve"> </w:t>
      </w:r>
      <w:r w:rsidRPr="001B53A8">
        <w:rPr>
          <w:lang w:val="sr-Latn-BA"/>
        </w:rPr>
        <w:t>dozvolu</w:t>
      </w:r>
      <w:r w:rsidR="0066171A" w:rsidRPr="001B53A8">
        <w:rPr>
          <w:lang w:val="sr-Latn-BA"/>
        </w:rPr>
        <w:t xml:space="preserve"> </w:t>
      </w:r>
      <w:r w:rsidRPr="001B53A8">
        <w:rPr>
          <w:lang w:val="sr-Latn-BA"/>
        </w:rPr>
        <w:t>za</w:t>
      </w:r>
      <w:r w:rsidR="0066171A" w:rsidRPr="001B53A8">
        <w:rPr>
          <w:lang w:val="sr-Latn-BA"/>
        </w:rPr>
        <w:t xml:space="preserve"> </w:t>
      </w:r>
      <w:r w:rsidRPr="001B53A8">
        <w:rPr>
          <w:lang w:val="sr-Latn-BA"/>
        </w:rPr>
        <w:t>obavlјanje</w:t>
      </w:r>
      <w:r w:rsidR="0066171A" w:rsidRPr="001B53A8">
        <w:rPr>
          <w:lang w:val="sr-Latn-BA"/>
        </w:rPr>
        <w:t xml:space="preserve"> </w:t>
      </w:r>
      <w:r w:rsidRPr="001B53A8">
        <w:rPr>
          <w:lang w:val="sr-Latn-BA"/>
        </w:rPr>
        <w:t>poslova</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emitentima</w:t>
      </w:r>
      <w:r w:rsidR="0066171A" w:rsidRPr="001B53A8">
        <w:rPr>
          <w:lang w:val="sr-Latn-BA"/>
        </w:rPr>
        <w:t xml:space="preserve"> </w:t>
      </w:r>
      <w:r w:rsidRPr="001B53A8">
        <w:rPr>
          <w:lang w:val="sr-Latn-BA"/>
        </w:rPr>
        <w:t>hartija</w:t>
      </w:r>
      <w:r w:rsidR="0066171A" w:rsidRPr="001B53A8">
        <w:rPr>
          <w:lang w:val="sr-Latn-BA"/>
        </w:rPr>
        <w:t xml:space="preserve"> </w:t>
      </w:r>
      <w:r w:rsidRPr="001B53A8">
        <w:rPr>
          <w:lang w:val="sr-Latn-BA"/>
        </w:rPr>
        <w:t>od</w:t>
      </w:r>
      <w:r w:rsidR="0066171A" w:rsidRPr="001B53A8">
        <w:rPr>
          <w:lang w:val="sr-Latn-BA"/>
        </w:rPr>
        <w:t xml:space="preserve"> </w:t>
      </w:r>
      <w:r w:rsidRPr="001B53A8">
        <w:rPr>
          <w:lang w:val="sr-Latn-BA"/>
        </w:rPr>
        <w:t>vrijednosti</w:t>
      </w:r>
      <w:r w:rsidR="0066171A" w:rsidRPr="001B53A8">
        <w:rPr>
          <w:lang w:val="sr-Latn-BA"/>
        </w:rPr>
        <w:t xml:space="preserve"> </w:t>
      </w:r>
      <w:r w:rsidRPr="001B53A8">
        <w:rPr>
          <w:lang w:val="sr-Latn-BA"/>
        </w:rPr>
        <w:t>u</w:t>
      </w:r>
      <w:r w:rsidR="0066171A" w:rsidRPr="001B53A8">
        <w:rPr>
          <w:lang w:val="sr-Latn-BA"/>
        </w:rPr>
        <w:t xml:space="preserve"> </w:t>
      </w:r>
      <w:r w:rsidRPr="001B53A8">
        <w:rPr>
          <w:lang w:val="sr-Latn-BA"/>
        </w:rPr>
        <w:t>postupku</w:t>
      </w:r>
      <w:r w:rsidR="0066171A" w:rsidRPr="001B53A8">
        <w:rPr>
          <w:lang w:val="sr-Latn-BA"/>
        </w:rPr>
        <w:t xml:space="preserve"> </w:t>
      </w:r>
      <w:r w:rsidRPr="001B53A8">
        <w:rPr>
          <w:lang w:val="sr-Latn-BA"/>
        </w:rPr>
        <w:t>emisije</w:t>
      </w:r>
      <w:r w:rsidR="0066171A" w:rsidRPr="001B53A8">
        <w:rPr>
          <w:lang w:val="sr-Latn-BA"/>
        </w:rPr>
        <w:t xml:space="preserve">, </w:t>
      </w:r>
      <w:r w:rsidRPr="001B53A8">
        <w:rPr>
          <w:lang w:val="sr-Latn-BA"/>
        </w:rPr>
        <w:t>te</w:t>
      </w:r>
      <w:r w:rsidR="0066171A" w:rsidRPr="001B53A8">
        <w:rPr>
          <w:lang w:val="sr-Latn-BA"/>
        </w:rPr>
        <w:t xml:space="preserve"> </w:t>
      </w:r>
      <w:r w:rsidRPr="001B53A8">
        <w:rPr>
          <w:lang w:val="sr-Latn-BA"/>
        </w:rPr>
        <w:t>nalaže</w:t>
      </w:r>
      <w:r w:rsidR="0066171A" w:rsidRPr="001B53A8">
        <w:rPr>
          <w:lang w:val="sr-Latn-BA"/>
        </w:rPr>
        <w:t xml:space="preserve"> </w:t>
      </w:r>
      <w:r w:rsidRPr="001B53A8">
        <w:rPr>
          <w:lang w:val="sr-Latn-BA"/>
        </w:rPr>
        <w:t>mjere</w:t>
      </w:r>
      <w:r w:rsidR="0066171A" w:rsidRPr="001B53A8">
        <w:rPr>
          <w:lang w:val="sr-Latn-BA"/>
        </w:rPr>
        <w:t xml:space="preserve"> </w:t>
      </w:r>
      <w:r w:rsidRPr="001B53A8">
        <w:rPr>
          <w:lang w:val="sr-Latn-BA"/>
        </w:rPr>
        <w:t>za</w:t>
      </w:r>
      <w:r w:rsidR="0066171A" w:rsidRPr="001B53A8">
        <w:rPr>
          <w:lang w:val="sr-Latn-BA"/>
        </w:rPr>
        <w:t xml:space="preserve"> </w:t>
      </w:r>
      <w:r w:rsidRPr="001B53A8">
        <w:rPr>
          <w:lang w:val="sr-Latn-BA"/>
        </w:rPr>
        <w:t>otklanjanje</w:t>
      </w:r>
      <w:r w:rsidR="0066171A" w:rsidRPr="001B53A8">
        <w:rPr>
          <w:lang w:val="sr-Latn-BA"/>
        </w:rPr>
        <w:t xml:space="preserve"> </w:t>
      </w:r>
      <w:r w:rsidRPr="001B53A8">
        <w:rPr>
          <w:lang w:val="sr-Latn-BA"/>
        </w:rPr>
        <w:t>utvrđenih</w:t>
      </w:r>
      <w:r w:rsidR="0066171A" w:rsidRPr="001B53A8">
        <w:rPr>
          <w:lang w:val="sr-Latn-BA"/>
        </w:rPr>
        <w:t xml:space="preserve"> </w:t>
      </w:r>
      <w:r w:rsidRPr="001B53A8">
        <w:rPr>
          <w:lang w:val="sr-Latn-BA"/>
        </w:rPr>
        <w:t>nezakonitosti</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nepravilnosti</w:t>
      </w:r>
      <w:r w:rsidR="0066171A" w:rsidRPr="001B53A8">
        <w:rPr>
          <w:lang w:val="sr-Latn-BA"/>
        </w:rPr>
        <w:t>,</w:t>
      </w:r>
    </w:p>
    <w:p w14:paraId="230958C1" w14:textId="321ED8BA" w:rsidR="0066171A" w:rsidRPr="001B53A8" w:rsidRDefault="00003F34" w:rsidP="0066171A">
      <w:pPr>
        <w:tabs>
          <w:tab w:val="left" w:pos="851"/>
        </w:tabs>
        <w:spacing w:before="0" w:after="0" w:line="240" w:lineRule="auto"/>
        <w:ind w:left="851" w:hanging="283"/>
        <w:rPr>
          <w:rFonts w:eastAsia="Calibri"/>
          <w:bCs/>
          <w:lang w:val="sr-Latn-BA"/>
        </w:rPr>
      </w:pPr>
      <w:r w:rsidRPr="001B53A8">
        <w:rPr>
          <w:lang w:val="sr-Latn-BA"/>
        </w:rPr>
        <w:t>đ</w:t>
      </w:r>
      <w:r w:rsidR="0066171A" w:rsidRPr="001B53A8">
        <w:rPr>
          <w:lang w:val="sr-Latn-BA"/>
        </w:rPr>
        <w:t>)</w:t>
      </w:r>
      <w:r w:rsidR="0066171A" w:rsidRPr="001B53A8">
        <w:rPr>
          <w:lang w:val="sr-Latn-BA"/>
        </w:rPr>
        <w:tab/>
      </w:r>
      <w:r w:rsidRPr="001B53A8">
        <w:rPr>
          <w:rFonts w:eastAsia="Calibri"/>
          <w:bCs/>
          <w:lang w:val="sr-Latn-BA"/>
        </w:rPr>
        <w:t>vrši</w:t>
      </w:r>
      <w:r w:rsidR="0066171A" w:rsidRPr="001B53A8">
        <w:rPr>
          <w:rFonts w:eastAsia="Calibri"/>
          <w:bCs/>
          <w:lang w:val="sr-Latn-BA"/>
        </w:rPr>
        <w:t xml:space="preserve"> </w:t>
      </w:r>
      <w:r w:rsidRPr="001B53A8">
        <w:rPr>
          <w:rFonts w:eastAsia="Calibri"/>
          <w:bCs/>
          <w:lang w:val="sr-Latn-BA"/>
        </w:rPr>
        <w:t>nadzor</w:t>
      </w:r>
      <w:r w:rsidR="0066171A" w:rsidRPr="001B53A8">
        <w:rPr>
          <w:rFonts w:eastAsia="Calibri"/>
          <w:bCs/>
          <w:lang w:val="sr-Latn-BA"/>
        </w:rPr>
        <w:t xml:space="preserve"> </w:t>
      </w:r>
      <w:r w:rsidRPr="001B53A8">
        <w:rPr>
          <w:rFonts w:eastAsia="Calibri"/>
          <w:bCs/>
          <w:lang w:val="sr-Latn-BA"/>
        </w:rPr>
        <w:t>i</w:t>
      </w:r>
      <w:r w:rsidR="0066171A" w:rsidRPr="001B53A8">
        <w:rPr>
          <w:rFonts w:eastAsia="Calibri"/>
          <w:bCs/>
          <w:lang w:val="sr-Latn-BA"/>
        </w:rPr>
        <w:t xml:space="preserve"> </w:t>
      </w:r>
      <w:r w:rsidRPr="001B53A8">
        <w:rPr>
          <w:rFonts w:eastAsia="Calibri"/>
          <w:bCs/>
          <w:lang w:val="sr-Latn-BA"/>
        </w:rPr>
        <w:t>preduzima</w:t>
      </w:r>
      <w:r w:rsidR="0066171A" w:rsidRPr="001B53A8">
        <w:rPr>
          <w:rFonts w:eastAsia="Calibri"/>
          <w:bCs/>
          <w:lang w:val="sr-Latn-BA"/>
        </w:rPr>
        <w:t xml:space="preserve"> </w:t>
      </w:r>
      <w:r w:rsidRPr="001B53A8">
        <w:rPr>
          <w:rFonts w:eastAsia="Calibri"/>
          <w:bCs/>
          <w:lang w:val="sr-Latn-BA"/>
        </w:rPr>
        <w:t>potrebne</w:t>
      </w:r>
      <w:r w:rsidR="0066171A" w:rsidRPr="001B53A8">
        <w:rPr>
          <w:rFonts w:eastAsia="Calibri"/>
          <w:bCs/>
          <w:lang w:val="sr-Latn-BA"/>
        </w:rPr>
        <w:t xml:space="preserve"> </w:t>
      </w:r>
      <w:r w:rsidRPr="001B53A8">
        <w:rPr>
          <w:rFonts w:eastAsia="Calibri"/>
          <w:bCs/>
          <w:lang w:val="sr-Latn-BA"/>
        </w:rPr>
        <w:t>mjere</w:t>
      </w:r>
      <w:r w:rsidR="0066171A" w:rsidRPr="001B53A8">
        <w:rPr>
          <w:rFonts w:eastAsia="Calibri"/>
          <w:bCs/>
          <w:lang w:val="sr-Latn-BA"/>
        </w:rPr>
        <w:t xml:space="preserve"> </w:t>
      </w:r>
      <w:r w:rsidRPr="001B53A8">
        <w:rPr>
          <w:rFonts w:eastAsia="Calibri"/>
          <w:bCs/>
          <w:lang w:val="sr-Latn-BA"/>
        </w:rPr>
        <w:t>u</w:t>
      </w:r>
      <w:r w:rsidR="0066171A" w:rsidRPr="001B53A8">
        <w:rPr>
          <w:rFonts w:eastAsia="Calibri"/>
          <w:bCs/>
          <w:lang w:val="sr-Latn-BA"/>
        </w:rPr>
        <w:t xml:space="preserve"> </w:t>
      </w:r>
      <w:r w:rsidRPr="001B53A8">
        <w:rPr>
          <w:rFonts w:eastAsia="Calibri"/>
          <w:bCs/>
          <w:lang w:val="sr-Latn-BA"/>
        </w:rPr>
        <w:t>vezi</w:t>
      </w:r>
      <w:r w:rsidR="0066171A" w:rsidRPr="001B53A8">
        <w:rPr>
          <w:rFonts w:eastAsia="Calibri"/>
          <w:bCs/>
          <w:lang w:val="sr-Latn-BA"/>
        </w:rPr>
        <w:t xml:space="preserve"> </w:t>
      </w:r>
      <w:r w:rsidRPr="001B53A8">
        <w:rPr>
          <w:rFonts w:eastAsia="Calibri"/>
          <w:bCs/>
          <w:lang w:val="sr-Latn-BA"/>
        </w:rPr>
        <w:t>sa</w:t>
      </w:r>
      <w:r w:rsidR="0066171A" w:rsidRPr="001B53A8">
        <w:rPr>
          <w:rFonts w:eastAsia="Calibri"/>
          <w:bCs/>
          <w:lang w:val="sr-Latn-BA"/>
        </w:rPr>
        <w:t xml:space="preserve"> </w:t>
      </w:r>
      <w:r w:rsidRPr="001B53A8">
        <w:rPr>
          <w:rFonts w:eastAsia="Calibri"/>
          <w:bCs/>
          <w:lang w:val="sr-Latn-BA"/>
        </w:rPr>
        <w:t>sprečavanjem</w:t>
      </w:r>
      <w:r w:rsidR="0066171A" w:rsidRPr="001B53A8">
        <w:rPr>
          <w:rFonts w:eastAsia="Calibri"/>
          <w:bCs/>
          <w:lang w:val="sr-Latn-BA"/>
        </w:rPr>
        <w:t xml:space="preserve"> </w:t>
      </w:r>
      <w:r w:rsidRPr="001B53A8">
        <w:rPr>
          <w:rFonts w:eastAsia="Calibri"/>
          <w:bCs/>
          <w:lang w:val="sr-Latn-BA"/>
        </w:rPr>
        <w:t>pranja</w:t>
      </w:r>
      <w:r w:rsidR="0066171A" w:rsidRPr="001B53A8">
        <w:rPr>
          <w:rFonts w:eastAsia="Calibri"/>
          <w:bCs/>
          <w:lang w:val="sr-Latn-BA"/>
        </w:rPr>
        <w:t xml:space="preserve"> </w:t>
      </w:r>
      <w:r w:rsidRPr="001B53A8">
        <w:rPr>
          <w:rFonts w:eastAsia="Calibri"/>
          <w:bCs/>
          <w:lang w:val="sr-Latn-BA"/>
        </w:rPr>
        <w:t>novca</w:t>
      </w:r>
      <w:r w:rsidR="0066171A" w:rsidRPr="001B53A8">
        <w:rPr>
          <w:rFonts w:eastAsia="Calibri"/>
          <w:bCs/>
          <w:lang w:val="sr-Latn-BA"/>
        </w:rPr>
        <w:t xml:space="preserve"> </w:t>
      </w:r>
      <w:r w:rsidRPr="001B53A8">
        <w:rPr>
          <w:rFonts w:eastAsia="Calibri"/>
          <w:bCs/>
          <w:lang w:val="sr-Latn-BA"/>
        </w:rPr>
        <w:t>i</w:t>
      </w:r>
      <w:r w:rsidR="0066171A" w:rsidRPr="001B53A8">
        <w:rPr>
          <w:rFonts w:eastAsia="Calibri"/>
          <w:bCs/>
          <w:lang w:val="sr-Latn-BA"/>
        </w:rPr>
        <w:t xml:space="preserve"> </w:t>
      </w:r>
      <w:r w:rsidRPr="001B53A8">
        <w:rPr>
          <w:lang w:val="sr-Latn-BA"/>
        </w:rPr>
        <w:t>finansiranja</w:t>
      </w:r>
      <w:r w:rsidR="0066171A" w:rsidRPr="001B53A8">
        <w:rPr>
          <w:rFonts w:eastAsia="Calibri"/>
          <w:bCs/>
          <w:lang w:val="sr-Latn-BA"/>
        </w:rPr>
        <w:t xml:space="preserve"> </w:t>
      </w:r>
      <w:r w:rsidRPr="001B53A8">
        <w:rPr>
          <w:rFonts w:eastAsia="Calibri"/>
          <w:bCs/>
          <w:lang w:val="sr-Latn-BA"/>
        </w:rPr>
        <w:t>terorističkih</w:t>
      </w:r>
      <w:r w:rsidR="0066171A" w:rsidRPr="001B53A8">
        <w:rPr>
          <w:rFonts w:eastAsia="Calibri"/>
          <w:bCs/>
          <w:lang w:val="sr-Latn-BA"/>
        </w:rPr>
        <w:t xml:space="preserve"> </w:t>
      </w:r>
      <w:r w:rsidRPr="001B53A8">
        <w:rPr>
          <w:rFonts w:eastAsia="Calibri"/>
          <w:bCs/>
          <w:lang w:val="sr-Latn-BA"/>
        </w:rPr>
        <w:t>aktivnosti</w:t>
      </w:r>
      <w:r w:rsidR="0066171A" w:rsidRPr="001B53A8">
        <w:rPr>
          <w:rFonts w:eastAsia="Calibri"/>
          <w:bCs/>
          <w:lang w:val="sr-Latn-BA"/>
        </w:rPr>
        <w:t xml:space="preserve"> </w:t>
      </w:r>
      <w:r w:rsidRPr="001B53A8">
        <w:rPr>
          <w:rFonts w:eastAsia="Calibri"/>
          <w:bCs/>
          <w:lang w:val="sr-Latn-BA"/>
        </w:rPr>
        <w:t>nad</w:t>
      </w:r>
      <w:r w:rsidR="0066171A" w:rsidRPr="001B53A8">
        <w:rPr>
          <w:rFonts w:eastAsia="Calibri"/>
          <w:bCs/>
          <w:lang w:val="sr-Latn-BA"/>
        </w:rPr>
        <w:t xml:space="preserve"> </w:t>
      </w:r>
      <w:r w:rsidRPr="001B53A8">
        <w:rPr>
          <w:rFonts w:eastAsia="Calibri"/>
          <w:bCs/>
          <w:lang w:val="sr-Latn-BA"/>
        </w:rPr>
        <w:t>licima</w:t>
      </w:r>
      <w:r w:rsidR="0066171A" w:rsidRPr="001B53A8">
        <w:rPr>
          <w:rFonts w:eastAsia="Calibri"/>
          <w:bCs/>
          <w:lang w:val="sr-Latn-BA"/>
        </w:rPr>
        <w:t xml:space="preserve"> </w:t>
      </w:r>
      <w:r w:rsidRPr="001B53A8">
        <w:rPr>
          <w:rFonts w:eastAsia="Calibri"/>
          <w:bCs/>
          <w:lang w:val="sr-Latn-BA"/>
        </w:rPr>
        <w:t>kojima</w:t>
      </w:r>
      <w:r w:rsidR="0066171A" w:rsidRPr="001B53A8">
        <w:rPr>
          <w:rFonts w:eastAsia="Calibri"/>
          <w:bCs/>
          <w:lang w:val="sr-Latn-BA"/>
        </w:rPr>
        <w:t xml:space="preserve"> </w:t>
      </w:r>
      <w:r w:rsidRPr="001B53A8">
        <w:rPr>
          <w:rFonts w:eastAsia="Calibri"/>
          <w:bCs/>
          <w:lang w:val="sr-Latn-BA"/>
        </w:rPr>
        <w:t>daje</w:t>
      </w:r>
      <w:r w:rsidR="0066171A" w:rsidRPr="001B53A8">
        <w:rPr>
          <w:rFonts w:eastAsia="Calibri"/>
          <w:bCs/>
          <w:lang w:val="sr-Latn-BA"/>
        </w:rPr>
        <w:t xml:space="preserve"> </w:t>
      </w:r>
      <w:r w:rsidRPr="001B53A8">
        <w:rPr>
          <w:rFonts w:eastAsia="Calibri"/>
          <w:bCs/>
          <w:lang w:val="sr-Latn-BA"/>
        </w:rPr>
        <w:t>dozvolu</w:t>
      </w:r>
      <w:r w:rsidR="0066171A" w:rsidRPr="001B53A8">
        <w:rPr>
          <w:rFonts w:eastAsia="Calibri"/>
          <w:bCs/>
          <w:lang w:val="sr-Latn-BA"/>
        </w:rPr>
        <w:t xml:space="preserve"> </w:t>
      </w:r>
      <w:r w:rsidRPr="001B53A8">
        <w:rPr>
          <w:rFonts w:eastAsia="Calibri"/>
          <w:bCs/>
          <w:lang w:val="sr-Latn-BA"/>
        </w:rPr>
        <w:t>za</w:t>
      </w:r>
      <w:r w:rsidR="0066171A" w:rsidRPr="001B53A8">
        <w:rPr>
          <w:rFonts w:eastAsia="Calibri"/>
          <w:bCs/>
          <w:lang w:val="sr-Latn-BA"/>
        </w:rPr>
        <w:t xml:space="preserve"> </w:t>
      </w:r>
      <w:r w:rsidRPr="001B53A8">
        <w:rPr>
          <w:rFonts w:eastAsia="Calibri"/>
          <w:bCs/>
          <w:lang w:val="sr-Latn-BA"/>
        </w:rPr>
        <w:t>obavlјanje</w:t>
      </w:r>
      <w:r w:rsidR="0066171A" w:rsidRPr="001B53A8">
        <w:rPr>
          <w:rFonts w:eastAsia="Calibri"/>
          <w:bCs/>
          <w:lang w:val="sr-Latn-BA"/>
        </w:rPr>
        <w:t xml:space="preserve"> </w:t>
      </w:r>
      <w:r w:rsidRPr="001B53A8">
        <w:rPr>
          <w:rFonts w:eastAsia="Calibri"/>
          <w:bCs/>
          <w:lang w:val="sr-Latn-BA"/>
        </w:rPr>
        <w:t>poslova</w:t>
      </w:r>
      <w:r w:rsidR="0066171A" w:rsidRPr="001B53A8">
        <w:rPr>
          <w:rFonts w:eastAsia="Calibri"/>
          <w:bCs/>
          <w:lang w:val="sr-Latn-BA"/>
        </w:rPr>
        <w:t>,</w:t>
      </w:r>
    </w:p>
    <w:p w14:paraId="389EB1D1" w14:textId="7ED467EB" w:rsidR="0066171A" w:rsidRPr="001B53A8" w:rsidRDefault="00003F34" w:rsidP="0066171A">
      <w:pPr>
        <w:tabs>
          <w:tab w:val="left" w:pos="851"/>
        </w:tabs>
        <w:spacing w:before="0" w:after="0" w:line="240" w:lineRule="auto"/>
        <w:ind w:left="851" w:hanging="283"/>
        <w:rPr>
          <w:lang w:val="sr-Latn-BA"/>
        </w:rPr>
      </w:pPr>
      <w:r w:rsidRPr="001B53A8">
        <w:rPr>
          <w:lang w:val="sr-Latn-BA"/>
        </w:rPr>
        <w:t>e</w:t>
      </w:r>
      <w:r w:rsidR="0066171A" w:rsidRPr="001B53A8">
        <w:rPr>
          <w:lang w:val="sr-Latn-BA"/>
        </w:rPr>
        <w:t>)</w:t>
      </w:r>
      <w:r w:rsidR="0066171A" w:rsidRPr="001B53A8">
        <w:rPr>
          <w:lang w:val="sr-Latn-BA"/>
        </w:rPr>
        <w:tab/>
      </w:r>
      <w:r w:rsidRPr="001B53A8">
        <w:rPr>
          <w:lang w:val="sr-Latn-BA"/>
        </w:rPr>
        <w:t>propisuje</w:t>
      </w:r>
      <w:r w:rsidR="0066171A" w:rsidRPr="001B53A8">
        <w:rPr>
          <w:lang w:val="sr-Latn-BA"/>
        </w:rPr>
        <w:t xml:space="preserve">, </w:t>
      </w:r>
      <w:r w:rsidRPr="001B53A8">
        <w:rPr>
          <w:lang w:val="sr-Latn-BA"/>
        </w:rPr>
        <w:t>organizuje</w:t>
      </w:r>
      <w:r w:rsidR="0066171A" w:rsidRPr="001B53A8">
        <w:rPr>
          <w:lang w:val="sr-Latn-BA"/>
        </w:rPr>
        <w:t xml:space="preserve">, </w:t>
      </w:r>
      <w:r w:rsidRPr="001B53A8">
        <w:rPr>
          <w:lang w:val="sr-Latn-BA"/>
        </w:rPr>
        <w:t>preduzima</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nadgleda</w:t>
      </w:r>
      <w:r w:rsidR="0066171A" w:rsidRPr="001B53A8">
        <w:rPr>
          <w:lang w:val="sr-Latn-BA"/>
        </w:rPr>
        <w:t xml:space="preserve"> </w:t>
      </w:r>
      <w:r w:rsidRPr="001B53A8">
        <w:rPr>
          <w:lang w:val="sr-Latn-BA"/>
        </w:rPr>
        <w:t>mjere</w:t>
      </w:r>
      <w:r w:rsidR="0066171A" w:rsidRPr="001B53A8">
        <w:rPr>
          <w:lang w:val="sr-Latn-BA"/>
        </w:rPr>
        <w:t xml:space="preserve"> </w:t>
      </w:r>
      <w:r w:rsidRPr="001B53A8">
        <w:rPr>
          <w:lang w:val="sr-Latn-BA"/>
        </w:rPr>
        <w:t>kojima</w:t>
      </w:r>
      <w:r w:rsidR="0066171A" w:rsidRPr="001B53A8">
        <w:rPr>
          <w:lang w:val="sr-Latn-BA"/>
        </w:rPr>
        <w:t xml:space="preserve"> </w:t>
      </w:r>
      <w:r w:rsidRPr="001B53A8">
        <w:rPr>
          <w:lang w:val="sr-Latn-BA"/>
        </w:rPr>
        <w:t>osigurava</w:t>
      </w:r>
      <w:r w:rsidR="0066171A" w:rsidRPr="001B53A8">
        <w:rPr>
          <w:lang w:val="sr-Latn-BA"/>
        </w:rPr>
        <w:t xml:space="preserve"> </w:t>
      </w:r>
      <w:r w:rsidRPr="001B53A8">
        <w:rPr>
          <w:lang w:val="sr-Latn-BA"/>
        </w:rPr>
        <w:t>efikasno</w:t>
      </w:r>
      <w:r w:rsidR="0066171A" w:rsidRPr="001B53A8">
        <w:rPr>
          <w:lang w:val="sr-Latn-BA"/>
        </w:rPr>
        <w:t xml:space="preserve"> </w:t>
      </w:r>
      <w:r w:rsidRPr="001B53A8">
        <w:rPr>
          <w:lang w:val="sr-Latn-BA"/>
        </w:rPr>
        <w:t>funkcionisanje</w:t>
      </w:r>
      <w:r w:rsidR="0066171A" w:rsidRPr="001B53A8">
        <w:rPr>
          <w:lang w:val="sr-Latn-BA"/>
        </w:rPr>
        <w:t xml:space="preserve"> </w:t>
      </w:r>
      <w:r w:rsidRPr="001B53A8">
        <w:rPr>
          <w:lang w:val="sr-Latn-BA"/>
        </w:rPr>
        <w:t>tržišta</w:t>
      </w:r>
      <w:r w:rsidR="0066171A" w:rsidRPr="001B53A8">
        <w:rPr>
          <w:lang w:val="sr-Latn-BA"/>
        </w:rPr>
        <w:t xml:space="preserve"> </w:t>
      </w:r>
      <w:r w:rsidRPr="001B53A8">
        <w:rPr>
          <w:lang w:val="sr-Latn-BA"/>
        </w:rPr>
        <w:t>hartija</w:t>
      </w:r>
      <w:r w:rsidR="0066171A" w:rsidRPr="001B53A8">
        <w:rPr>
          <w:lang w:val="sr-Latn-BA"/>
        </w:rPr>
        <w:t xml:space="preserve"> </w:t>
      </w:r>
      <w:r w:rsidRPr="001B53A8">
        <w:rPr>
          <w:lang w:val="sr-Latn-BA"/>
        </w:rPr>
        <w:t>od</w:t>
      </w:r>
      <w:r w:rsidR="0066171A" w:rsidRPr="001B53A8">
        <w:rPr>
          <w:lang w:val="sr-Latn-BA"/>
        </w:rPr>
        <w:t xml:space="preserve"> </w:t>
      </w:r>
      <w:r w:rsidRPr="001B53A8">
        <w:rPr>
          <w:lang w:val="sr-Latn-BA"/>
        </w:rPr>
        <w:t>vrijednosti</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zaštitu</w:t>
      </w:r>
      <w:r w:rsidR="0066171A" w:rsidRPr="001B53A8">
        <w:rPr>
          <w:lang w:val="sr-Latn-BA"/>
        </w:rPr>
        <w:t xml:space="preserve"> </w:t>
      </w:r>
      <w:r w:rsidRPr="001B53A8">
        <w:rPr>
          <w:lang w:val="sr-Latn-BA"/>
        </w:rPr>
        <w:t>interesa</w:t>
      </w:r>
      <w:r w:rsidR="0066171A" w:rsidRPr="001B53A8">
        <w:rPr>
          <w:lang w:val="sr-Latn-BA"/>
        </w:rPr>
        <w:t xml:space="preserve"> </w:t>
      </w:r>
      <w:r w:rsidRPr="001B53A8">
        <w:rPr>
          <w:lang w:val="sr-Latn-BA"/>
        </w:rPr>
        <w:t>investitora</w:t>
      </w:r>
      <w:r w:rsidR="0066171A" w:rsidRPr="001B53A8">
        <w:rPr>
          <w:lang w:val="sr-Latn-BA"/>
        </w:rPr>
        <w:t xml:space="preserve">, </w:t>
      </w:r>
    </w:p>
    <w:p w14:paraId="3B186044" w14:textId="2D46CD8B" w:rsidR="0066171A" w:rsidRPr="001B53A8" w:rsidRDefault="00003F34" w:rsidP="0066171A">
      <w:pPr>
        <w:tabs>
          <w:tab w:val="left" w:pos="851"/>
        </w:tabs>
        <w:spacing w:before="0" w:after="0" w:line="240" w:lineRule="auto"/>
        <w:ind w:left="851" w:hanging="283"/>
        <w:rPr>
          <w:lang w:val="sr-Latn-BA"/>
        </w:rPr>
      </w:pPr>
      <w:r w:rsidRPr="001B53A8">
        <w:rPr>
          <w:lang w:val="sr-Latn-BA"/>
        </w:rPr>
        <w:t>ž</w:t>
      </w:r>
      <w:r w:rsidR="0066171A" w:rsidRPr="001B53A8">
        <w:rPr>
          <w:lang w:val="sr-Latn-BA"/>
        </w:rPr>
        <w:t xml:space="preserve">) </w:t>
      </w:r>
      <w:r w:rsidRPr="001B53A8">
        <w:rPr>
          <w:lang w:val="sr-Latn-BA"/>
        </w:rPr>
        <w:t>utvrđuje</w:t>
      </w:r>
      <w:r w:rsidR="0066171A" w:rsidRPr="001B53A8">
        <w:rPr>
          <w:lang w:val="sr-Latn-BA"/>
        </w:rPr>
        <w:t xml:space="preserve"> </w:t>
      </w:r>
      <w:r w:rsidRPr="001B53A8">
        <w:rPr>
          <w:lang w:val="sr-Latn-BA"/>
        </w:rPr>
        <w:t>pravila</w:t>
      </w:r>
      <w:r w:rsidR="0066171A" w:rsidRPr="001B53A8">
        <w:rPr>
          <w:lang w:val="sr-Latn-BA"/>
        </w:rPr>
        <w:t xml:space="preserve"> </w:t>
      </w:r>
      <w:r w:rsidRPr="001B53A8">
        <w:rPr>
          <w:lang w:val="sr-Latn-BA"/>
        </w:rPr>
        <w:t>trgovanja</w:t>
      </w:r>
      <w:r w:rsidR="0066171A" w:rsidRPr="001B53A8">
        <w:rPr>
          <w:lang w:val="sr-Latn-BA"/>
        </w:rPr>
        <w:t xml:space="preserve"> </w:t>
      </w:r>
      <w:r w:rsidRPr="001B53A8">
        <w:rPr>
          <w:lang w:val="sr-Latn-BA"/>
        </w:rPr>
        <w:t>hartijama</w:t>
      </w:r>
      <w:r w:rsidR="0066171A" w:rsidRPr="001B53A8">
        <w:rPr>
          <w:lang w:val="sr-Latn-BA"/>
        </w:rPr>
        <w:t xml:space="preserve"> </w:t>
      </w:r>
      <w:r w:rsidRPr="001B53A8">
        <w:rPr>
          <w:lang w:val="sr-Latn-BA"/>
        </w:rPr>
        <w:t>od</w:t>
      </w:r>
      <w:r w:rsidR="0066171A" w:rsidRPr="001B53A8">
        <w:rPr>
          <w:lang w:val="sr-Latn-BA"/>
        </w:rPr>
        <w:t xml:space="preserve"> </w:t>
      </w:r>
      <w:r w:rsidRPr="001B53A8">
        <w:rPr>
          <w:lang w:val="sr-Latn-BA"/>
        </w:rPr>
        <w:t>vrijednosti</w:t>
      </w:r>
      <w:r w:rsidR="0066171A" w:rsidRPr="001B53A8">
        <w:rPr>
          <w:lang w:val="sr-Latn-BA"/>
        </w:rPr>
        <w:t>,</w:t>
      </w:r>
    </w:p>
    <w:p w14:paraId="3131D32A" w14:textId="301EFD2B" w:rsidR="0066171A" w:rsidRPr="001B53A8" w:rsidRDefault="00003F34" w:rsidP="0066171A">
      <w:pPr>
        <w:tabs>
          <w:tab w:val="left" w:pos="851"/>
        </w:tabs>
        <w:spacing w:before="0" w:after="0" w:line="240" w:lineRule="auto"/>
        <w:ind w:left="851" w:hanging="283"/>
        <w:rPr>
          <w:lang w:val="sr-Latn-BA"/>
        </w:rPr>
      </w:pPr>
      <w:r w:rsidRPr="001B53A8">
        <w:rPr>
          <w:lang w:val="sr-Latn-BA"/>
        </w:rPr>
        <w:t>z</w:t>
      </w:r>
      <w:r w:rsidR="0066171A" w:rsidRPr="001B53A8">
        <w:rPr>
          <w:lang w:val="sr-Latn-BA"/>
        </w:rPr>
        <w:t xml:space="preserve">) </w:t>
      </w:r>
      <w:r w:rsidRPr="001B53A8">
        <w:rPr>
          <w:lang w:val="sr-Latn-BA"/>
        </w:rPr>
        <w:t>obustavlјa</w:t>
      </w:r>
      <w:r w:rsidR="0066171A" w:rsidRPr="001B53A8">
        <w:rPr>
          <w:lang w:val="sr-Latn-BA"/>
        </w:rPr>
        <w:t xml:space="preserve"> </w:t>
      </w:r>
      <w:r w:rsidRPr="001B53A8">
        <w:rPr>
          <w:lang w:val="sr-Latn-BA"/>
        </w:rPr>
        <w:t>emisiju</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trgovanje</w:t>
      </w:r>
      <w:r w:rsidR="0066171A" w:rsidRPr="001B53A8">
        <w:rPr>
          <w:lang w:val="sr-Latn-BA"/>
        </w:rPr>
        <w:t xml:space="preserve"> </w:t>
      </w:r>
      <w:r w:rsidRPr="001B53A8">
        <w:rPr>
          <w:lang w:val="sr-Latn-BA"/>
        </w:rPr>
        <w:t>pojedinim</w:t>
      </w:r>
      <w:r w:rsidR="0066171A" w:rsidRPr="001B53A8">
        <w:rPr>
          <w:lang w:val="sr-Latn-BA"/>
        </w:rPr>
        <w:t xml:space="preserve"> </w:t>
      </w:r>
      <w:r w:rsidRPr="001B53A8">
        <w:rPr>
          <w:lang w:val="sr-Latn-BA"/>
        </w:rPr>
        <w:t>hartijama</w:t>
      </w:r>
      <w:r w:rsidR="0066171A" w:rsidRPr="001B53A8">
        <w:rPr>
          <w:lang w:val="sr-Latn-BA"/>
        </w:rPr>
        <w:t xml:space="preserve"> </w:t>
      </w:r>
      <w:r w:rsidRPr="001B53A8">
        <w:rPr>
          <w:lang w:val="sr-Latn-BA"/>
        </w:rPr>
        <w:t>od</w:t>
      </w:r>
      <w:r w:rsidR="0066171A" w:rsidRPr="001B53A8">
        <w:rPr>
          <w:lang w:val="sr-Latn-BA"/>
        </w:rPr>
        <w:t xml:space="preserve"> </w:t>
      </w:r>
      <w:r w:rsidRPr="001B53A8">
        <w:rPr>
          <w:lang w:val="sr-Latn-BA"/>
        </w:rPr>
        <w:t>vrijednosti</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preduzima</w:t>
      </w:r>
      <w:r w:rsidR="0066171A" w:rsidRPr="001B53A8">
        <w:rPr>
          <w:lang w:val="sr-Latn-BA"/>
        </w:rPr>
        <w:t xml:space="preserve"> </w:t>
      </w:r>
      <w:r w:rsidRPr="001B53A8">
        <w:rPr>
          <w:lang w:val="sr-Latn-BA"/>
        </w:rPr>
        <w:t>druge</w:t>
      </w:r>
      <w:r w:rsidR="0066171A" w:rsidRPr="001B53A8">
        <w:rPr>
          <w:lang w:val="sr-Latn-BA"/>
        </w:rPr>
        <w:t xml:space="preserve"> </w:t>
      </w:r>
      <w:r w:rsidRPr="001B53A8">
        <w:rPr>
          <w:lang w:val="sr-Latn-BA"/>
        </w:rPr>
        <w:t>mjere</w:t>
      </w:r>
      <w:r w:rsidR="0066171A" w:rsidRPr="001B53A8">
        <w:rPr>
          <w:lang w:val="sr-Latn-BA"/>
        </w:rPr>
        <w:t xml:space="preserve"> </w:t>
      </w:r>
      <w:r w:rsidRPr="001B53A8">
        <w:rPr>
          <w:lang w:val="sr-Latn-BA"/>
        </w:rPr>
        <w:t>u</w:t>
      </w:r>
      <w:r w:rsidR="0066171A" w:rsidRPr="001B53A8">
        <w:rPr>
          <w:lang w:val="sr-Latn-BA"/>
        </w:rPr>
        <w:t xml:space="preserve"> </w:t>
      </w:r>
      <w:r w:rsidRPr="001B53A8">
        <w:rPr>
          <w:lang w:val="sr-Latn-BA"/>
        </w:rPr>
        <w:t>slučaju</w:t>
      </w:r>
      <w:r w:rsidR="0066171A" w:rsidRPr="001B53A8">
        <w:rPr>
          <w:lang w:val="sr-Latn-BA"/>
        </w:rPr>
        <w:t xml:space="preserve"> </w:t>
      </w:r>
      <w:r w:rsidRPr="001B53A8">
        <w:rPr>
          <w:lang w:val="sr-Latn-BA"/>
        </w:rPr>
        <w:t>kada</w:t>
      </w:r>
      <w:r w:rsidR="0066171A" w:rsidRPr="001B53A8">
        <w:rPr>
          <w:lang w:val="sr-Latn-BA"/>
        </w:rPr>
        <w:t xml:space="preserve"> </w:t>
      </w:r>
      <w:r w:rsidRPr="001B53A8">
        <w:rPr>
          <w:lang w:val="sr-Latn-BA"/>
        </w:rPr>
        <w:t>procijeni</w:t>
      </w:r>
      <w:r w:rsidR="0066171A" w:rsidRPr="001B53A8">
        <w:rPr>
          <w:lang w:val="sr-Latn-BA"/>
        </w:rPr>
        <w:t xml:space="preserve"> </w:t>
      </w:r>
      <w:r w:rsidRPr="001B53A8">
        <w:rPr>
          <w:lang w:val="sr-Latn-BA"/>
        </w:rPr>
        <w:t>da</w:t>
      </w:r>
      <w:r w:rsidR="0066171A" w:rsidRPr="001B53A8">
        <w:rPr>
          <w:lang w:val="sr-Latn-BA"/>
        </w:rPr>
        <w:t xml:space="preserve"> </w:t>
      </w:r>
      <w:r w:rsidRPr="001B53A8">
        <w:rPr>
          <w:lang w:val="sr-Latn-BA"/>
        </w:rPr>
        <w:t>su</w:t>
      </w:r>
      <w:r w:rsidR="0066171A" w:rsidRPr="001B53A8">
        <w:rPr>
          <w:lang w:val="sr-Latn-BA"/>
        </w:rPr>
        <w:t xml:space="preserve"> </w:t>
      </w:r>
      <w:r w:rsidRPr="001B53A8">
        <w:rPr>
          <w:lang w:val="sr-Latn-BA"/>
        </w:rPr>
        <w:t>tim</w:t>
      </w:r>
      <w:r w:rsidR="0066171A" w:rsidRPr="001B53A8">
        <w:rPr>
          <w:lang w:val="sr-Latn-BA"/>
        </w:rPr>
        <w:t xml:space="preserve"> </w:t>
      </w:r>
      <w:r w:rsidRPr="001B53A8">
        <w:rPr>
          <w:lang w:val="sr-Latn-BA"/>
        </w:rPr>
        <w:t>aktivnostima</w:t>
      </w:r>
      <w:r w:rsidR="0066171A" w:rsidRPr="001B53A8">
        <w:rPr>
          <w:lang w:val="sr-Latn-BA"/>
        </w:rPr>
        <w:t xml:space="preserve"> </w:t>
      </w:r>
      <w:r w:rsidRPr="001B53A8">
        <w:rPr>
          <w:lang w:val="sr-Latn-BA"/>
        </w:rPr>
        <w:t>ugroženi</w:t>
      </w:r>
      <w:r w:rsidR="0066171A" w:rsidRPr="001B53A8">
        <w:rPr>
          <w:lang w:val="sr-Latn-BA"/>
        </w:rPr>
        <w:t xml:space="preserve"> </w:t>
      </w:r>
      <w:r w:rsidRPr="001B53A8">
        <w:rPr>
          <w:lang w:val="sr-Latn-BA"/>
        </w:rPr>
        <w:t>interesi</w:t>
      </w:r>
      <w:r w:rsidR="0066171A" w:rsidRPr="001B53A8">
        <w:rPr>
          <w:lang w:val="sr-Latn-BA"/>
        </w:rPr>
        <w:t xml:space="preserve"> </w:t>
      </w:r>
      <w:r w:rsidRPr="001B53A8">
        <w:rPr>
          <w:lang w:val="sr-Latn-BA"/>
        </w:rPr>
        <w:t>investitora</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javnosti</w:t>
      </w:r>
      <w:r w:rsidR="0066171A" w:rsidRPr="001B53A8">
        <w:rPr>
          <w:lang w:val="sr-Latn-BA"/>
        </w:rPr>
        <w:t xml:space="preserve"> </w:t>
      </w:r>
      <w:r w:rsidRPr="001B53A8">
        <w:rPr>
          <w:lang w:val="sr-Latn-BA"/>
        </w:rPr>
        <w:t>ili</w:t>
      </w:r>
      <w:r w:rsidR="0066171A" w:rsidRPr="001B53A8">
        <w:rPr>
          <w:lang w:val="sr-Latn-BA"/>
        </w:rPr>
        <w:t xml:space="preserve"> </w:t>
      </w:r>
      <w:r w:rsidRPr="001B53A8">
        <w:rPr>
          <w:lang w:val="sr-Latn-BA"/>
        </w:rPr>
        <w:t>one</w:t>
      </w:r>
      <w:r w:rsidR="0066171A" w:rsidRPr="001B53A8">
        <w:rPr>
          <w:lang w:val="sr-Latn-BA"/>
        </w:rPr>
        <w:t xml:space="preserve"> </w:t>
      </w:r>
      <w:r w:rsidRPr="001B53A8">
        <w:rPr>
          <w:lang w:val="sr-Latn-BA"/>
        </w:rPr>
        <w:t>nisu</w:t>
      </w:r>
      <w:r w:rsidR="0066171A" w:rsidRPr="001B53A8">
        <w:rPr>
          <w:lang w:val="sr-Latn-BA"/>
        </w:rPr>
        <w:t xml:space="preserve"> </w:t>
      </w:r>
      <w:r w:rsidRPr="001B53A8">
        <w:rPr>
          <w:lang w:val="sr-Latn-BA"/>
        </w:rPr>
        <w:t>u</w:t>
      </w:r>
      <w:r w:rsidR="0066171A" w:rsidRPr="001B53A8">
        <w:rPr>
          <w:lang w:val="sr-Latn-BA"/>
        </w:rPr>
        <w:t xml:space="preserve"> </w:t>
      </w:r>
      <w:r w:rsidRPr="001B53A8">
        <w:rPr>
          <w:lang w:val="sr-Latn-BA"/>
        </w:rPr>
        <w:t>skladu</w:t>
      </w:r>
      <w:r w:rsidR="0066171A" w:rsidRPr="001B53A8">
        <w:rPr>
          <w:lang w:val="sr-Latn-BA"/>
        </w:rPr>
        <w:t xml:space="preserve"> </w:t>
      </w:r>
      <w:r w:rsidRPr="001B53A8">
        <w:rPr>
          <w:lang w:val="sr-Latn-BA"/>
        </w:rPr>
        <w:t>sa</w:t>
      </w:r>
      <w:r w:rsidR="0066171A" w:rsidRPr="001B53A8">
        <w:rPr>
          <w:lang w:val="sr-Latn-BA"/>
        </w:rPr>
        <w:t xml:space="preserve"> </w:t>
      </w:r>
      <w:r w:rsidRPr="001B53A8">
        <w:rPr>
          <w:lang w:val="sr-Latn-BA"/>
        </w:rPr>
        <w:t>zakonom</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drugim</w:t>
      </w:r>
      <w:r w:rsidR="0066171A" w:rsidRPr="001B53A8">
        <w:rPr>
          <w:lang w:val="sr-Latn-BA"/>
        </w:rPr>
        <w:t xml:space="preserve"> </w:t>
      </w:r>
      <w:r w:rsidRPr="001B53A8">
        <w:rPr>
          <w:lang w:val="sr-Latn-BA"/>
        </w:rPr>
        <w:t>propisima</w:t>
      </w:r>
      <w:r w:rsidR="0066171A" w:rsidRPr="001B53A8">
        <w:rPr>
          <w:lang w:val="sr-Latn-BA"/>
        </w:rPr>
        <w:t xml:space="preserve">, </w:t>
      </w:r>
    </w:p>
    <w:p w14:paraId="5F7ED084" w14:textId="621F2D75" w:rsidR="0066171A" w:rsidRPr="001B53A8" w:rsidRDefault="00003F34" w:rsidP="0066171A">
      <w:pPr>
        <w:tabs>
          <w:tab w:val="left" w:pos="851"/>
        </w:tabs>
        <w:spacing w:before="0" w:after="0" w:line="240" w:lineRule="auto"/>
        <w:ind w:left="851" w:hanging="283"/>
        <w:rPr>
          <w:lang w:val="sr-Latn-BA"/>
        </w:rPr>
      </w:pPr>
      <w:r w:rsidRPr="001B53A8">
        <w:rPr>
          <w:lang w:val="sr-Latn-BA"/>
        </w:rPr>
        <w:t>i</w:t>
      </w:r>
      <w:r w:rsidR="0066171A" w:rsidRPr="001B53A8">
        <w:rPr>
          <w:lang w:val="sr-Latn-BA"/>
        </w:rPr>
        <w:t>)</w:t>
      </w:r>
      <w:r w:rsidR="0066171A" w:rsidRPr="001B53A8">
        <w:rPr>
          <w:lang w:val="sr-Latn-BA"/>
        </w:rPr>
        <w:tab/>
      </w:r>
      <w:r w:rsidRPr="001B53A8">
        <w:rPr>
          <w:lang w:val="sr-Latn-BA"/>
        </w:rPr>
        <w:t>propisuje</w:t>
      </w:r>
      <w:r w:rsidR="0066171A" w:rsidRPr="001B53A8">
        <w:rPr>
          <w:lang w:val="sr-Latn-BA"/>
        </w:rPr>
        <w:t xml:space="preserve"> </w:t>
      </w:r>
      <w:r w:rsidRPr="001B53A8">
        <w:rPr>
          <w:lang w:val="sr-Latn-BA"/>
        </w:rPr>
        <w:t>opšte</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posebne</w:t>
      </w:r>
      <w:r w:rsidR="0066171A" w:rsidRPr="001B53A8">
        <w:rPr>
          <w:lang w:val="sr-Latn-BA"/>
        </w:rPr>
        <w:t xml:space="preserve"> </w:t>
      </w:r>
      <w:r w:rsidRPr="001B53A8">
        <w:rPr>
          <w:lang w:val="sr-Latn-BA"/>
        </w:rPr>
        <w:t>uslove</w:t>
      </w:r>
      <w:r w:rsidR="0066171A" w:rsidRPr="001B53A8">
        <w:rPr>
          <w:lang w:val="sr-Latn-BA"/>
        </w:rPr>
        <w:t xml:space="preserve"> </w:t>
      </w:r>
      <w:r w:rsidRPr="001B53A8">
        <w:rPr>
          <w:lang w:val="sr-Latn-BA"/>
        </w:rPr>
        <w:t>poslovanja</w:t>
      </w:r>
      <w:r w:rsidR="0066171A" w:rsidRPr="001B53A8">
        <w:rPr>
          <w:lang w:val="sr-Latn-BA"/>
        </w:rPr>
        <w:t xml:space="preserve"> </w:t>
      </w:r>
      <w:r w:rsidRPr="001B53A8">
        <w:rPr>
          <w:lang w:val="sr-Latn-BA"/>
        </w:rPr>
        <w:t>koje</w:t>
      </w:r>
      <w:r w:rsidR="0066171A" w:rsidRPr="001B53A8">
        <w:rPr>
          <w:lang w:val="sr-Latn-BA"/>
        </w:rPr>
        <w:t xml:space="preserve"> </w:t>
      </w:r>
      <w:r w:rsidRPr="001B53A8">
        <w:rPr>
          <w:lang w:val="sr-Latn-BA"/>
        </w:rPr>
        <w:t>moraju</w:t>
      </w:r>
      <w:r w:rsidR="0066171A" w:rsidRPr="001B53A8">
        <w:rPr>
          <w:lang w:val="sr-Latn-BA"/>
        </w:rPr>
        <w:t xml:space="preserve"> </w:t>
      </w:r>
      <w:r w:rsidRPr="001B53A8">
        <w:rPr>
          <w:lang w:val="sr-Latn-BA"/>
        </w:rPr>
        <w:t>ispunjavati</w:t>
      </w:r>
      <w:r w:rsidR="0066171A" w:rsidRPr="001B53A8">
        <w:rPr>
          <w:lang w:val="sr-Latn-BA"/>
        </w:rPr>
        <w:t xml:space="preserve"> </w:t>
      </w:r>
      <w:r w:rsidRPr="001B53A8">
        <w:rPr>
          <w:lang w:val="sr-Latn-BA"/>
        </w:rPr>
        <w:t>pravna</w:t>
      </w:r>
      <w:r w:rsidR="0066171A" w:rsidRPr="001B53A8">
        <w:rPr>
          <w:lang w:val="sr-Latn-BA"/>
        </w:rPr>
        <w:t xml:space="preserve"> </w:t>
      </w:r>
      <w:r w:rsidRPr="001B53A8">
        <w:rPr>
          <w:lang w:val="sr-Latn-BA"/>
        </w:rPr>
        <w:t>lica</w:t>
      </w:r>
      <w:r w:rsidR="0066171A" w:rsidRPr="001B53A8">
        <w:rPr>
          <w:lang w:val="sr-Latn-BA"/>
        </w:rPr>
        <w:t xml:space="preserve"> </w:t>
      </w:r>
      <w:r w:rsidRPr="001B53A8">
        <w:rPr>
          <w:lang w:val="sr-Latn-BA"/>
        </w:rPr>
        <w:t>kojima</w:t>
      </w:r>
      <w:r w:rsidR="0066171A" w:rsidRPr="001B53A8">
        <w:rPr>
          <w:lang w:val="sr-Latn-BA"/>
        </w:rPr>
        <w:t xml:space="preserve"> </w:t>
      </w:r>
      <w:r w:rsidRPr="001B53A8">
        <w:rPr>
          <w:lang w:val="sr-Latn-BA"/>
        </w:rPr>
        <w:t>Komisija</w:t>
      </w:r>
      <w:r w:rsidR="0066171A" w:rsidRPr="001B53A8">
        <w:rPr>
          <w:lang w:val="sr-Latn-BA"/>
        </w:rPr>
        <w:t xml:space="preserve"> </w:t>
      </w:r>
      <w:r w:rsidRPr="001B53A8">
        <w:rPr>
          <w:lang w:val="sr-Latn-BA"/>
        </w:rPr>
        <w:t>daje</w:t>
      </w:r>
      <w:r w:rsidR="0066171A" w:rsidRPr="001B53A8">
        <w:rPr>
          <w:lang w:val="sr-Latn-BA"/>
        </w:rPr>
        <w:t xml:space="preserve"> </w:t>
      </w:r>
      <w:r w:rsidRPr="001B53A8">
        <w:rPr>
          <w:lang w:val="sr-Latn-BA"/>
        </w:rPr>
        <w:t>dozvolu</w:t>
      </w:r>
      <w:r w:rsidR="0066171A" w:rsidRPr="001B53A8">
        <w:rPr>
          <w:lang w:val="sr-Latn-BA"/>
        </w:rPr>
        <w:t xml:space="preserve"> </w:t>
      </w:r>
      <w:r w:rsidRPr="001B53A8">
        <w:rPr>
          <w:lang w:val="sr-Latn-BA"/>
        </w:rPr>
        <w:t>za</w:t>
      </w:r>
      <w:r w:rsidR="0066171A" w:rsidRPr="001B53A8">
        <w:rPr>
          <w:lang w:val="sr-Latn-BA"/>
        </w:rPr>
        <w:t xml:space="preserve"> </w:t>
      </w:r>
      <w:r w:rsidRPr="001B53A8">
        <w:rPr>
          <w:lang w:val="sr-Latn-BA"/>
        </w:rPr>
        <w:t>obavlјanje</w:t>
      </w:r>
      <w:r w:rsidR="0066171A" w:rsidRPr="001B53A8">
        <w:rPr>
          <w:lang w:val="sr-Latn-BA"/>
        </w:rPr>
        <w:t xml:space="preserve"> </w:t>
      </w:r>
      <w:r w:rsidRPr="001B53A8">
        <w:rPr>
          <w:lang w:val="sr-Latn-BA"/>
        </w:rPr>
        <w:t>poslova</w:t>
      </w:r>
      <w:r w:rsidR="0066171A" w:rsidRPr="001B53A8">
        <w:rPr>
          <w:lang w:val="sr-Latn-BA"/>
        </w:rPr>
        <w:t xml:space="preserve"> </w:t>
      </w:r>
      <w:r w:rsidRPr="001B53A8">
        <w:rPr>
          <w:lang w:val="sr-Latn-BA"/>
        </w:rPr>
        <w:t>ili</w:t>
      </w:r>
      <w:r w:rsidR="0066171A" w:rsidRPr="001B53A8">
        <w:rPr>
          <w:lang w:val="sr-Latn-BA"/>
        </w:rPr>
        <w:t xml:space="preserve"> </w:t>
      </w:r>
      <w:r w:rsidRPr="001B53A8">
        <w:rPr>
          <w:lang w:val="sr-Latn-BA"/>
        </w:rPr>
        <w:t>djelatnosti</w:t>
      </w:r>
      <w:r w:rsidR="0066171A" w:rsidRPr="001B53A8">
        <w:rPr>
          <w:lang w:val="sr-Latn-BA"/>
        </w:rPr>
        <w:t>,</w:t>
      </w:r>
    </w:p>
    <w:p w14:paraId="1F124520" w14:textId="1B2B459B" w:rsidR="0066171A" w:rsidRPr="001B53A8" w:rsidRDefault="00003F34" w:rsidP="0066171A">
      <w:pPr>
        <w:tabs>
          <w:tab w:val="left" w:pos="851"/>
        </w:tabs>
        <w:spacing w:before="0" w:after="0" w:line="240" w:lineRule="auto"/>
        <w:ind w:left="851" w:hanging="283"/>
        <w:rPr>
          <w:lang w:val="sr-Latn-BA"/>
        </w:rPr>
      </w:pPr>
      <w:r w:rsidRPr="001B53A8">
        <w:rPr>
          <w:lang w:val="sr-Latn-BA"/>
        </w:rPr>
        <w:t>j</w:t>
      </w:r>
      <w:r w:rsidR="0066171A" w:rsidRPr="001B53A8">
        <w:rPr>
          <w:lang w:val="sr-Latn-BA"/>
        </w:rPr>
        <w:t>)</w:t>
      </w:r>
      <w:r w:rsidR="0066171A" w:rsidRPr="001B53A8">
        <w:rPr>
          <w:lang w:val="sr-Latn-BA"/>
        </w:rPr>
        <w:tab/>
      </w:r>
      <w:r w:rsidRPr="001B53A8">
        <w:rPr>
          <w:lang w:val="sr-Latn-BA"/>
        </w:rPr>
        <w:t>propisuje</w:t>
      </w:r>
      <w:r w:rsidR="0066171A" w:rsidRPr="001B53A8">
        <w:rPr>
          <w:lang w:val="sr-Latn-BA"/>
        </w:rPr>
        <w:t xml:space="preserve"> </w:t>
      </w:r>
      <w:r w:rsidRPr="001B53A8">
        <w:rPr>
          <w:lang w:val="sr-Latn-BA"/>
        </w:rPr>
        <w:t>obavezan</w:t>
      </w:r>
      <w:r w:rsidR="0066171A" w:rsidRPr="001B53A8">
        <w:rPr>
          <w:lang w:val="sr-Latn-BA"/>
        </w:rPr>
        <w:t xml:space="preserve"> </w:t>
      </w:r>
      <w:r w:rsidRPr="001B53A8">
        <w:rPr>
          <w:lang w:val="sr-Latn-BA"/>
        </w:rPr>
        <w:t>sadržaj</w:t>
      </w:r>
      <w:r w:rsidR="0066171A" w:rsidRPr="001B53A8">
        <w:rPr>
          <w:lang w:val="sr-Latn-BA"/>
        </w:rPr>
        <w:t xml:space="preserve"> </w:t>
      </w:r>
      <w:r w:rsidRPr="001B53A8">
        <w:rPr>
          <w:lang w:val="sr-Latn-BA"/>
        </w:rPr>
        <w:t>informacija</w:t>
      </w:r>
      <w:r w:rsidR="0066171A" w:rsidRPr="001B53A8">
        <w:rPr>
          <w:lang w:val="sr-Latn-BA"/>
        </w:rPr>
        <w:t xml:space="preserve"> </w:t>
      </w:r>
      <w:r w:rsidRPr="001B53A8">
        <w:rPr>
          <w:lang w:val="sr-Latn-BA"/>
        </w:rPr>
        <w:t>koje</w:t>
      </w:r>
      <w:r w:rsidR="0066171A" w:rsidRPr="001B53A8">
        <w:rPr>
          <w:lang w:val="sr-Latn-BA"/>
        </w:rPr>
        <w:t xml:space="preserve"> </w:t>
      </w:r>
      <w:r w:rsidRPr="001B53A8">
        <w:rPr>
          <w:lang w:val="sr-Latn-BA"/>
        </w:rPr>
        <w:t>moraju</w:t>
      </w:r>
      <w:r w:rsidR="0066171A" w:rsidRPr="001B53A8">
        <w:rPr>
          <w:lang w:val="sr-Latn-BA"/>
        </w:rPr>
        <w:t xml:space="preserve"> </w:t>
      </w:r>
      <w:r w:rsidRPr="001B53A8">
        <w:rPr>
          <w:lang w:val="sr-Latn-BA"/>
        </w:rPr>
        <w:t>biti</w:t>
      </w:r>
      <w:r w:rsidR="0066171A" w:rsidRPr="001B53A8">
        <w:rPr>
          <w:lang w:val="sr-Latn-BA"/>
        </w:rPr>
        <w:t xml:space="preserve"> </w:t>
      </w:r>
      <w:r w:rsidRPr="001B53A8">
        <w:rPr>
          <w:lang w:val="sr-Latn-BA"/>
        </w:rPr>
        <w:t>objavlјene</w:t>
      </w:r>
      <w:r w:rsidR="0066171A" w:rsidRPr="001B53A8">
        <w:rPr>
          <w:lang w:val="sr-Latn-BA"/>
        </w:rPr>
        <w:t xml:space="preserve"> </w:t>
      </w:r>
      <w:r w:rsidRPr="001B53A8">
        <w:rPr>
          <w:lang w:val="sr-Latn-BA"/>
        </w:rPr>
        <w:t>od</w:t>
      </w:r>
      <w:r w:rsidR="0066171A" w:rsidRPr="001B53A8">
        <w:rPr>
          <w:lang w:val="sr-Latn-BA"/>
        </w:rPr>
        <w:t xml:space="preserve"> </w:t>
      </w:r>
      <w:r w:rsidRPr="001B53A8">
        <w:rPr>
          <w:lang w:val="sr-Latn-BA"/>
        </w:rPr>
        <w:t>strane</w:t>
      </w:r>
      <w:r w:rsidR="0066171A" w:rsidRPr="001B53A8">
        <w:rPr>
          <w:lang w:val="sr-Latn-BA"/>
        </w:rPr>
        <w:t xml:space="preserve"> </w:t>
      </w:r>
      <w:r w:rsidRPr="001B53A8">
        <w:rPr>
          <w:lang w:val="sr-Latn-BA"/>
        </w:rPr>
        <w:t>emitenata</w:t>
      </w:r>
      <w:r w:rsidR="0066171A" w:rsidRPr="001B53A8">
        <w:rPr>
          <w:lang w:val="sr-Latn-BA"/>
        </w:rPr>
        <w:t xml:space="preserve"> </w:t>
      </w:r>
      <w:r w:rsidRPr="001B53A8">
        <w:rPr>
          <w:lang w:val="sr-Latn-BA"/>
        </w:rPr>
        <w:t>hartija</w:t>
      </w:r>
      <w:r w:rsidR="0066171A" w:rsidRPr="001B53A8">
        <w:rPr>
          <w:lang w:val="sr-Latn-BA"/>
        </w:rPr>
        <w:t xml:space="preserve"> </w:t>
      </w:r>
      <w:r w:rsidRPr="001B53A8">
        <w:rPr>
          <w:lang w:val="sr-Latn-BA"/>
        </w:rPr>
        <w:t>od</w:t>
      </w:r>
      <w:r w:rsidR="0066171A" w:rsidRPr="001B53A8">
        <w:rPr>
          <w:lang w:val="sr-Latn-BA"/>
        </w:rPr>
        <w:t xml:space="preserve"> </w:t>
      </w:r>
      <w:r w:rsidRPr="001B53A8">
        <w:rPr>
          <w:lang w:val="sr-Latn-BA"/>
        </w:rPr>
        <w:t>vrijednosti</w:t>
      </w:r>
      <w:r w:rsidR="0066171A" w:rsidRPr="001B53A8">
        <w:rPr>
          <w:lang w:val="sr-Latn-BA"/>
        </w:rPr>
        <w:t xml:space="preserve"> </w:t>
      </w:r>
      <w:r w:rsidRPr="001B53A8">
        <w:rPr>
          <w:lang w:val="sr-Latn-BA"/>
        </w:rPr>
        <w:t>javnom</w:t>
      </w:r>
      <w:r w:rsidR="0066171A" w:rsidRPr="001B53A8">
        <w:rPr>
          <w:lang w:val="sr-Latn-BA"/>
        </w:rPr>
        <w:t xml:space="preserve"> </w:t>
      </w:r>
      <w:r w:rsidRPr="001B53A8">
        <w:rPr>
          <w:lang w:val="sr-Latn-BA"/>
        </w:rPr>
        <w:t>ponudom</w:t>
      </w:r>
      <w:r w:rsidR="0066171A" w:rsidRPr="001B53A8">
        <w:rPr>
          <w:lang w:val="sr-Latn-BA"/>
        </w:rPr>
        <w:t>,</w:t>
      </w:r>
    </w:p>
    <w:p w14:paraId="1AF2A90E" w14:textId="47D94D76" w:rsidR="0066171A" w:rsidRPr="001B53A8" w:rsidRDefault="00003F34" w:rsidP="0066171A">
      <w:pPr>
        <w:tabs>
          <w:tab w:val="left" w:pos="851"/>
        </w:tabs>
        <w:spacing w:before="0" w:after="0" w:line="240" w:lineRule="auto"/>
        <w:ind w:left="851" w:hanging="283"/>
        <w:rPr>
          <w:lang w:val="sr-Latn-BA"/>
        </w:rPr>
      </w:pPr>
      <w:r w:rsidRPr="001B53A8">
        <w:rPr>
          <w:lang w:val="sr-Latn-BA"/>
        </w:rPr>
        <w:t>k</w:t>
      </w:r>
      <w:r w:rsidR="0066171A" w:rsidRPr="001B53A8">
        <w:rPr>
          <w:lang w:val="sr-Latn-BA"/>
        </w:rPr>
        <w:t>)</w:t>
      </w:r>
      <w:r w:rsidR="0066171A" w:rsidRPr="001B53A8">
        <w:rPr>
          <w:lang w:val="sr-Latn-BA"/>
        </w:rPr>
        <w:tab/>
      </w:r>
      <w:r w:rsidRPr="001B53A8">
        <w:rPr>
          <w:lang w:val="sr-Latn-BA"/>
        </w:rPr>
        <w:t>propisuje</w:t>
      </w:r>
      <w:r w:rsidR="0066171A" w:rsidRPr="001B53A8">
        <w:rPr>
          <w:lang w:val="sr-Latn-BA"/>
        </w:rPr>
        <w:t xml:space="preserve"> </w:t>
      </w:r>
      <w:r w:rsidRPr="001B53A8">
        <w:rPr>
          <w:lang w:val="sr-Latn-BA"/>
        </w:rPr>
        <w:t>obavezni</w:t>
      </w:r>
      <w:r w:rsidR="0066171A" w:rsidRPr="001B53A8">
        <w:rPr>
          <w:lang w:val="sr-Latn-BA"/>
        </w:rPr>
        <w:t xml:space="preserve"> </w:t>
      </w:r>
      <w:r w:rsidRPr="001B53A8">
        <w:rPr>
          <w:lang w:val="sr-Latn-BA"/>
        </w:rPr>
        <w:t>sadržaj</w:t>
      </w:r>
      <w:r w:rsidR="0066171A" w:rsidRPr="001B53A8">
        <w:rPr>
          <w:lang w:val="sr-Latn-BA"/>
        </w:rPr>
        <w:t xml:space="preserve"> </w:t>
      </w:r>
      <w:r w:rsidRPr="001B53A8">
        <w:rPr>
          <w:lang w:val="sr-Latn-BA"/>
        </w:rPr>
        <w:t>informacija</w:t>
      </w:r>
      <w:r w:rsidR="0066171A" w:rsidRPr="001B53A8">
        <w:rPr>
          <w:lang w:val="sr-Latn-BA"/>
        </w:rPr>
        <w:t xml:space="preserve"> </w:t>
      </w:r>
      <w:r w:rsidRPr="001B53A8">
        <w:rPr>
          <w:lang w:val="sr-Latn-BA"/>
        </w:rPr>
        <w:t>koje</w:t>
      </w:r>
      <w:r w:rsidR="0066171A" w:rsidRPr="001B53A8">
        <w:rPr>
          <w:lang w:val="sr-Latn-BA"/>
        </w:rPr>
        <w:t xml:space="preserve"> </w:t>
      </w:r>
      <w:r w:rsidRPr="001B53A8">
        <w:rPr>
          <w:lang w:val="sr-Latn-BA"/>
        </w:rPr>
        <w:t>se</w:t>
      </w:r>
      <w:r w:rsidR="0066171A" w:rsidRPr="001B53A8">
        <w:rPr>
          <w:lang w:val="sr-Latn-BA"/>
        </w:rPr>
        <w:t xml:space="preserve"> </w:t>
      </w:r>
      <w:r w:rsidRPr="001B53A8">
        <w:rPr>
          <w:lang w:val="sr-Latn-BA"/>
        </w:rPr>
        <w:t>dostavlјaju</w:t>
      </w:r>
      <w:r w:rsidR="0066171A" w:rsidRPr="001B53A8">
        <w:rPr>
          <w:lang w:val="sr-Latn-BA"/>
        </w:rPr>
        <w:t xml:space="preserve"> </w:t>
      </w:r>
      <w:r w:rsidRPr="001B53A8">
        <w:rPr>
          <w:lang w:val="sr-Latn-BA"/>
        </w:rPr>
        <w:t>Komisiji</w:t>
      </w:r>
      <w:r w:rsidR="0066171A" w:rsidRPr="001B53A8">
        <w:rPr>
          <w:lang w:val="sr-Latn-BA"/>
        </w:rPr>
        <w:t xml:space="preserve"> </w:t>
      </w:r>
      <w:r w:rsidRPr="001B53A8">
        <w:rPr>
          <w:lang w:val="sr-Latn-BA"/>
        </w:rPr>
        <w:t>ili</w:t>
      </w:r>
      <w:r w:rsidR="0066171A" w:rsidRPr="001B53A8">
        <w:rPr>
          <w:lang w:val="sr-Latn-BA"/>
        </w:rPr>
        <w:t xml:space="preserve"> </w:t>
      </w:r>
      <w:r w:rsidRPr="001B53A8">
        <w:rPr>
          <w:lang w:val="sr-Latn-BA"/>
        </w:rPr>
        <w:t>javno</w:t>
      </w:r>
      <w:r w:rsidR="0066171A" w:rsidRPr="001B53A8">
        <w:rPr>
          <w:lang w:val="sr-Latn-BA"/>
        </w:rPr>
        <w:t xml:space="preserve"> </w:t>
      </w:r>
      <w:r w:rsidRPr="001B53A8">
        <w:rPr>
          <w:lang w:val="sr-Latn-BA"/>
        </w:rPr>
        <w:t>objavlјuju</w:t>
      </w:r>
      <w:r w:rsidR="0066171A" w:rsidRPr="001B53A8">
        <w:rPr>
          <w:lang w:val="sr-Latn-BA"/>
        </w:rPr>
        <w:t xml:space="preserve"> </w:t>
      </w:r>
      <w:r w:rsidRPr="001B53A8">
        <w:rPr>
          <w:lang w:val="sr-Latn-BA"/>
        </w:rPr>
        <w:t>učesnici</w:t>
      </w:r>
      <w:r w:rsidR="0066171A" w:rsidRPr="001B53A8">
        <w:rPr>
          <w:lang w:val="sr-Latn-BA"/>
        </w:rPr>
        <w:t xml:space="preserve"> </w:t>
      </w:r>
      <w:r w:rsidRPr="001B53A8">
        <w:rPr>
          <w:lang w:val="sr-Latn-BA"/>
        </w:rPr>
        <w:t>koji</w:t>
      </w:r>
      <w:r w:rsidR="0066171A" w:rsidRPr="001B53A8">
        <w:rPr>
          <w:lang w:val="sr-Latn-BA"/>
        </w:rPr>
        <w:t xml:space="preserve"> </w:t>
      </w:r>
      <w:r w:rsidRPr="001B53A8">
        <w:rPr>
          <w:lang w:val="sr-Latn-BA"/>
        </w:rPr>
        <w:t>učestvuju</w:t>
      </w:r>
      <w:r w:rsidR="0066171A" w:rsidRPr="001B53A8">
        <w:rPr>
          <w:lang w:val="sr-Latn-BA"/>
        </w:rPr>
        <w:t xml:space="preserve"> </w:t>
      </w:r>
      <w:r w:rsidRPr="001B53A8">
        <w:rPr>
          <w:lang w:val="sr-Latn-BA"/>
        </w:rPr>
        <w:t>u</w:t>
      </w:r>
      <w:r w:rsidR="0066171A" w:rsidRPr="001B53A8">
        <w:rPr>
          <w:lang w:val="sr-Latn-BA"/>
        </w:rPr>
        <w:t xml:space="preserve"> </w:t>
      </w:r>
      <w:r w:rsidRPr="001B53A8">
        <w:rPr>
          <w:lang w:val="sr-Latn-BA"/>
        </w:rPr>
        <w:t>trgovanju</w:t>
      </w:r>
      <w:r w:rsidR="0066171A" w:rsidRPr="001B53A8">
        <w:rPr>
          <w:lang w:val="sr-Latn-BA"/>
        </w:rPr>
        <w:t xml:space="preserve"> </w:t>
      </w:r>
      <w:r w:rsidRPr="001B53A8">
        <w:rPr>
          <w:lang w:val="sr-Latn-BA"/>
        </w:rPr>
        <w:t>hartijama</w:t>
      </w:r>
      <w:r w:rsidR="0066171A" w:rsidRPr="001B53A8">
        <w:rPr>
          <w:lang w:val="sr-Latn-BA"/>
        </w:rPr>
        <w:t xml:space="preserve"> </w:t>
      </w:r>
      <w:r w:rsidRPr="001B53A8">
        <w:rPr>
          <w:lang w:val="sr-Latn-BA"/>
        </w:rPr>
        <w:t>od</w:t>
      </w:r>
      <w:r w:rsidR="0066171A" w:rsidRPr="001B53A8">
        <w:rPr>
          <w:lang w:val="sr-Latn-BA"/>
        </w:rPr>
        <w:t xml:space="preserve"> </w:t>
      </w:r>
      <w:r w:rsidRPr="001B53A8">
        <w:rPr>
          <w:lang w:val="sr-Latn-BA"/>
        </w:rPr>
        <w:t>vrijednosti</w:t>
      </w:r>
      <w:r w:rsidR="0066171A" w:rsidRPr="001B53A8">
        <w:rPr>
          <w:lang w:val="sr-Latn-BA"/>
        </w:rPr>
        <w:t>,</w:t>
      </w:r>
    </w:p>
    <w:p w14:paraId="6A4C3C0D" w14:textId="1BEF7349" w:rsidR="0066171A" w:rsidRPr="001B53A8" w:rsidRDefault="00003F34" w:rsidP="0066171A">
      <w:pPr>
        <w:tabs>
          <w:tab w:val="left" w:pos="851"/>
        </w:tabs>
        <w:spacing w:before="0" w:after="0" w:line="240" w:lineRule="auto"/>
        <w:ind w:left="851" w:hanging="283"/>
        <w:rPr>
          <w:lang w:val="sr-Latn-BA"/>
        </w:rPr>
      </w:pPr>
      <w:r w:rsidRPr="001B53A8">
        <w:rPr>
          <w:lang w:val="sr-Latn-BA"/>
        </w:rPr>
        <w:t>l</w:t>
      </w:r>
      <w:r w:rsidR="0066171A" w:rsidRPr="001B53A8">
        <w:rPr>
          <w:lang w:val="sr-Latn-BA"/>
        </w:rPr>
        <w:t>)</w:t>
      </w:r>
      <w:r w:rsidR="0066171A" w:rsidRPr="001B53A8">
        <w:rPr>
          <w:lang w:val="sr-Latn-BA"/>
        </w:rPr>
        <w:tab/>
      </w:r>
      <w:r w:rsidRPr="001B53A8">
        <w:rPr>
          <w:lang w:val="sr-Latn-BA"/>
        </w:rPr>
        <w:t>podnosi</w:t>
      </w:r>
      <w:r w:rsidR="0066171A" w:rsidRPr="001B53A8">
        <w:rPr>
          <w:lang w:val="sr-Latn-BA"/>
        </w:rPr>
        <w:t xml:space="preserve"> </w:t>
      </w:r>
      <w:r w:rsidRPr="001B53A8">
        <w:rPr>
          <w:lang w:val="sr-Latn-BA"/>
        </w:rPr>
        <w:t>nadležnom</w:t>
      </w:r>
      <w:r w:rsidR="0066171A" w:rsidRPr="001B53A8">
        <w:rPr>
          <w:lang w:val="sr-Latn-BA"/>
        </w:rPr>
        <w:t xml:space="preserve"> </w:t>
      </w:r>
      <w:r w:rsidRPr="001B53A8">
        <w:rPr>
          <w:lang w:val="sr-Latn-BA"/>
        </w:rPr>
        <w:t>organu</w:t>
      </w:r>
      <w:r w:rsidR="0066171A" w:rsidRPr="001B53A8">
        <w:rPr>
          <w:lang w:val="sr-Latn-BA"/>
        </w:rPr>
        <w:t xml:space="preserve"> </w:t>
      </w:r>
      <w:r w:rsidRPr="001B53A8">
        <w:rPr>
          <w:lang w:val="sr-Latn-BA"/>
        </w:rPr>
        <w:t>prijavu</w:t>
      </w:r>
      <w:r w:rsidR="0066171A" w:rsidRPr="001B53A8">
        <w:rPr>
          <w:lang w:val="sr-Latn-BA"/>
        </w:rPr>
        <w:t xml:space="preserve"> </w:t>
      </w:r>
      <w:r w:rsidRPr="001B53A8">
        <w:rPr>
          <w:lang w:val="sr-Latn-BA"/>
        </w:rPr>
        <w:t>protiv</w:t>
      </w:r>
      <w:r w:rsidR="0066171A" w:rsidRPr="001B53A8">
        <w:rPr>
          <w:lang w:val="sr-Latn-BA"/>
        </w:rPr>
        <w:t xml:space="preserve"> </w:t>
      </w:r>
      <w:r w:rsidRPr="001B53A8">
        <w:rPr>
          <w:lang w:val="sr-Latn-BA"/>
        </w:rPr>
        <w:t>pravnih</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fizičkih</w:t>
      </w:r>
      <w:r w:rsidR="0066171A" w:rsidRPr="001B53A8">
        <w:rPr>
          <w:lang w:val="sr-Latn-BA"/>
        </w:rPr>
        <w:t xml:space="preserve"> </w:t>
      </w:r>
      <w:r w:rsidRPr="001B53A8">
        <w:rPr>
          <w:lang w:val="sr-Latn-BA"/>
        </w:rPr>
        <w:t>lica</w:t>
      </w:r>
      <w:r w:rsidR="0066171A" w:rsidRPr="001B53A8">
        <w:rPr>
          <w:lang w:val="sr-Latn-BA"/>
        </w:rPr>
        <w:t xml:space="preserve">, </w:t>
      </w:r>
      <w:r w:rsidRPr="001B53A8">
        <w:rPr>
          <w:lang w:val="sr-Latn-BA"/>
        </w:rPr>
        <w:t>za</w:t>
      </w:r>
      <w:r w:rsidR="0066171A" w:rsidRPr="001B53A8">
        <w:rPr>
          <w:lang w:val="sr-Latn-BA"/>
        </w:rPr>
        <w:t xml:space="preserve"> </w:t>
      </w:r>
      <w:r w:rsidRPr="001B53A8">
        <w:rPr>
          <w:lang w:val="sr-Latn-BA"/>
        </w:rPr>
        <w:t>koje</w:t>
      </w:r>
      <w:r w:rsidR="0066171A" w:rsidRPr="001B53A8">
        <w:rPr>
          <w:lang w:val="sr-Latn-BA"/>
        </w:rPr>
        <w:t xml:space="preserve"> </w:t>
      </w:r>
      <w:r w:rsidRPr="001B53A8">
        <w:rPr>
          <w:lang w:val="sr-Latn-BA"/>
        </w:rPr>
        <w:t>u</w:t>
      </w:r>
      <w:r w:rsidR="0066171A" w:rsidRPr="001B53A8">
        <w:rPr>
          <w:lang w:val="sr-Latn-BA"/>
        </w:rPr>
        <w:t xml:space="preserve"> </w:t>
      </w:r>
      <w:r w:rsidRPr="001B53A8">
        <w:rPr>
          <w:lang w:val="sr-Latn-BA"/>
        </w:rPr>
        <w:t>postupku</w:t>
      </w:r>
      <w:r w:rsidR="0066171A" w:rsidRPr="001B53A8">
        <w:rPr>
          <w:lang w:val="sr-Latn-BA"/>
        </w:rPr>
        <w:t xml:space="preserve"> </w:t>
      </w:r>
      <w:r w:rsidRPr="001B53A8">
        <w:rPr>
          <w:lang w:val="sr-Latn-BA"/>
        </w:rPr>
        <w:t>nadzora</w:t>
      </w:r>
      <w:r w:rsidR="0066171A" w:rsidRPr="001B53A8">
        <w:rPr>
          <w:lang w:val="sr-Latn-BA"/>
        </w:rPr>
        <w:t xml:space="preserve"> </w:t>
      </w:r>
      <w:r w:rsidRPr="001B53A8">
        <w:rPr>
          <w:lang w:val="sr-Latn-BA"/>
        </w:rPr>
        <w:t>utvrdi</w:t>
      </w:r>
      <w:r w:rsidR="0066171A" w:rsidRPr="001B53A8">
        <w:rPr>
          <w:lang w:val="sr-Latn-BA"/>
        </w:rPr>
        <w:t xml:space="preserve"> </w:t>
      </w:r>
      <w:r w:rsidRPr="001B53A8">
        <w:rPr>
          <w:lang w:val="sr-Latn-BA"/>
        </w:rPr>
        <w:t>postojanje</w:t>
      </w:r>
      <w:r w:rsidR="0066171A" w:rsidRPr="001B53A8">
        <w:rPr>
          <w:lang w:val="sr-Latn-BA"/>
        </w:rPr>
        <w:t xml:space="preserve"> </w:t>
      </w:r>
      <w:r w:rsidRPr="001B53A8">
        <w:rPr>
          <w:lang w:val="sr-Latn-BA"/>
        </w:rPr>
        <w:t>osnova</w:t>
      </w:r>
      <w:r w:rsidR="0066171A" w:rsidRPr="001B53A8">
        <w:rPr>
          <w:lang w:val="sr-Latn-BA"/>
        </w:rPr>
        <w:t xml:space="preserve"> </w:t>
      </w:r>
      <w:r w:rsidRPr="001B53A8">
        <w:rPr>
          <w:lang w:val="sr-Latn-BA"/>
        </w:rPr>
        <w:t>sumnje</w:t>
      </w:r>
      <w:r w:rsidR="0066171A" w:rsidRPr="001B53A8">
        <w:rPr>
          <w:lang w:val="sr-Latn-BA"/>
        </w:rPr>
        <w:t xml:space="preserve"> </w:t>
      </w:r>
      <w:r w:rsidRPr="001B53A8">
        <w:rPr>
          <w:lang w:val="sr-Latn-BA"/>
        </w:rPr>
        <w:t>o</w:t>
      </w:r>
      <w:r w:rsidR="0066171A" w:rsidRPr="001B53A8">
        <w:rPr>
          <w:lang w:val="sr-Latn-BA"/>
        </w:rPr>
        <w:t xml:space="preserve"> </w:t>
      </w:r>
      <w:r w:rsidRPr="001B53A8">
        <w:rPr>
          <w:lang w:val="sr-Latn-BA"/>
        </w:rPr>
        <w:t>počinjenom</w:t>
      </w:r>
      <w:r w:rsidR="0066171A" w:rsidRPr="001B53A8">
        <w:rPr>
          <w:lang w:val="sr-Latn-BA"/>
        </w:rPr>
        <w:t xml:space="preserve"> </w:t>
      </w:r>
      <w:r w:rsidRPr="001B53A8">
        <w:rPr>
          <w:lang w:val="sr-Latn-BA"/>
        </w:rPr>
        <w:t>krivičnom</w:t>
      </w:r>
      <w:r w:rsidR="0066171A" w:rsidRPr="001B53A8">
        <w:rPr>
          <w:lang w:val="sr-Latn-BA"/>
        </w:rPr>
        <w:t xml:space="preserve"> </w:t>
      </w:r>
      <w:r w:rsidRPr="001B53A8">
        <w:rPr>
          <w:lang w:val="sr-Latn-BA"/>
        </w:rPr>
        <w:t>djelu</w:t>
      </w:r>
      <w:r w:rsidR="0066171A" w:rsidRPr="001B53A8">
        <w:rPr>
          <w:lang w:val="sr-Latn-BA"/>
        </w:rPr>
        <w:t xml:space="preserve"> </w:t>
      </w:r>
      <w:r w:rsidRPr="001B53A8">
        <w:rPr>
          <w:lang w:val="sr-Latn-BA"/>
        </w:rPr>
        <w:t>ili</w:t>
      </w:r>
      <w:r w:rsidR="0066171A" w:rsidRPr="001B53A8">
        <w:rPr>
          <w:lang w:val="sr-Latn-BA"/>
        </w:rPr>
        <w:t xml:space="preserve"> </w:t>
      </w:r>
      <w:r w:rsidRPr="001B53A8">
        <w:rPr>
          <w:lang w:val="sr-Latn-BA"/>
        </w:rPr>
        <w:t>prekršaju</w:t>
      </w:r>
      <w:r w:rsidR="0066171A" w:rsidRPr="001B53A8">
        <w:rPr>
          <w:lang w:val="sr-Latn-BA"/>
        </w:rPr>
        <w:t>,</w:t>
      </w:r>
    </w:p>
    <w:p w14:paraId="09A8A0E2" w14:textId="08B66866" w:rsidR="0066171A" w:rsidRPr="001B53A8" w:rsidRDefault="00003F34" w:rsidP="0066171A">
      <w:pPr>
        <w:tabs>
          <w:tab w:val="left" w:pos="851"/>
        </w:tabs>
        <w:spacing w:before="0" w:after="0" w:line="240" w:lineRule="auto"/>
        <w:ind w:left="851" w:hanging="283"/>
        <w:rPr>
          <w:lang w:val="sr-Latn-BA"/>
        </w:rPr>
      </w:pPr>
      <w:r w:rsidRPr="001B53A8">
        <w:rPr>
          <w:lang w:val="sr-Latn-BA"/>
        </w:rPr>
        <w:t>lј</w:t>
      </w:r>
      <w:r w:rsidR="0066171A" w:rsidRPr="001B53A8">
        <w:rPr>
          <w:lang w:val="sr-Latn-BA"/>
        </w:rPr>
        <w:t>)</w:t>
      </w:r>
      <w:r w:rsidR="0066171A" w:rsidRPr="001B53A8">
        <w:rPr>
          <w:lang w:val="sr-Latn-BA"/>
        </w:rPr>
        <w:tab/>
      </w:r>
      <w:r w:rsidRPr="001B53A8">
        <w:rPr>
          <w:lang w:val="sr-Latn-BA"/>
        </w:rPr>
        <w:t>sprovodi</w:t>
      </w:r>
      <w:r w:rsidR="0066171A" w:rsidRPr="001B53A8">
        <w:rPr>
          <w:lang w:val="sr-Latn-BA"/>
        </w:rPr>
        <w:t xml:space="preserve"> </w:t>
      </w:r>
      <w:r w:rsidRPr="001B53A8">
        <w:rPr>
          <w:lang w:val="sr-Latn-BA"/>
        </w:rPr>
        <w:t>prethodne</w:t>
      </w:r>
      <w:r w:rsidR="0066171A" w:rsidRPr="001B53A8">
        <w:rPr>
          <w:lang w:val="sr-Latn-BA"/>
        </w:rPr>
        <w:t xml:space="preserve"> </w:t>
      </w:r>
      <w:r w:rsidRPr="001B53A8">
        <w:rPr>
          <w:lang w:val="sr-Latn-BA"/>
        </w:rPr>
        <w:t>radnje</w:t>
      </w:r>
      <w:r w:rsidR="0066171A" w:rsidRPr="001B53A8">
        <w:rPr>
          <w:lang w:val="sr-Latn-BA"/>
        </w:rPr>
        <w:t xml:space="preserve"> </w:t>
      </w:r>
      <w:r w:rsidRPr="001B53A8">
        <w:rPr>
          <w:lang w:val="sr-Latn-BA"/>
        </w:rPr>
        <w:t>u</w:t>
      </w:r>
      <w:r w:rsidR="0066171A" w:rsidRPr="001B53A8">
        <w:rPr>
          <w:lang w:val="sr-Latn-BA"/>
        </w:rPr>
        <w:t xml:space="preserve"> </w:t>
      </w:r>
      <w:r w:rsidRPr="001B53A8">
        <w:rPr>
          <w:lang w:val="sr-Latn-BA"/>
        </w:rPr>
        <w:t>slučaju</w:t>
      </w:r>
      <w:r w:rsidR="0066171A" w:rsidRPr="001B53A8">
        <w:rPr>
          <w:lang w:val="sr-Latn-BA"/>
        </w:rPr>
        <w:t xml:space="preserve"> </w:t>
      </w:r>
      <w:r w:rsidRPr="001B53A8">
        <w:rPr>
          <w:lang w:val="sr-Latn-BA"/>
        </w:rPr>
        <w:t>povrede</w:t>
      </w:r>
      <w:r w:rsidR="0066171A" w:rsidRPr="001B53A8">
        <w:rPr>
          <w:lang w:val="sr-Latn-BA"/>
        </w:rPr>
        <w:t xml:space="preserve"> </w:t>
      </w:r>
      <w:r w:rsidRPr="001B53A8">
        <w:rPr>
          <w:lang w:val="sr-Latn-BA"/>
        </w:rPr>
        <w:t>zakonskih</w:t>
      </w:r>
      <w:r w:rsidR="0066171A" w:rsidRPr="001B53A8">
        <w:rPr>
          <w:lang w:val="sr-Latn-BA"/>
        </w:rPr>
        <w:t xml:space="preserve"> </w:t>
      </w:r>
      <w:r w:rsidRPr="001B53A8">
        <w:rPr>
          <w:lang w:val="sr-Latn-BA"/>
        </w:rPr>
        <w:t>odredaba</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drugih</w:t>
      </w:r>
      <w:r w:rsidR="0066171A" w:rsidRPr="001B53A8">
        <w:rPr>
          <w:lang w:val="sr-Latn-BA"/>
        </w:rPr>
        <w:t xml:space="preserve"> </w:t>
      </w:r>
      <w:r w:rsidRPr="001B53A8">
        <w:rPr>
          <w:lang w:val="sr-Latn-BA"/>
        </w:rPr>
        <w:t>propisa</w:t>
      </w:r>
      <w:r w:rsidR="0066171A" w:rsidRPr="001B53A8">
        <w:rPr>
          <w:lang w:val="sr-Latn-BA"/>
        </w:rPr>
        <w:t xml:space="preserve">, </w:t>
      </w:r>
    </w:p>
    <w:p w14:paraId="2530AFA2" w14:textId="75CE5962" w:rsidR="0066171A" w:rsidRPr="001B53A8" w:rsidRDefault="00003F34" w:rsidP="0066171A">
      <w:pPr>
        <w:tabs>
          <w:tab w:val="left" w:pos="851"/>
        </w:tabs>
        <w:spacing w:before="0" w:after="0" w:line="240" w:lineRule="auto"/>
        <w:ind w:left="851" w:hanging="283"/>
        <w:rPr>
          <w:lang w:val="sr-Latn-BA"/>
        </w:rPr>
      </w:pPr>
      <w:r w:rsidRPr="001B53A8">
        <w:rPr>
          <w:lang w:val="sr-Latn-BA"/>
        </w:rPr>
        <w:t>m</w:t>
      </w:r>
      <w:r w:rsidR="0066171A" w:rsidRPr="001B53A8">
        <w:rPr>
          <w:lang w:val="sr-Latn-BA"/>
        </w:rPr>
        <w:t>)</w:t>
      </w:r>
      <w:r w:rsidR="0066171A" w:rsidRPr="001B53A8">
        <w:rPr>
          <w:lang w:val="sr-Latn-BA"/>
        </w:rPr>
        <w:tab/>
      </w:r>
      <w:r w:rsidRPr="001B53A8">
        <w:rPr>
          <w:lang w:val="sr-Latn-BA"/>
        </w:rPr>
        <w:t>daje</w:t>
      </w:r>
      <w:r w:rsidR="0066171A" w:rsidRPr="001B53A8">
        <w:rPr>
          <w:lang w:val="sr-Latn-BA"/>
        </w:rPr>
        <w:t xml:space="preserve"> </w:t>
      </w:r>
      <w:r w:rsidRPr="001B53A8">
        <w:rPr>
          <w:lang w:val="sr-Latn-BA"/>
        </w:rPr>
        <w:t>informacije</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širi</w:t>
      </w:r>
      <w:r w:rsidR="0066171A" w:rsidRPr="001B53A8">
        <w:rPr>
          <w:lang w:val="sr-Latn-BA"/>
        </w:rPr>
        <w:t xml:space="preserve"> </w:t>
      </w:r>
      <w:r w:rsidRPr="001B53A8">
        <w:rPr>
          <w:lang w:val="sr-Latn-BA"/>
        </w:rPr>
        <w:t>znanja</w:t>
      </w:r>
      <w:r w:rsidR="0066171A" w:rsidRPr="001B53A8">
        <w:rPr>
          <w:lang w:val="sr-Latn-BA"/>
        </w:rPr>
        <w:t xml:space="preserve"> </w:t>
      </w:r>
      <w:r w:rsidRPr="001B53A8">
        <w:rPr>
          <w:lang w:val="sr-Latn-BA"/>
        </w:rPr>
        <w:t>o</w:t>
      </w:r>
      <w:r w:rsidR="0066171A" w:rsidRPr="001B53A8">
        <w:rPr>
          <w:lang w:val="sr-Latn-BA"/>
        </w:rPr>
        <w:t xml:space="preserve"> </w:t>
      </w:r>
      <w:r w:rsidRPr="001B53A8">
        <w:rPr>
          <w:lang w:val="sr-Latn-BA"/>
        </w:rPr>
        <w:t>djelovanju</w:t>
      </w:r>
      <w:r w:rsidR="0066171A" w:rsidRPr="001B53A8">
        <w:rPr>
          <w:lang w:val="sr-Latn-BA"/>
        </w:rPr>
        <w:t xml:space="preserve"> </w:t>
      </w:r>
      <w:r w:rsidRPr="001B53A8">
        <w:rPr>
          <w:lang w:val="sr-Latn-BA"/>
        </w:rPr>
        <w:t>tržišta</w:t>
      </w:r>
      <w:r w:rsidR="0066171A" w:rsidRPr="001B53A8">
        <w:rPr>
          <w:lang w:val="sr-Latn-BA"/>
        </w:rPr>
        <w:t xml:space="preserve"> </w:t>
      </w:r>
      <w:r w:rsidRPr="001B53A8">
        <w:rPr>
          <w:lang w:val="sr-Latn-BA"/>
        </w:rPr>
        <w:t>hartija</w:t>
      </w:r>
      <w:r w:rsidR="0066171A" w:rsidRPr="001B53A8">
        <w:rPr>
          <w:lang w:val="sr-Latn-BA"/>
        </w:rPr>
        <w:t xml:space="preserve"> </w:t>
      </w:r>
      <w:r w:rsidRPr="001B53A8">
        <w:rPr>
          <w:lang w:val="sr-Latn-BA"/>
        </w:rPr>
        <w:t>od</w:t>
      </w:r>
      <w:r w:rsidR="0066171A" w:rsidRPr="001B53A8">
        <w:rPr>
          <w:lang w:val="sr-Latn-BA"/>
        </w:rPr>
        <w:t xml:space="preserve"> </w:t>
      </w:r>
      <w:r w:rsidRPr="001B53A8">
        <w:rPr>
          <w:lang w:val="sr-Latn-BA"/>
        </w:rPr>
        <w:t>vrijednosti</w:t>
      </w:r>
      <w:r w:rsidR="0066171A" w:rsidRPr="001B53A8">
        <w:rPr>
          <w:lang w:val="sr-Latn-BA"/>
        </w:rPr>
        <w:t xml:space="preserve">, </w:t>
      </w:r>
    </w:p>
    <w:p w14:paraId="57CE8FCC" w14:textId="5EA5A618" w:rsidR="0066171A" w:rsidRPr="001B53A8" w:rsidRDefault="00003F34" w:rsidP="0066171A">
      <w:pPr>
        <w:tabs>
          <w:tab w:val="left" w:pos="851"/>
        </w:tabs>
        <w:spacing w:before="0" w:after="0" w:line="240" w:lineRule="auto"/>
        <w:ind w:left="851" w:hanging="283"/>
        <w:rPr>
          <w:lang w:val="sr-Latn-BA"/>
        </w:rPr>
      </w:pPr>
      <w:r w:rsidRPr="001B53A8">
        <w:rPr>
          <w:lang w:val="sr-Latn-BA"/>
        </w:rPr>
        <w:t>n</w:t>
      </w:r>
      <w:r w:rsidR="0066171A" w:rsidRPr="001B53A8">
        <w:rPr>
          <w:lang w:val="sr-Latn-BA"/>
        </w:rPr>
        <w:t>)</w:t>
      </w:r>
      <w:r w:rsidR="0066171A" w:rsidRPr="001B53A8">
        <w:rPr>
          <w:lang w:val="sr-Latn-BA"/>
        </w:rPr>
        <w:tab/>
      </w:r>
      <w:r w:rsidRPr="001B53A8">
        <w:rPr>
          <w:lang w:val="sr-Latn-BA"/>
        </w:rPr>
        <w:t>sarađuje</w:t>
      </w:r>
      <w:r w:rsidR="0066171A" w:rsidRPr="001B53A8">
        <w:rPr>
          <w:lang w:val="sr-Latn-BA"/>
        </w:rPr>
        <w:t xml:space="preserve"> </w:t>
      </w:r>
      <w:r w:rsidRPr="001B53A8">
        <w:rPr>
          <w:lang w:val="sr-Latn-BA"/>
        </w:rPr>
        <w:t>sa</w:t>
      </w:r>
      <w:r w:rsidR="0066171A" w:rsidRPr="001B53A8">
        <w:rPr>
          <w:lang w:val="sr-Latn-BA"/>
        </w:rPr>
        <w:t xml:space="preserve"> </w:t>
      </w:r>
      <w:r w:rsidRPr="001B53A8">
        <w:rPr>
          <w:lang w:val="sr-Latn-BA"/>
        </w:rPr>
        <w:t>srodnim</w:t>
      </w:r>
      <w:r w:rsidR="0066171A" w:rsidRPr="001B53A8">
        <w:rPr>
          <w:lang w:val="sr-Latn-BA"/>
        </w:rPr>
        <w:t xml:space="preserve"> </w:t>
      </w:r>
      <w:r w:rsidRPr="001B53A8">
        <w:rPr>
          <w:lang w:val="sr-Latn-BA"/>
        </w:rPr>
        <w:t>organizacijama</w:t>
      </w:r>
      <w:r w:rsidR="0066171A" w:rsidRPr="001B53A8">
        <w:rPr>
          <w:lang w:val="sr-Latn-BA"/>
        </w:rPr>
        <w:t xml:space="preserve"> </w:t>
      </w:r>
      <w:r w:rsidRPr="001B53A8">
        <w:rPr>
          <w:lang w:val="sr-Latn-BA"/>
        </w:rPr>
        <w:t>u</w:t>
      </w:r>
      <w:r w:rsidR="0066171A" w:rsidRPr="001B53A8">
        <w:rPr>
          <w:lang w:val="sr-Latn-BA"/>
        </w:rPr>
        <w:t xml:space="preserve"> </w:t>
      </w:r>
      <w:r w:rsidRPr="001B53A8">
        <w:rPr>
          <w:lang w:val="sr-Latn-BA"/>
        </w:rPr>
        <w:t>inostranstvu</w:t>
      </w:r>
      <w:r w:rsidR="0066171A" w:rsidRPr="001B53A8">
        <w:rPr>
          <w:lang w:val="sr-Latn-BA"/>
        </w:rPr>
        <w:t xml:space="preserve">, </w:t>
      </w:r>
    </w:p>
    <w:p w14:paraId="2A6F7CEC" w14:textId="6C482734" w:rsidR="0066171A" w:rsidRPr="001B53A8" w:rsidRDefault="00003F34" w:rsidP="0066171A">
      <w:pPr>
        <w:tabs>
          <w:tab w:val="left" w:pos="851"/>
        </w:tabs>
        <w:spacing w:before="0" w:after="0" w:line="240" w:lineRule="auto"/>
        <w:ind w:left="851" w:hanging="283"/>
        <w:rPr>
          <w:lang w:val="sr-Latn-BA"/>
        </w:rPr>
      </w:pPr>
      <w:r w:rsidRPr="001B53A8">
        <w:rPr>
          <w:lang w:val="sr-Latn-BA"/>
        </w:rPr>
        <w:t>nj</w:t>
      </w:r>
      <w:r w:rsidR="0066171A" w:rsidRPr="001B53A8">
        <w:rPr>
          <w:lang w:val="sr-Latn-BA"/>
        </w:rPr>
        <w:t>)</w:t>
      </w:r>
      <w:r w:rsidR="0066171A" w:rsidRPr="001B53A8">
        <w:rPr>
          <w:lang w:val="sr-Latn-BA"/>
        </w:rPr>
        <w:tab/>
      </w:r>
      <w:r w:rsidRPr="001B53A8">
        <w:rPr>
          <w:lang w:val="sr-Latn-BA"/>
        </w:rPr>
        <w:t>vodi</w:t>
      </w:r>
      <w:r w:rsidR="0066171A" w:rsidRPr="001B53A8">
        <w:rPr>
          <w:lang w:val="sr-Latn-BA"/>
        </w:rPr>
        <w:t xml:space="preserve"> </w:t>
      </w:r>
      <w:r w:rsidRPr="001B53A8">
        <w:rPr>
          <w:lang w:val="sr-Latn-BA"/>
        </w:rPr>
        <w:t>knjige</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registre</w:t>
      </w:r>
      <w:r w:rsidR="0066171A" w:rsidRPr="001B53A8">
        <w:rPr>
          <w:lang w:val="sr-Latn-BA"/>
        </w:rPr>
        <w:t xml:space="preserve"> </w:t>
      </w:r>
      <w:r w:rsidRPr="001B53A8">
        <w:rPr>
          <w:lang w:val="sr-Latn-BA"/>
        </w:rPr>
        <w:t>u</w:t>
      </w:r>
      <w:r w:rsidR="0066171A" w:rsidRPr="001B53A8">
        <w:rPr>
          <w:lang w:val="sr-Latn-BA"/>
        </w:rPr>
        <w:t xml:space="preserve"> </w:t>
      </w:r>
      <w:r w:rsidRPr="001B53A8">
        <w:rPr>
          <w:lang w:val="sr-Latn-BA"/>
        </w:rPr>
        <w:t>skladu</w:t>
      </w:r>
      <w:r w:rsidR="0066171A" w:rsidRPr="001B53A8">
        <w:rPr>
          <w:lang w:val="sr-Latn-BA"/>
        </w:rPr>
        <w:t xml:space="preserve"> </w:t>
      </w:r>
      <w:r w:rsidRPr="001B53A8">
        <w:rPr>
          <w:lang w:val="sr-Latn-BA"/>
        </w:rPr>
        <w:t>sa</w:t>
      </w:r>
      <w:r w:rsidR="0066171A" w:rsidRPr="001B53A8">
        <w:rPr>
          <w:lang w:val="sr-Latn-BA"/>
        </w:rPr>
        <w:t xml:space="preserve"> </w:t>
      </w:r>
      <w:r w:rsidRPr="001B53A8">
        <w:rPr>
          <w:lang w:val="sr-Latn-BA"/>
        </w:rPr>
        <w:t>odredbama</w:t>
      </w:r>
      <w:r w:rsidR="0066171A" w:rsidRPr="001B53A8">
        <w:rPr>
          <w:lang w:val="sr-Latn-BA"/>
        </w:rPr>
        <w:t xml:space="preserve"> </w:t>
      </w:r>
      <w:r w:rsidRPr="001B53A8">
        <w:rPr>
          <w:lang w:val="sr-Latn-BA"/>
        </w:rPr>
        <w:t>ovog</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drugih</w:t>
      </w:r>
      <w:r w:rsidR="0066171A" w:rsidRPr="001B53A8">
        <w:rPr>
          <w:lang w:val="sr-Latn-BA"/>
        </w:rPr>
        <w:t xml:space="preserve"> </w:t>
      </w:r>
      <w:r w:rsidRPr="001B53A8">
        <w:rPr>
          <w:lang w:val="sr-Latn-BA"/>
        </w:rPr>
        <w:t>zakona</w:t>
      </w:r>
      <w:r w:rsidR="0066171A" w:rsidRPr="001B53A8">
        <w:rPr>
          <w:lang w:val="sr-Latn-BA"/>
        </w:rPr>
        <w:t xml:space="preserve">, </w:t>
      </w:r>
    </w:p>
    <w:p w14:paraId="12182E39" w14:textId="33B6B292" w:rsidR="0066171A" w:rsidRPr="001B53A8" w:rsidRDefault="00003F34" w:rsidP="0066171A">
      <w:pPr>
        <w:tabs>
          <w:tab w:val="left" w:pos="851"/>
        </w:tabs>
        <w:spacing w:before="0" w:after="0" w:line="240" w:lineRule="auto"/>
        <w:ind w:left="851" w:hanging="283"/>
        <w:rPr>
          <w:lang w:val="sr-Latn-BA"/>
        </w:rPr>
      </w:pPr>
      <w:r w:rsidRPr="001B53A8">
        <w:rPr>
          <w:lang w:val="sr-Latn-BA"/>
        </w:rPr>
        <w:t>o</w:t>
      </w:r>
      <w:r w:rsidR="0066171A" w:rsidRPr="001B53A8">
        <w:rPr>
          <w:lang w:val="sr-Latn-BA"/>
        </w:rPr>
        <w:t xml:space="preserve">) </w:t>
      </w:r>
      <w:r w:rsidRPr="001B53A8">
        <w:rPr>
          <w:lang w:val="sr-Latn-BA"/>
        </w:rPr>
        <w:t>propisuje</w:t>
      </w:r>
      <w:r w:rsidR="0066171A" w:rsidRPr="001B53A8">
        <w:rPr>
          <w:lang w:val="sr-Latn-BA"/>
        </w:rPr>
        <w:t xml:space="preserve"> </w:t>
      </w:r>
      <w:r w:rsidRPr="001B53A8">
        <w:rPr>
          <w:lang w:val="sr-Latn-BA"/>
        </w:rPr>
        <w:t>visinu</w:t>
      </w:r>
      <w:r w:rsidR="0066171A" w:rsidRPr="001B53A8">
        <w:rPr>
          <w:lang w:val="sr-Latn-BA"/>
        </w:rPr>
        <w:t xml:space="preserve"> </w:t>
      </w:r>
      <w:r w:rsidRPr="001B53A8">
        <w:rPr>
          <w:lang w:val="sr-Latn-BA"/>
        </w:rPr>
        <w:t>naknada</w:t>
      </w:r>
      <w:r w:rsidR="0066171A" w:rsidRPr="001B53A8">
        <w:rPr>
          <w:lang w:val="sr-Latn-BA"/>
        </w:rPr>
        <w:t xml:space="preserve"> </w:t>
      </w:r>
      <w:r w:rsidRPr="001B53A8">
        <w:rPr>
          <w:lang w:val="sr-Latn-BA"/>
        </w:rPr>
        <w:t>za</w:t>
      </w:r>
      <w:r w:rsidR="0066171A" w:rsidRPr="001B53A8">
        <w:rPr>
          <w:lang w:val="sr-Latn-BA"/>
        </w:rPr>
        <w:t xml:space="preserve"> </w:t>
      </w:r>
      <w:r w:rsidRPr="001B53A8">
        <w:rPr>
          <w:lang w:val="sr-Latn-BA"/>
        </w:rPr>
        <w:t>obavlјanje</w:t>
      </w:r>
      <w:r w:rsidR="0066171A" w:rsidRPr="001B53A8">
        <w:rPr>
          <w:lang w:val="sr-Latn-BA"/>
        </w:rPr>
        <w:t xml:space="preserve"> </w:t>
      </w:r>
      <w:r w:rsidRPr="001B53A8">
        <w:rPr>
          <w:lang w:val="sr-Latn-BA"/>
        </w:rPr>
        <w:t>poslova</w:t>
      </w:r>
      <w:r w:rsidR="0066171A" w:rsidRPr="001B53A8">
        <w:rPr>
          <w:lang w:val="sr-Latn-BA"/>
        </w:rPr>
        <w:t xml:space="preserve"> </w:t>
      </w:r>
      <w:r w:rsidRPr="001B53A8">
        <w:rPr>
          <w:lang w:val="sr-Latn-BA"/>
        </w:rPr>
        <w:t>iz</w:t>
      </w:r>
      <w:r w:rsidR="0066171A" w:rsidRPr="001B53A8">
        <w:rPr>
          <w:lang w:val="sr-Latn-BA"/>
        </w:rPr>
        <w:t xml:space="preserve"> </w:t>
      </w:r>
      <w:r w:rsidRPr="001B53A8">
        <w:rPr>
          <w:lang w:val="sr-Latn-BA"/>
        </w:rPr>
        <w:t>svoje</w:t>
      </w:r>
      <w:r w:rsidR="0066171A" w:rsidRPr="001B53A8">
        <w:rPr>
          <w:lang w:val="sr-Latn-BA"/>
        </w:rPr>
        <w:t xml:space="preserve"> </w:t>
      </w:r>
      <w:r w:rsidRPr="001B53A8">
        <w:rPr>
          <w:lang w:val="sr-Latn-BA"/>
        </w:rPr>
        <w:t>nadležnosti</w:t>
      </w:r>
      <w:r w:rsidR="0066171A" w:rsidRPr="001B53A8">
        <w:rPr>
          <w:lang w:val="sr-Latn-BA"/>
        </w:rPr>
        <w:t>,</w:t>
      </w:r>
    </w:p>
    <w:p w14:paraId="44B1F4EF" w14:textId="31EAFA26" w:rsidR="0066171A" w:rsidRPr="001B53A8" w:rsidRDefault="00003F34" w:rsidP="0066171A">
      <w:pPr>
        <w:tabs>
          <w:tab w:val="left" w:pos="851"/>
        </w:tabs>
        <w:spacing w:before="0" w:after="0" w:line="240" w:lineRule="auto"/>
        <w:ind w:left="851" w:hanging="283"/>
        <w:rPr>
          <w:lang w:val="sr-Latn-BA"/>
        </w:rPr>
      </w:pPr>
      <w:r w:rsidRPr="001B53A8">
        <w:rPr>
          <w:lang w:val="sr-Latn-BA"/>
        </w:rPr>
        <w:t>p</w:t>
      </w:r>
      <w:r w:rsidR="0066171A" w:rsidRPr="001B53A8">
        <w:rPr>
          <w:lang w:val="sr-Latn-BA"/>
        </w:rPr>
        <w:t>)</w:t>
      </w:r>
      <w:r w:rsidR="0066171A" w:rsidRPr="001B53A8">
        <w:rPr>
          <w:lang w:val="sr-Latn-BA"/>
        </w:rPr>
        <w:tab/>
      </w:r>
      <w:r w:rsidRPr="001B53A8">
        <w:rPr>
          <w:lang w:val="sr-Latn-BA"/>
        </w:rPr>
        <w:t>pokreće</w:t>
      </w:r>
      <w:r w:rsidR="0066171A" w:rsidRPr="001B53A8">
        <w:rPr>
          <w:lang w:val="sr-Latn-BA"/>
        </w:rPr>
        <w:t xml:space="preserve"> </w:t>
      </w:r>
      <w:r w:rsidRPr="001B53A8">
        <w:rPr>
          <w:lang w:val="sr-Latn-BA"/>
        </w:rPr>
        <w:t>inicijativu</w:t>
      </w:r>
      <w:r w:rsidR="0066171A" w:rsidRPr="001B53A8">
        <w:rPr>
          <w:lang w:val="sr-Latn-BA"/>
        </w:rPr>
        <w:t xml:space="preserve"> </w:t>
      </w:r>
      <w:r w:rsidRPr="001B53A8">
        <w:rPr>
          <w:lang w:val="sr-Latn-BA"/>
        </w:rPr>
        <w:t>za</w:t>
      </w:r>
      <w:r w:rsidR="0066171A" w:rsidRPr="001B53A8">
        <w:rPr>
          <w:lang w:val="sr-Latn-BA"/>
        </w:rPr>
        <w:t xml:space="preserve"> </w:t>
      </w:r>
      <w:r w:rsidRPr="001B53A8">
        <w:rPr>
          <w:lang w:val="sr-Latn-BA"/>
        </w:rPr>
        <w:t>donošenje</w:t>
      </w:r>
      <w:r w:rsidR="0066171A" w:rsidRPr="001B53A8">
        <w:rPr>
          <w:lang w:val="sr-Latn-BA"/>
        </w:rPr>
        <w:t xml:space="preserve"> </w:t>
      </w:r>
      <w:r w:rsidRPr="001B53A8">
        <w:rPr>
          <w:lang w:val="sr-Latn-BA"/>
        </w:rPr>
        <w:t>zakona</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drugih</w:t>
      </w:r>
      <w:r w:rsidR="0066171A" w:rsidRPr="001B53A8">
        <w:rPr>
          <w:lang w:val="sr-Latn-BA"/>
        </w:rPr>
        <w:t xml:space="preserve"> </w:t>
      </w:r>
      <w:r w:rsidRPr="001B53A8">
        <w:rPr>
          <w:lang w:val="sr-Latn-BA"/>
        </w:rPr>
        <w:t>propisa</w:t>
      </w:r>
      <w:r w:rsidR="0066171A" w:rsidRPr="001B53A8">
        <w:rPr>
          <w:lang w:val="sr-Latn-BA"/>
        </w:rPr>
        <w:t xml:space="preserve"> </w:t>
      </w:r>
      <w:r w:rsidRPr="001B53A8">
        <w:rPr>
          <w:lang w:val="sr-Latn-BA"/>
        </w:rPr>
        <w:t>iz</w:t>
      </w:r>
      <w:r w:rsidR="0066171A" w:rsidRPr="001B53A8">
        <w:rPr>
          <w:lang w:val="sr-Latn-BA"/>
        </w:rPr>
        <w:t xml:space="preserve"> </w:t>
      </w:r>
      <w:r w:rsidRPr="001B53A8">
        <w:rPr>
          <w:lang w:val="sr-Latn-BA"/>
        </w:rPr>
        <w:t>područja</w:t>
      </w:r>
      <w:r w:rsidR="0066171A" w:rsidRPr="001B53A8">
        <w:rPr>
          <w:lang w:val="sr-Latn-BA"/>
        </w:rPr>
        <w:t xml:space="preserve"> </w:t>
      </w:r>
      <w:r w:rsidRPr="001B53A8">
        <w:rPr>
          <w:lang w:val="sr-Latn-BA"/>
        </w:rPr>
        <w:t>emitovanja</w:t>
      </w:r>
      <w:r w:rsidR="0066171A" w:rsidRPr="001B53A8">
        <w:rPr>
          <w:lang w:val="sr-Latn-BA"/>
        </w:rPr>
        <w:t xml:space="preserve"> </w:t>
      </w:r>
      <w:r w:rsidRPr="001B53A8">
        <w:rPr>
          <w:lang w:val="sr-Latn-BA"/>
        </w:rPr>
        <w:t>hartija</w:t>
      </w:r>
      <w:r w:rsidR="0066171A" w:rsidRPr="001B53A8">
        <w:rPr>
          <w:lang w:val="sr-Latn-BA"/>
        </w:rPr>
        <w:t xml:space="preserve"> </w:t>
      </w:r>
      <w:r w:rsidRPr="001B53A8">
        <w:rPr>
          <w:lang w:val="sr-Latn-BA"/>
        </w:rPr>
        <w:t>od</w:t>
      </w:r>
      <w:r w:rsidR="0066171A" w:rsidRPr="001B53A8">
        <w:rPr>
          <w:lang w:val="sr-Latn-BA"/>
        </w:rPr>
        <w:t xml:space="preserve"> </w:t>
      </w:r>
      <w:r w:rsidRPr="001B53A8">
        <w:rPr>
          <w:lang w:val="sr-Latn-BA"/>
        </w:rPr>
        <w:t>vrijednosti</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trgovanja</w:t>
      </w:r>
      <w:r w:rsidR="0066171A" w:rsidRPr="001B53A8">
        <w:rPr>
          <w:lang w:val="sr-Latn-BA"/>
        </w:rPr>
        <w:t xml:space="preserve"> </w:t>
      </w:r>
      <w:r w:rsidRPr="001B53A8">
        <w:rPr>
          <w:lang w:val="sr-Latn-BA"/>
        </w:rPr>
        <w:t>hartijama</w:t>
      </w:r>
      <w:r w:rsidR="0066171A" w:rsidRPr="001B53A8">
        <w:rPr>
          <w:lang w:val="sr-Latn-BA"/>
        </w:rPr>
        <w:t xml:space="preserve"> </w:t>
      </w:r>
      <w:r w:rsidRPr="001B53A8">
        <w:rPr>
          <w:lang w:val="sr-Latn-BA"/>
        </w:rPr>
        <w:t>od</w:t>
      </w:r>
      <w:r w:rsidR="0066171A" w:rsidRPr="001B53A8">
        <w:rPr>
          <w:lang w:val="sr-Latn-BA"/>
        </w:rPr>
        <w:t xml:space="preserve"> </w:t>
      </w:r>
      <w:r w:rsidRPr="001B53A8">
        <w:rPr>
          <w:lang w:val="sr-Latn-BA"/>
        </w:rPr>
        <w:t>vrijednosti</w:t>
      </w:r>
      <w:r w:rsidR="0066171A" w:rsidRPr="001B53A8">
        <w:rPr>
          <w:lang w:val="sr-Latn-BA"/>
        </w:rPr>
        <w:t xml:space="preserve">, </w:t>
      </w:r>
      <w:r w:rsidRPr="001B53A8">
        <w:rPr>
          <w:lang w:val="sr-Latn-BA"/>
        </w:rPr>
        <w:t>daje</w:t>
      </w:r>
      <w:r w:rsidR="0066171A" w:rsidRPr="001B53A8">
        <w:rPr>
          <w:lang w:val="sr-Latn-BA"/>
        </w:rPr>
        <w:t xml:space="preserve"> </w:t>
      </w:r>
      <w:r w:rsidRPr="001B53A8">
        <w:rPr>
          <w:lang w:val="sr-Latn-BA"/>
        </w:rPr>
        <w:t>prijedloge</w:t>
      </w:r>
      <w:r w:rsidR="0066171A" w:rsidRPr="001B53A8">
        <w:rPr>
          <w:lang w:val="sr-Latn-BA"/>
        </w:rPr>
        <w:t xml:space="preserve"> </w:t>
      </w:r>
      <w:r w:rsidRPr="001B53A8">
        <w:rPr>
          <w:lang w:val="sr-Latn-BA"/>
        </w:rPr>
        <w:t>za</w:t>
      </w:r>
      <w:r w:rsidR="0066171A" w:rsidRPr="001B53A8">
        <w:rPr>
          <w:lang w:val="sr-Latn-BA"/>
        </w:rPr>
        <w:t xml:space="preserve"> </w:t>
      </w:r>
      <w:r w:rsidRPr="001B53A8">
        <w:rPr>
          <w:lang w:val="sr-Latn-BA"/>
        </w:rPr>
        <w:t>izmjene</w:t>
      </w:r>
      <w:r w:rsidR="0066171A" w:rsidRPr="001B53A8">
        <w:rPr>
          <w:lang w:val="sr-Latn-BA"/>
        </w:rPr>
        <w:t xml:space="preserve"> </w:t>
      </w:r>
      <w:r w:rsidRPr="001B53A8">
        <w:rPr>
          <w:lang w:val="sr-Latn-BA"/>
        </w:rPr>
        <w:t>zakona</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drugih</w:t>
      </w:r>
      <w:r w:rsidR="0066171A" w:rsidRPr="001B53A8">
        <w:rPr>
          <w:lang w:val="sr-Latn-BA"/>
        </w:rPr>
        <w:t xml:space="preserve"> </w:t>
      </w:r>
      <w:r w:rsidRPr="001B53A8">
        <w:rPr>
          <w:lang w:val="sr-Latn-BA"/>
        </w:rPr>
        <w:t>propisa</w:t>
      </w:r>
      <w:r w:rsidR="0066171A" w:rsidRPr="001B53A8">
        <w:rPr>
          <w:lang w:val="sr-Latn-BA"/>
        </w:rPr>
        <w:t xml:space="preserve"> </w:t>
      </w:r>
      <w:r w:rsidRPr="001B53A8">
        <w:rPr>
          <w:lang w:val="sr-Latn-BA"/>
        </w:rPr>
        <w:t>iz</w:t>
      </w:r>
      <w:r w:rsidR="0066171A" w:rsidRPr="001B53A8">
        <w:rPr>
          <w:lang w:val="sr-Latn-BA"/>
        </w:rPr>
        <w:t xml:space="preserve"> </w:t>
      </w:r>
      <w:r w:rsidRPr="001B53A8">
        <w:rPr>
          <w:lang w:val="sr-Latn-BA"/>
        </w:rPr>
        <w:t>ovog</w:t>
      </w:r>
      <w:r w:rsidR="0066171A" w:rsidRPr="001B53A8">
        <w:rPr>
          <w:lang w:val="sr-Latn-BA"/>
        </w:rPr>
        <w:t xml:space="preserve"> </w:t>
      </w:r>
      <w:r w:rsidRPr="001B53A8">
        <w:rPr>
          <w:lang w:val="sr-Latn-BA"/>
        </w:rPr>
        <w:t>područja</w:t>
      </w:r>
      <w:r w:rsidR="0066171A" w:rsidRPr="001B53A8">
        <w:rPr>
          <w:lang w:val="sr-Latn-BA"/>
        </w:rPr>
        <w:t xml:space="preserve">, </w:t>
      </w:r>
      <w:r w:rsidRPr="001B53A8">
        <w:rPr>
          <w:lang w:val="sr-Latn-BA"/>
        </w:rPr>
        <w:t>učestvuje</w:t>
      </w:r>
      <w:r w:rsidR="0066171A" w:rsidRPr="001B53A8">
        <w:rPr>
          <w:lang w:val="sr-Latn-BA"/>
        </w:rPr>
        <w:t xml:space="preserve"> </w:t>
      </w:r>
      <w:r w:rsidRPr="001B53A8">
        <w:rPr>
          <w:lang w:val="sr-Latn-BA"/>
        </w:rPr>
        <w:t>u</w:t>
      </w:r>
      <w:r w:rsidR="0066171A" w:rsidRPr="001B53A8">
        <w:rPr>
          <w:lang w:val="sr-Latn-BA"/>
        </w:rPr>
        <w:t xml:space="preserve"> </w:t>
      </w:r>
      <w:r w:rsidRPr="001B53A8">
        <w:rPr>
          <w:lang w:val="sr-Latn-BA"/>
        </w:rPr>
        <w:t>pripremanju</w:t>
      </w:r>
      <w:r w:rsidR="0066171A" w:rsidRPr="001B53A8">
        <w:rPr>
          <w:lang w:val="sr-Latn-BA"/>
        </w:rPr>
        <w:t xml:space="preserve"> </w:t>
      </w:r>
      <w:r w:rsidRPr="001B53A8">
        <w:rPr>
          <w:lang w:val="sr-Latn-BA"/>
        </w:rPr>
        <w:t>drugih</w:t>
      </w:r>
      <w:r w:rsidR="0066171A" w:rsidRPr="001B53A8">
        <w:rPr>
          <w:lang w:val="sr-Latn-BA"/>
        </w:rPr>
        <w:t xml:space="preserve"> </w:t>
      </w:r>
      <w:r w:rsidRPr="001B53A8">
        <w:rPr>
          <w:lang w:val="sr-Latn-BA"/>
        </w:rPr>
        <w:t>zakona</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propisa</w:t>
      </w:r>
      <w:r w:rsidR="0066171A" w:rsidRPr="001B53A8">
        <w:rPr>
          <w:lang w:val="sr-Latn-BA"/>
        </w:rPr>
        <w:t xml:space="preserve"> </w:t>
      </w:r>
      <w:r w:rsidRPr="001B53A8">
        <w:rPr>
          <w:lang w:val="sr-Latn-BA"/>
        </w:rPr>
        <w:t>koji</w:t>
      </w:r>
      <w:r w:rsidR="0066171A" w:rsidRPr="001B53A8">
        <w:rPr>
          <w:lang w:val="sr-Latn-BA"/>
        </w:rPr>
        <w:t xml:space="preserve"> </w:t>
      </w:r>
      <w:r w:rsidRPr="001B53A8">
        <w:rPr>
          <w:lang w:val="sr-Latn-BA"/>
        </w:rPr>
        <w:t>su</w:t>
      </w:r>
      <w:r w:rsidR="0066171A" w:rsidRPr="001B53A8">
        <w:rPr>
          <w:lang w:val="sr-Latn-BA"/>
        </w:rPr>
        <w:t xml:space="preserve"> </w:t>
      </w:r>
      <w:r w:rsidRPr="001B53A8">
        <w:rPr>
          <w:lang w:val="sr-Latn-BA"/>
        </w:rPr>
        <w:t>od</w:t>
      </w:r>
      <w:r w:rsidR="0066171A" w:rsidRPr="001B53A8">
        <w:rPr>
          <w:lang w:val="sr-Latn-BA"/>
        </w:rPr>
        <w:t xml:space="preserve"> </w:t>
      </w:r>
      <w:r w:rsidRPr="001B53A8">
        <w:rPr>
          <w:lang w:val="sr-Latn-BA"/>
        </w:rPr>
        <w:t>interesa</w:t>
      </w:r>
      <w:r w:rsidR="0066171A" w:rsidRPr="001B53A8">
        <w:rPr>
          <w:lang w:val="sr-Latn-BA"/>
        </w:rPr>
        <w:t xml:space="preserve"> </w:t>
      </w:r>
      <w:r w:rsidRPr="001B53A8">
        <w:rPr>
          <w:lang w:val="sr-Latn-BA"/>
        </w:rPr>
        <w:t>za</w:t>
      </w:r>
      <w:r w:rsidR="0066171A" w:rsidRPr="001B53A8">
        <w:rPr>
          <w:lang w:val="sr-Latn-BA"/>
        </w:rPr>
        <w:t xml:space="preserve"> </w:t>
      </w:r>
      <w:r w:rsidRPr="001B53A8">
        <w:rPr>
          <w:lang w:val="sr-Latn-BA"/>
        </w:rPr>
        <w:t>učesnike</w:t>
      </w:r>
      <w:r w:rsidR="0066171A" w:rsidRPr="001B53A8">
        <w:rPr>
          <w:lang w:val="sr-Latn-BA"/>
        </w:rPr>
        <w:t xml:space="preserve"> </w:t>
      </w:r>
      <w:r w:rsidRPr="001B53A8">
        <w:rPr>
          <w:lang w:val="sr-Latn-BA"/>
        </w:rPr>
        <w:t>tržišta</w:t>
      </w:r>
      <w:r w:rsidR="0066171A" w:rsidRPr="001B53A8">
        <w:rPr>
          <w:lang w:val="sr-Latn-BA"/>
        </w:rPr>
        <w:t xml:space="preserve"> </w:t>
      </w:r>
      <w:r w:rsidRPr="001B53A8">
        <w:rPr>
          <w:lang w:val="sr-Latn-BA"/>
        </w:rPr>
        <w:t>hartija</w:t>
      </w:r>
      <w:r w:rsidR="0066171A" w:rsidRPr="001B53A8">
        <w:rPr>
          <w:lang w:val="sr-Latn-BA"/>
        </w:rPr>
        <w:t xml:space="preserve"> </w:t>
      </w:r>
      <w:r w:rsidRPr="001B53A8">
        <w:rPr>
          <w:lang w:val="sr-Latn-BA"/>
        </w:rPr>
        <w:t>od</w:t>
      </w:r>
      <w:r w:rsidR="0066171A" w:rsidRPr="001B53A8">
        <w:rPr>
          <w:lang w:val="sr-Latn-BA"/>
        </w:rPr>
        <w:t xml:space="preserve"> </w:t>
      </w:r>
      <w:r w:rsidRPr="001B53A8">
        <w:rPr>
          <w:lang w:val="sr-Latn-BA"/>
        </w:rPr>
        <w:t>vrijednosti</w:t>
      </w:r>
      <w:r w:rsidR="0066171A" w:rsidRPr="001B53A8">
        <w:rPr>
          <w:lang w:val="sr-Latn-BA"/>
        </w:rPr>
        <w:t xml:space="preserve">, </w:t>
      </w:r>
      <w:r w:rsidRPr="001B53A8">
        <w:rPr>
          <w:lang w:val="sr-Latn-BA"/>
        </w:rPr>
        <w:t>informiše</w:t>
      </w:r>
      <w:r w:rsidR="0066171A" w:rsidRPr="001B53A8">
        <w:rPr>
          <w:lang w:val="sr-Latn-BA"/>
        </w:rPr>
        <w:t xml:space="preserve"> </w:t>
      </w:r>
      <w:r w:rsidRPr="001B53A8">
        <w:rPr>
          <w:lang w:val="sr-Latn-BA"/>
        </w:rPr>
        <w:t>javnost</w:t>
      </w:r>
      <w:r w:rsidR="0066171A" w:rsidRPr="001B53A8">
        <w:rPr>
          <w:lang w:val="sr-Latn-BA"/>
        </w:rPr>
        <w:t xml:space="preserve"> </w:t>
      </w:r>
      <w:r w:rsidRPr="001B53A8">
        <w:rPr>
          <w:lang w:val="sr-Latn-BA"/>
        </w:rPr>
        <w:t>o</w:t>
      </w:r>
      <w:r w:rsidR="0066171A" w:rsidRPr="001B53A8">
        <w:rPr>
          <w:lang w:val="sr-Latn-BA"/>
        </w:rPr>
        <w:t xml:space="preserve"> </w:t>
      </w:r>
      <w:r w:rsidRPr="001B53A8">
        <w:rPr>
          <w:lang w:val="sr-Latn-BA"/>
        </w:rPr>
        <w:t>načelima</w:t>
      </w:r>
      <w:r w:rsidR="0066171A" w:rsidRPr="001B53A8">
        <w:rPr>
          <w:lang w:val="sr-Latn-BA"/>
        </w:rPr>
        <w:t xml:space="preserve"> </w:t>
      </w:r>
      <w:r w:rsidRPr="001B53A8">
        <w:rPr>
          <w:lang w:val="sr-Latn-BA"/>
        </w:rPr>
        <w:t>na</w:t>
      </w:r>
      <w:r w:rsidR="0066171A" w:rsidRPr="001B53A8">
        <w:rPr>
          <w:lang w:val="sr-Latn-BA"/>
        </w:rPr>
        <w:t xml:space="preserve"> </w:t>
      </w:r>
      <w:r w:rsidRPr="001B53A8">
        <w:rPr>
          <w:lang w:val="sr-Latn-BA"/>
        </w:rPr>
        <w:t>kojima</w:t>
      </w:r>
      <w:r w:rsidR="0066171A" w:rsidRPr="001B53A8">
        <w:rPr>
          <w:lang w:val="sr-Latn-BA"/>
        </w:rPr>
        <w:t xml:space="preserve"> </w:t>
      </w:r>
      <w:r w:rsidRPr="001B53A8">
        <w:rPr>
          <w:lang w:val="sr-Latn-BA"/>
        </w:rPr>
        <w:t>djeluje</w:t>
      </w:r>
      <w:r w:rsidR="0066171A" w:rsidRPr="001B53A8">
        <w:rPr>
          <w:lang w:val="sr-Latn-BA"/>
        </w:rPr>
        <w:t xml:space="preserve"> </w:t>
      </w:r>
      <w:r w:rsidRPr="001B53A8">
        <w:rPr>
          <w:lang w:val="sr-Latn-BA"/>
        </w:rPr>
        <w:t>tržište</w:t>
      </w:r>
      <w:r w:rsidR="0066171A" w:rsidRPr="001B53A8">
        <w:rPr>
          <w:lang w:val="sr-Latn-BA"/>
        </w:rPr>
        <w:t xml:space="preserve"> </w:t>
      </w:r>
      <w:r w:rsidRPr="001B53A8">
        <w:rPr>
          <w:lang w:val="sr-Latn-BA"/>
        </w:rPr>
        <w:t>hartija</w:t>
      </w:r>
      <w:r w:rsidR="0066171A" w:rsidRPr="001B53A8">
        <w:rPr>
          <w:lang w:val="sr-Latn-BA"/>
        </w:rPr>
        <w:t xml:space="preserve"> </w:t>
      </w:r>
      <w:r w:rsidRPr="001B53A8">
        <w:rPr>
          <w:lang w:val="sr-Latn-BA"/>
        </w:rPr>
        <w:t>od</w:t>
      </w:r>
      <w:r w:rsidR="0066171A" w:rsidRPr="001B53A8">
        <w:rPr>
          <w:lang w:val="sr-Latn-BA"/>
        </w:rPr>
        <w:t xml:space="preserve"> </w:t>
      </w:r>
      <w:r w:rsidRPr="001B53A8">
        <w:rPr>
          <w:lang w:val="sr-Latn-BA"/>
        </w:rPr>
        <w:t>vrijednosti</w:t>
      </w:r>
      <w:r w:rsidR="0066171A" w:rsidRPr="001B53A8">
        <w:rPr>
          <w:lang w:val="sr-Latn-BA"/>
        </w:rPr>
        <w:t>,</w:t>
      </w:r>
    </w:p>
    <w:p w14:paraId="7A0E3F73" w14:textId="3400582C" w:rsidR="0066171A" w:rsidRPr="001B53A8" w:rsidRDefault="00003F34" w:rsidP="0066171A">
      <w:pPr>
        <w:tabs>
          <w:tab w:val="left" w:pos="851"/>
        </w:tabs>
        <w:spacing w:before="0" w:after="0" w:line="240" w:lineRule="auto"/>
        <w:ind w:left="851" w:hanging="283"/>
        <w:rPr>
          <w:lang w:val="sr-Latn-BA"/>
        </w:rPr>
      </w:pPr>
      <w:r w:rsidRPr="001B53A8">
        <w:rPr>
          <w:lang w:val="sr-Latn-BA"/>
        </w:rPr>
        <w:lastRenderedPageBreak/>
        <w:t>r</w:t>
      </w:r>
      <w:r w:rsidR="0066171A" w:rsidRPr="001B53A8">
        <w:rPr>
          <w:lang w:val="sr-Latn-BA"/>
        </w:rPr>
        <w:t>)</w:t>
      </w:r>
      <w:r w:rsidR="0066171A" w:rsidRPr="001B53A8">
        <w:rPr>
          <w:lang w:val="sr-Latn-BA"/>
        </w:rPr>
        <w:tab/>
      </w:r>
      <w:r w:rsidRPr="001B53A8">
        <w:rPr>
          <w:lang w:val="sr-Latn-BA"/>
        </w:rPr>
        <w:t>daje</w:t>
      </w:r>
      <w:r w:rsidR="0066171A" w:rsidRPr="001B53A8">
        <w:rPr>
          <w:lang w:val="sr-Latn-BA"/>
        </w:rPr>
        <w:t xml:space="preserve"> </w:t>
      </w:r>
      <w:r w:rsidRPr="001B53A8">
        <w:rPr>
          <w:lang w:val="sr-Latn-BA"/>
        </w:rPr>
        <w:t>mišlјenja</w:t>
      </w:r>
      <w:r w:rsidR="0066171A" w:rsidRPr="001B53A8">
        <w:rPr>
          <w:lang w:val="sr-Latn-BA"/>
        </w:rPr>
        <w:t xml:space="preserve"> </w:t>
      </w:r>
      <w:r w:rsidRPr="001B53A8">
        <w:rPr>
          <w:lang w:val="sr-Latn-BA"/>
        </w:rPr>
        <w:t>u</w:t>
      </w:r>
      <w:r w:rsidR="0066171A" w:rsidRPr="001B53A8">
        <w:rPr>
          <w:lang w:val="sr-Latn-BA"/>
        </w:rPr>
        <w:t xml:space="preserve"> </w:t>
      </w:r>
      <w:r w:rsidRPr="001B53A8">
        <w:rPr>
          <w:lang w:val="sr-Latn-BA"/>
        </w:rPr>
        <w:t>vezi</w:t>
      </w:r>
      <w:r w:rsidR="0066171A" w:rsidRPr="001B53A8">
        <w:rPr>
          <w:lang w:val="sr-Latn-BA"/>
        </w:rPr>
        <w:t xml:space="preserve"> </w:t>
      </w:r>
      <w:r w:rsidRPr="001B53A8">
        <w:rPr>
          <w:lang w:val="sr-Latn-BA"/>
        </w:rPr>
        <w:t>sa</w:t>
      </w:r>
      <w:r w:rsidR="0066171A" w:rsidRPr="001B53A8">
        <w:rPr>
          <w:lang w:val="sr-Latn-BA"/>
        </w:rPr>
        <w:t xml:space="preserve"> </w:t>
      </w:r>
      <w:r w:rsidRPr="001B53A8">
        <w:rPr>
          <w:lang w:val="sr-Latn-BA"/>
        </w:rPr>
        <w:t>provođenjem</w:t>
      </w:r>
      <w:r w:rsidR="0066171A" w:rsidRPr="001B53A8">
        <w:rPr>
          <w:lang w:val="sr-Latn-BA"/>
        </w:rPr>
        <w:t xml:space="preserve"> </w:t>
      </w:r>
      <w:r w:rsidRPr="001B53A8">
        <w:rPr>
          <w:lang w:val="sr-Latn-BA"/>
        </w:rPr>
        <w:t>propisa</w:t>
      </w:r>
      <w:r w:rsidR="0066171A" w:rsidRPr="001B53A8">
        <w:rPr>
          <w:lang w:val="sr-Latn-BA"/>
        </w:rPr>
        <w:t xml:space="preserve"> </w:t>
      </w:r>
      <w:r w:rsidRPr="001B53A8">
        <w:rPr>
          <w:lang w:val="sr-Latn-BA"/>
        </w:rPr>
        <w:t>koji</w:t>
      </w:r>
      <w:r w:rsidR="0066171A" w:rsidRPr="001B53A8">
        <w:rPr>
          <w:lang w:val="sr-Latn-BA"/>
        </w:rPr>
        <w:t xml:space="preserve"> </w:t>
      </w:r>
      <w:r w:rsidRPr="001B53A8">
        <w:rPr>
          <w:lang w:val="sr-Latn-BA"/>
        </w:rPr>
        <w:t>sadrže</w:t>
      </w:r>
      <w:r w:rsidR="0066171A" w:rsidRPr="001B53A8">
        <w:rPr>
          <w:lang w:val="sr-Latn-BA"/>
        </w:rPr>
        <w:t xml:space="preserve"> </w:t>
      </w:r>
      <w:r w:rsidRPr="001B53A8">
        <w:rPr>
          <w:lang w:val="sr-Latn-BA"/>
        </w:rPr>
        <w:t>ovlašćenja</w:t>
      </w:r>
      <w:r w:rsidR="0066171A" w:rsidRPr="001B53A8">
        <w:rPr>
          <w:lang w:val="sr-Latn-BA"/>
        </w:rPr>
        <w:t xml:space="preserve"> </w:t>
      </w:r>
      <w:r w:rsidRPr="001B53A8">
        <w:rPr>
          <w:lang w:val="sr-Latn-BA"/>
        </w:rPr>
        <w:t>Komisije</w:t>
      </w:r>
      <w:r w:rsidR="0066171A" w:rsidRPr="001B53A8">
        <w:rPr>
          <w:lang w:val="sr-Latn-BA"/>
        </w:rPr>
        <w:t xml:space="preserve">, </w:t>
      </w:r>
      <w:r w:rsidRPr="001B53A8">
        <w:rPr>
          <w:lang w:val="sr-Latn-BA"/>
        </w:rPr>
        <w:t>a</w:t>
      </w:r>
      <w:r w:rsidR="0066171A" w:rsidRPr="001B53A8">
        <w:rPr>
          <w:lang w:val="sr-Latn-BA"/>
        </w:rPr>
        <w:t xml:space="preserve"> </w:t>
      </w:r>
      <w:r w:rsidRPr="001B53A8">
        <w:rPr>
          <w:lang w:val="sr-Latn-BA"/>
        </w:rPr>
        <w:t>na</w:t>
      </w:r>
      <w:r w:rsidR="0066171A" w:rsidRPr="001B53A8">
        <w:rPr>
          <w:lang w:val="sr-Latn-BA"/>
        </w:rPr>
        <w:t xml:space="preserve"> </w:t>
      </w:r>
      <w:r w:rsidRPr="001B53A8">
        <w:rPr>
          <w:lang w:val="sr-Latn-BA"/>
        </w:rPr>
        <w:t>zahtjev</w:t>
      </w:r>
      <w:r w:rsidR="0066171A" w:rsidRPr="001B53A8">
        <w:rPr>
          <w:lang w:val="sr-Latn-BA"/>
        </w:rPr>
        <w:t xml:space="preserve"> </w:t>
      </w:r>
      <w:r w:rsidRPr="001B53A8">
        <w:rPr>
          <w:lang w:val="sr-Latn-BA"/>
        </w:rPr>
        <w:t>stranaka</w:t>
      </w:r>
      <w:r w:rsidR="0066171A" w:rsidRPr="001B53A8">
        <w:rPr>
          <w:lang w:val="sr-Latn-BA"/>
        </w:rPr>
        <w:t xml:space="preserve"> </w:t>
      </w:r>
      <w:r w:rsidRPr="001B53A8">
        <w:rPr>
          <w:lang w:val="sr-Latn-BA"/>
        </w:rPr>
        <w:t>u</w:t>
      </w:r>
      <w:r w:rsidR="0066171A" w:rsidRPr="001B53A8">
        <w:rPr>
          <w:lang w:val="sr-Latn-BA"/>
        </w:rPr>
        <w:t xml:space="preserve"> </w:t>
      </w:r>
      <w:r w:rsidRPr="001B53A8">
        <w:rPr>
          <w:lang w:val="sr-Latn-BA"/>
        </w:rPr>
        <w:t>postupku</w:t>
      </w:r>
      <w:r w:rsidR="0066171A" w:rsidRPr="001B53A8">
        <w:rPr>
          <w:lang w:val="sr-Latn-BA"/>
        </w:rPr>
        <w:t xml:space="preserve"> </w:t>
      </w:r>
      <w:r w:rsidRPr="001B53A8">
        <w:rPr>
          <w:lang w:val="sr-Latn-BA"/>
        </w:rPr>
        <w:t>ili</w:t>
      </w:r>
      <w:r w:rsidR="0066171A" w:rsidRPr="001B53A8">
        <w:rPr>
          <w:lang w:val="sr-Latn-BA"/>
        </w:rPr>
        <w:t xml:space="preserve"> </w:t>
      </w:r>
      <w:r w:rsidRPr="001B53A8">
        <w:rPr>
          <w:lang w:val="sr-Latn-BA"/>
        </w:rPr>
        <w:t>lica</w:t>
      </w:r>
      <w:r w:rsidR="0066171A" w:rsidRPr="001B53A8">
        <w:rPr>
          <w:lang w:val="sr-Latn-BA"/>
        </w:rPr>
        <w:t xml:space="preserve"> </w:t>
      </w:r>
      <w:r w:rsidRPr="001B53A8">
        <w:rPr>
          <w:lang w:val="sr-Latn-BA"/>
        </w:rPr>
        <w:t>koje</w:t>
      </w:r>
      <w:r w:rsidR="0066171A" w:rsidRPr="001B53A8">
        <w:rPr>
          <w:lang w:val="sr-Latn-BA"/>
        </w:rPr>
        <w:t xml:space="preserve"> </w:t>
      </w:r>
      <w:r w:rsidRPr="001B53A8">
        <w:rPr>
          <w:lang w:val="sr-Latn-BA"/>
        </w:rPr>
        <w:t>dokažu</w:t>
      </w:r>
      <w:r w:rsidR="0066171A" w:rsidRPr="001B53A8">
        <w:rPr>
          <w:lang w:val="sr-Latn-BA"/>
        </w:rPr>
        <w:t xml:space="preserve"> </w:t>
      </w:r>
      <w:r w:rsidRPr="001B53A8">
        <w:rPr>
          <w:lang w:val="sr-Latn-BA"/>
        </w:rPr>
        <w:t>svoj</w:t>
      </w:r>
      <w:r w:rsidR="0066171A" w:rsidRPr="001B53A8">
        <w:rPr>
          <w:lang w:val="sr-Latn-BA"/>
        </w:rPr>
        <w:t xml:space="preserve"> </w:t>
      </w:r>
      <w:r w:rsidRPr="001B53A8">
        <w:rPr>
          <w:lang w:val="sr-Latn-BA"/>
        </w:rPr>
        <w:t>pravni</w:t>
      </w:r>
      <w:r w:rsidR="0066171A" w:rsidRPr="001B53A8">
        <w:rPr>
          <w:lang w:val="sr-Latn-BA"/>
        </w:rPr>
        <w:t xml:space="preserve"> </w:t>
      </w:r>
      <w:r w:rsidRPr="001B53A8">
        <w:rPr>
          <w:lang w:val="sr-Latn-BA"/>
        </w:rPr>
        <w:t>interes</w:t>
      </w:r>
      <w:r w:rsidR="0066171A" w:rsidRPr="001B53A8">
        <w:rPr>
          <w:lang w:val="sr-Latn-BA"/>
        </w:rPr>
        <w:t xml:space="preserve"> </w:t>
      </w:r>
      <w:r w:rsidRPr="001B53A8">
        <w:rPr>
          <w:lang w:val="sr-Latn-BA"/>
        </w:rPr>
        <w:t>i</w:t>
      </w:r>
    </w:p>
    <w:p w14:paraId="29EDA00B" w14:textId="126D67C0" w:rsidR="009628CE" w:rsidRPr="001B53A8" w:rsidRDefault="00003F34" w:rsidP="0066171A">
      <w:pPr>
        <w:tabs>
          <w:tab w:val="left" w:pos="851"/>
        </w:tabs>
        <w:spacing w:before="0" w:after="0" w:line="240" w:lineRule="auto"/>
        <w:ind w:left="851" w:hanging="283"/>
        <w:rPr>
          <w:lang w:val="sr-Latn-BA"/>
        </w:rPr>
      </w:pPr>
      <w:r w:rsidRPr="001B53A8">
        <w:rPr>
          <w:lang w:val="sr-Latn-BA"/>
        </w:rPr>
        <w:t>s</w:t>
      </w:r>
      <w:r w:rsidR="0066171A" w:rsidRPr="001B53A8">
        <w:rPr>
          <w:lang w:val="sr-Latn-BA"/>
        </w:rPr>
        <w:t>)</w:t>
      </w:r>
      <w:r w:rsidR="0066171A" w:rsidRPr="001B53A8">
        <w:rPr>
          <w:lang w:val="sr-Latn-BA"/>
        </w:rPr>
        <w:tab/>
      </w:r>
      <w:r w:rsidRPr="001B53A8">
        <w:rPr>
          <w:lang w:val="sr-Latn-BA"/>
        </w:rPr>
        <w:t>preduzima</w:t>
      </w:r>
      <w:r w:rsidR="0066171A" w:rsidRPr="001B53A8">
        <w:rPr>
          <w:lang w:val="sr-Latn-BA"/>
        </w:rPr>
        <w:t xml:space="preserve"> </w:t>
      </w:r>
      <w:r w:rsidRPr="001B53A8">
        <w:rPr>
          <w:lang w:val="sr-Latn-BA"/>
        </w:rPr>
        <w:t>ostale</w:t>
      </w:r>
      <w:r w:rsidR="0066171A" w:rsidRPr="001B53A8">
        <w:rPr>
          <w:lang w:val="sr-Latn-BA"/>
        </w:rPr>
        <w:t xml:space="preserve"> </w:t>
      </w:r>
      <w:r w:rsidRPr="001B53A8">
        <w:rPr>
          <w:lang w:val="sr-Latn-BA"/>
        </w:rPr>
        <w:t>mjere</w:t>
      </w:r>
      <w:r w:rsidR="0066171A" w:rsidRPr="001B53A8">
        <w:rPr>
          <w:lang w:val="sr-Latn-BA"/>
        </w:rPr>
        <w:t xml:space="preserve"> </w:t>
      </w:r>
      <w:r w:rsidRPr="001B53A8">
        <w:rPr>
          <w:lang w:val="sr-Latn-BA"/>
        </w:rPr>
        <w:t>i</w:t>
      </w:r>
      <w:r w:rsidR="0066171A" w:rsidRPr="001B53A8">
        <w:rPr>
          <w:lang w:val="sr-Latn-BA"/>
        </w:rPr>
        <w:t xml:space="preserve"> </w:t>
      </w:r>
      <w:r w:rsidRPr="001B53A8">
        <w:rPr>
          <w:lang w:val="sr-Latn-BA"/>
        </w:rPr>
        <w:t>obavlјa</w:t>
      </w:r>
      <w:r w:rsidR="0066171A" w:rsidRPr="001B53A8">
        <w:rPr>
          <w:lang w:val="sr-Latn-BA"/>
        </w:rPr>
        <w:t xml:space="preserve"> </w:t>
      </w:r>
      <w:r w:rsidRPr="001B53A8">
        <w:rPr>
          <w:lang w:val="sr-Latn-BA"/>
        </w:rPr>
        <w:t>druge</w:t>
      </w:r>
      <w:r w:rsidR="0066171A" w:rsidRPr="001B53A8">
        <w:rPr>
          <w:lang w:val="sr-Latn-BA"/>
        </w:rPr>
        <w:t xml:space="preserve"> </w:t>
      </w:r>
      <w:r w:rsidRPr="001B53A8">
        <w:rPr>
          <w:lang w:val="sr-Latn-BA"/>
        </w:rPr>
        <w:t>poslove</w:t>
      </w:r>
      <w:r w:rsidR="0066171A" w:rsidRPr="001B53A8">
        <w:rPr>
          <w:lang w:val="sr-Latn-BA"/>
        </w:rPr>
        <w:t xml:space="preserve"> </w:t>
      </w:r>
      <w:r w:rsidRPr="001B53A8">
        <w:rPr>
          <w:lang w:val="sr-Latn-BA"/>
        </w:rPr>
        <w:t>u</w:t>
      </w:r>
      <w:r w:rsidR="0066171A" w:rsidRPr="001B53A8">
        <w:rPr>
          <w:lang w:val="sr-Latn-BA"/>
        </w:rPr>
        <w:t xml:space="preserve"> </w:t>
      </w:r>
      <w:r w:rsidRPr="001B53A8">
        <w:rPr>
          <w:lang w:val="sr-Latn-BA"/>
        </w:rPr>
        <w:t>skladu</w:t>
      </w:r>
      <w:r w:rsidR="0066171A" w:rsidRPr="001B53A8">
        <w:rPr>
          <w:lang w:val="sr-Latn-BA"/>
        </w:rPr>
        <w:t xml:space="preserve"> </w:t>
      </w:r>
      <w:r w:rsidRPr="001B53A8">
        <w:rPr>
          <w:lang w:val="sr-Latn-BA"/>
        </w:rPr>
        <w:t>sa</w:t>
      </w:r>
      <w:r w:rsidR="0066171A" w:rsidRPr="001B53A8">
        <w:rPr>
          <w:lang w:val="sr-Latn-BA"/>
        </w:rPr>
        <w:t xml:space="preserve"> </w:t>
      </w:r>
      <w:r w:rsidRPr="001B53A8">
        <w:rPr>
          <w:lang w:val="sr-Latn-BA"/>
        </w:rPr>
        <w:t>zakonskim</w:t>
      </w:r>
      <w:r w:rsidR="0066171A" w:rsidRPr="001B53A8">
        <w:rPr>
          <w:lang w:val="sr-Latn-BA"/>
        </w:rPr>
        <w:t xml:space="preserve"> </w:t>
      </w:r>
      <w:r w:rsidRPr="001B53A8">
        <w:rPr>
          <w:lang w:val="sr-Latn-BA"/>
        </w:rPr>
        <w:t>ovlašćenjima</w:t>
      </w:r>
      <w:r w:rsidR="0066171A" w:rsidRPr="001B53A8">
        <w:rPr>
          <w:lang w:val="sr-Latn-BA"/>
        </w:rPr>
        <w:t>.</w:t>
      </w:r>
    </w:p>
    <w:p w14:paraId="507E55DF" w14:textId="6BD75285" w:rsidR="00E00890" w:rsidRPr="001B53A8" w:rsidRDefault="00003F34" w:rsidP="006B6E0C">
      <w:pPr>
        <w:spacing w:after="0" w:line="240" w:lineRule="auto"/>
        <w:ind w:firstLine="567"/>
        <w:rPr>
          <w:lang w:val="sr-Latn-BA"/>
        </w:rPr>
      </w:pPr>
      <w:bookmarkStart w:id="8" w:name="_Hlk135642478"/>
      <w:r w:rsidRPr="001B53A8">
        <w:rPr>
          <w:lang w:val="sr-Latn-BA"/>
        </w:rPr>
        <w:t>Pored</w:t>
      </w:r>
      <w:r w:rsidR="00E00890" w:rsidRPr="001B53A8">
        <w:rPr>
          <w:lang w:val="sr-Latn-BA"/>
        </w:rPr>
        <w:t xml:space="preserve"> </w:t>
      </w:r>
      <w:r w:rsidRPr="001B53A8">
        <w:rPr>
          <w:lang w:val="sr-Latn-BA"/>
        </w:rPr>
        <w:t>navedenog</w:t>
      </w:r>
      <w:r w:rsidR="00E00890" w:rsidRPr="001B53A8">
        <w:rPr>
          <w:lang w:val="sr-Latn-BA"/>
        </w:rPr>
        <w:t xml:space="preserve">, </w:t>
      </w:r>
      <w:r w:rsidRPr="001B53A8">
        <w:rPr>
          <w:lang w:val="sr-Latn-BA"/>
        </w:rPr>
        <w:t>Komisija</w:t>
      </w:r>
      <w:r w:rsidR="00E00890" w:rsidRPr="001B53A8">
        <w:rPr>
          <w:lang w:val="sr-Latn-BA"/>
        </w:rPr>
        <w:t xml:space="preserve"> </w:t>
      </w:r>
      <w:r w:rsidRPr="001B53A8">
        <w:rPr>
          <w:lang w:val="sr-Latn-BA"/>
        </w:rPr>
        <w:t>je</w:t>
      </w:r>
      <w:r w:rsidR="00E00890" w:rsidRPr="001B53A8">
        <w:rPr>
          <w:lang w:val="sr-Latn-BA"/>
        </w:rPr>
        <w:t xml:space="preserve"> </w:t>
      </w:r>
      <w:r w:rsidRPr="001B53A8">
        <w:rPr>
          <w:lang w:val="sr-Latn-BA"/>
        </w:rPr>
        <w:t>nadležna</w:t>
      </w:r>
      <w:r w:rsidR="00E00890" w:rsidRPr="001B53A8">
        <w:rPr>
          <w:lang w:val="sr-Latn-BA"/>
        </w:rPr>
        <w:t xml:space="preserve"> </w:t>
      </w:r>
      <w:r w:rsidRPr="001B53A8">
        <w:rPr>
          <w:lang w:val="sr-Latn-BA"/>
        </w:rPr>
        <w:t>i</w:t>
      </w:r>
      <w:r w:rsidR="00E00890" w:rsidRPr="001B53A8">
        <w:rPr>
          <w:lang w:val="sr-Latn-BA"/>
        </w:rPr>
        <w:t xml:space="preserve"> </w:t>
      </w:r>
      <w:r w:rsidRPr="001B53A8">
        <w:rPr>
          <w:lang w:val="sr-Latn-BA"/>
        </w:rPr>
        <w:t>da</w:t>
      </w:r>
      <w:r w:rsidR="00E00890" w:rsidRPr="001B53A8">
        <w:rPr>
          <w:lang w:val="sr-Latn-BA"/>
        </w:rPr>
        <w:t xml:space="preserve"> </w:t>
      </w:r>
      <w:r w:rsidRPr="001B53A8">
        <w:rPr>
          <w:lang w:val="sr-Latn-BA"/>
        </w:rPr>
        <w:t>vrši</w:t>
      </w:r>
      <w:r w:rsidR="00E00890" w:rsidRPr="001B53A8">
        <w:rPr>
          <w:lang w:val="sr-Latn-BA"/>
        </w:rPr>
        <w:t xml:space="preserve"> </w:t>
      </w:r>
      <w:r w:rsidRPr="001B53A8">
        <w:rPr>
          <w:lang w:val="sr-Latn-BA"/>
        </w:rPr>
        <w:t>nadzor</w:t>
      </w:r>
      <w:r w:rsidR="00E00890" w:rsidRPr="001B53A8">
        <w:rPr>
          <w:lang w:val="sr-Latn-BA"/>
        </w:rPr>
        <w:t xml:space="preserve"> </w:t>
      </w:r>
      <w:r w:rsidRPr="001B53A8">
        <w:rPr>
          <w:lang w:val="sr-Latn-BA"/>
        </w:rPr>
        <w:t>usklađenosti</w:t>
      </w:r>
      <w:r w:rsidR="00E00890" w:rsidRPr="001B53A8">
        <w:rPr>
          <w:lang w:val="sr-Latn-BA"/>
        </w:rPr>
        <w:t xml:space="preserve"> </w:t>
      </w:r>
      <w:r w:rsidRPr="001B53A8">
        <w:rPr>
          <w:lang w:val="sr-Latn-BA"/>
        </w:rPr>
        <w:t>poslovanja</w:t>
      </w:r>
      <w:r w:rsidR="00E00890" w:rsidRPr="001B53A8">
        <w:rPr>
          <w:lang w:val="sr-Latn-BA"/>
        </w:rPr>
        <w:t xml:space="preserve"> </w:t>
      </w:r>
      <w:r w:rsidRPr="001B53A8">
        <w:rPr>
          <w:lang w:val="sr-Latn-BA"/>
        </w:rPr>
        <w:t>sa</w:t>
      </w:r>
      <w:r w:rsidR="00E00890" w:rsidRPr="001B53A8">
        <w:rPr>
          <w:lang w:val="sr-Latn-BA"/>
        </w:rPr>
        <w:t xml:space="preserve"> </w:t>
      </w:r>
      <w:r w:rsidRPr="001B53A8">
        <w:rPr>
          <w:lang w:val="sr-Latn-BA"/>
        </w:rPr>
        <w:t>zakonom</w:t>
      </w:r>
      <w:r w:rsidR="00E00890" w:rsidRPr="001B53A8">
        <w:rPr>
          <w:lang w:val="sr-Latn-BA"/>
        </w:rPr>
        <w:t xml:space="preserve"> </w:t>
      </w:r>
      <w:r w:rsidRPr="001B53A8">
        <w:rPr>
          <w:lang w:val="sr-Latn-BA"/>
        </w:rPr>
        <w:t>i</w:t>
      </w:r>
      <w:r w:rsidR="00E00890" w:rsidRPr="001B53A8">
        <w:rPr>
          <w:lang w:val="sr-Latn-BA"/>
        </w:rPr>
        <w:t xml:space="preserve"> </w:t>
      </w:r>
      <w:r w:rsidRPr="001B53A8">
        <w:rPr>
          <w:lang w:val="sr-Latn-BA"/>
        </w:rPr>
        <w:t>drugim</w:t>
      </w:r>
      <w:r w:rsidR="00E00890" w:rsidRPr="001B53A8">
        <w:rPr>
          <w:lang w:val="sr-Latn-BA"/>
        </w:rPr>
        <w:t xml:space="preserve"> </w:t>
      </w:r>
      <w:r w:rsidRPr="001B53A8">
        <w:rPr>
          <w:lang w:val="sr-Latn-BA"/>
        </w:rPr>
        <w:t>propisima</w:t>
      </w:r>
      <w:r w:rsidR="00E00890" w:rsidRPr="001B53A8">
        <w:rPr>
          <w:lang w:val="sr-Latn-BA"/>
        </w:rPr>
        <w:t xml:space="preserve"> </w:t>
      </w:r>
      <w:r w:rsidRPr="001B53A8">
        <w:rPr>
          <w:lang w:val="sr-Latn-BA"/>
        </w:rPr>
        <w:t>kojima</w:t>
      </w:r>
      <w:r w:rsidR="00E00890" w:rsidRPr="001B53A8">
        <w:rPr>
          <w:lang w:val="sr-Latn-BA"/>
        </w:rPr>
        <w:t xml:space="preserve"> </w:t>
      </w:r>
      <w:r w:rsidRPr="001B53A8">
        <w:rPr>
          <w:lang w:val="sr-Latn-BA"/>
        </w:rPr>
        <w:t>se</w:t>
      </w:r>
      <w:r w:rsidR="00E00890" w:rsidRPr="001B53A8">
        <w:rPr>
          <w:lang w:val="sr-Latn-BA"/>
        </w:rPr>
        <w:t xml:space="preserve"> </w:t>
      </w:r>
      <w:r w:rsidRPr="001B53A8">
        <w:rPr>
          <w:lang w:val="sr-Latn-BA"/>
        </w:rPr>
        <w:t>uređuje</w:t>
      </w:r>
      <w:r w:rsidR="00E00890" w:rsidRPr="001B53A8">
        <w:rPr>
          <w:lang w:val="sr-Latn-BA"/>
        </w:rPr>
        <w:t xml:space="preserve"> </w:t>
      </w:r>
      <w:r w:rsidRPr="001B53A8">
        <w:rPr>
          <w:lang w:val="sr-Latn-BA"/>
        </w:rPr>
        <w:t>sprečavanje</w:t>
      </w:r>
      <w:r w:rsidR="00E00890" w:rsidRPr="001B53A8">
        <w:rPr>
          <w:lang w:val="sr-Latn-BA"/>
        </w:rPr>
        <w:t xml:space="preserve"> </w:t>
      </w:r>
      <w:r w:rsidRPr="001B53A8">
        <w:rPr>
          <w:lang w:val="sr-Latn-BA"/>
        </w:rPr>
        <w:t>pranja</w:t>
      </w:r>
      <w:r w:rsidR="00E00890" w:rsidRPr="001B53A8">
        <w:rPr>
          <w:lang w:val="sr-Latn-BA"/>
        </w:rPr>
        <w:t xml:space="preserve"> </w:t>
      </w:r>
      <w:r w:rsidRPr="001B53A8">
        <w:rPr>
          <w:lang w:val="sr-Latn-BA"/>
        </w:rPr>
        <w:t>novca</w:t>
      </w:r>
      <w:r w:rsidR="00E00890" w:rsidRPr="001B53A8">
        <w:rPr>
          <w:lang w:val="sr-Latn-BA"/>
        </w:rPr>
        <w:t xml:space="preserve"> </w:t>
      </w:r>
      <w:r w:rsidRPr="001B53A8">
        <w:rPr>
          <w:lang w:val="sr-Latn-BA"/>
        </w:rPr>
        <w:t>i</w:t>
      </w:r>
      <w:r w:rsidR="00E00890" w:rsidRPr="001B53A8">
        <w:rPr>
          <w:lang w:val="sr-Latn-BA"/>
        </w:rPr>
        <w:t xml:space="preserve"> </w:t>
      </w:r>
      <w:r w:rsidRPr="001B53A8">
        <w:rPr>
          <w:lang w:val="sr-Latn-BA"/>
        </w:rPr>
        <w:t>finansiranja</w:t>
      </w:r>
      <w:r w:rsidR="00E00890" w:rsidRPr="001B53A8">
        <w:rPr>
          <w:lang w:val="sr-Latn-BA"/>
        </w:rPr>
        <w:t xml:space="preserve"> </w:t>
      </w:r>
      <w:r w:rsidRPr="001B53A8">
        <w:rPr>
          <w:lang w:val="sr-Latn-BA"/>
        </w:rPr>
        <w:t>terorističkih</w:t>
      </w:r>
      <w:r w:rsidR="00E00890" w:rsidRPr="001B53A8">
        <w:rPr>
          <w:lang w:val="sr-Latn-BA"/>
        </w:rPr>
        <w:t xml:space="preserve"> </w:t>
      </w:r>
      <w:r w:rsidRPr="001B53A8">
        <w:rPr>
          <w:lang w:val="sr-Latn-BA"/>
        </w:rPr>
        <w:t>aktivnosti</w:t>
      </w:r>
      <w:r w:rsidR="00E00890" w:rsidRPr="001B53A8">
        <w:rPr>
          <w:lang w:val="sr-Latn-BA"/>
        </w:rPr>
        <w:t xml:space="preserve">, </w:t>
      </w:r>
      <w:r w:rsidRPr="001B53A8">
        <w:rPr>
          <w:lang w:val="sr-Latn-BA"/>
        </w:rPr>
        <w:t>te</w:t>
      </w:r>
      <w:r w:rsidR="00E00890" w:rsidRPr="001B53A8">
        <w:rPr>
          <w:lang w:val="sr-Latn-BA"/>
        </w:rPr>
        <w:t xml:space="preserve"> </w:t>
      </w:r>
      <w:r w:rsidRPr="001B53A8">
        <w:rPr>
          <w:lang w:val="sr-Latn-BA"/>
        </w:rPr>
        <w:t>da</w:t>
      </w:r>
      <w:r w:rsidR="00E00890" w:rsidRPr="001B53A8">
        <w:rPr>
          <w:lang w:val="sr-Latn-BA"/>
        </w:rPr>
        <w:t xml:space="preserve"> </w:t>
      </w:r>
      <w:r w:rsidRPr="001B53A8">
        <w:rPr>
          <w:lang w:val="sr-Latn-BA"/>
        </w:rPr>
        <w:t>preduzima</w:t>
      </w:r>
      <w:r w:rsidR="00E00890" w:rsidRPr="001B53A8">
        <w:rPr>
          <w:lang w:val="sr-Latn-BA"/>
        </w:rPr>
        <w:t xml:space="preserve"> </w:t>
      </w:r>
      <w:r w:rsidRPr="001B53A8">
        <w:rPr>
          <w:lang w:val="sr-Latn-BA"/>
        </w:rPr>
        <w:t>potrebne</w:t>
      </w:r>
      <w:r w:rsidR="00E00890" w:rsidRPr="001B53A8">
        <w:rPr>
          <w:lang w:val="sr-Latn-BA"/>
        </w:rPr>
        <w:t xml:space="preserve"> </w:t>
      </w:r>
      <w:r w:rsidRPr="001B53A8">
        <w:rPr>
          <w:lang w:val="sr-Latn-BA"/>
        </w:rPr>
        <w:t>mjere</w:t>
      </w:r>
      <w:r w:rsidR="00E00890" w:rsidRPr="001B53A8">
        <w:rPr>
          <w:lang w:val="sr-Latn-BA"/>
        </w:rPr>
        <w:t xml:space="preserve"> </w:t>
      </w:r>
      <w:r w:rsidRPr="001B53A8">
        <w:rPr>
          <w:lang w:val="sr-Latn-BA"/>
        </w:rPr>
        <w:t>u</w:t>
      </w:r>
      <w:r w:rsidR="00E00890" w:rsidRPr="001B53A8">
        <w:rPr>
          <w:lang w:val="sr-Latn-BA"/>
        </w:rPr>
        <w:t xml:space="preserve"> </w:t>
      </w:r>
      <w:r w:rsidRPr="001B53A8">
        <w:rPr>
          <w:lang w:val="sr-Latn-BA"/>
        </w:rPr>
        <w:t>vezi</w:t>
      </w:r>
      <w:r w:rsidR="00E00890" w:rsidRPr="001B53A8">
        <w:rPr>
          <w:lang w:val="sr-Latn-BA"/>
        </w:rPr>
        <w:t xml:space="preserve"> </w:t>
      </w:r>
      <w:r w:rsidRPr="001B53A8">
        <w:rPr>
          <w:lang w:val="sr-Latn-BA"/>
        </w:rPr>
        <w:t>sa</w:t>
      </w:r>
      <w:r w:rsidR="00E00890" w:rsidRPr="001B53A8">
        <w:rPr>
          <w:lang w:val="sr-Latn-BA"/>
        </w:rPr>
        <w:t xml:space="preserve"> </w:t>
      </w:r>
      <w:r w:rsidRPr="001B53A8">
        <w:rPr>
          <w:lang w:val="sr-Latn-BA"/>
        </w:rPr>
        <w:t>tim</w:t>
      </w:r>
      <w:r w:rsidR="00E00890" w:rsidRPr="001B53A8">
        <w:rPr>
          <w:lang w:val="sr-Latn-BA"/>
        </w:rPr>
        <w:t xml:space="preserve"> </w:t>
      </w:r>
      <w:r w:rsidRPr="001B53A8">
        <w:rPr>
          <w:lang w:val="sr-Latn-BA"/>
        </w:rPr>
        <w:t>propisima</w:t>
      </w:r>
      <w:r w:rsidR="00E00890" w:rsidRPr="001B53A8">
        <w:rPr>
          <w:lang w:val="sr-Latn-BA"/>
        </w:rPr>
        <w:t xml:space="preserve">, </w:t>
      </w:r>
      <w:r w:rsidRPr="001B53A8">
        <w:rPr>
          <w:lang w:val="sr-Latn-BA"/>
        </w:rPr>
        <w:t>nad</w:t>
      </w:r>
      <w:r w:rsidR="00E00890" w:rsidRPr="001B53A8">
        <w:rPr>
          <w:lang w:val="sr-Latn-BA"/>
        </w:rPr>
        <w:t xml:space="preserve"> </w:t>
      </w:r>
      <w:r w:rsidRPr="001B53A8">
        <w:rPr>
          <w:lang w:val="sr-Latn-BA"/>
        </w:rPr>
        <w:t>licima</w:t>
      </w:r>
      <w:r w:rsidR="00E00890" w:rsidRPr="001B53A8">
        <w:rPr>
          <w:lang w:val="sr-Latn-BA"/>
        </w:rPr>
        <w:t xml:space="preserve"> </w:t>
      </w:r>
      <w:r w:rsidRPr="001B53A8">
        <w:rPr>
          <w:lang w:val="sr-Latn-BA"/>
        </w:rPr>
        <w:t>koja</w:t>
      </w:r>
      <w:r w:rsidR="00E00890" w:rsidRPr="001B53A8">
        <w:rPr>
          <w:lang w:val="sr-Latn-BA"/>
        </w:rPr>
        <w:t xml:space="preserve"> </w:t>
      </w:r>
      <w:r w:rsidRPr="001B53A8">
        <w:rPr>
          <w:lang w:val="sr-Latn-BA"/>
        </w:rPr>
        <w:t>su</w:t>
      </w:r>
      <w:r w:rsidR="00E00890" w:rsidRPr="001B53A8">
        <w:rPr>
          <w:lang w:val="sr-Latn-BA"/>
        </w:rPr>
        <w:t xml:space="preserve"> </w:t>
      </w:r>
      <w:r w:rsidRPr="001B53A8">
        <w:rPr>
          <w:lang w:val="sr-Latn-BA"/>
        </w:rPr>
        <w:t>osnovana</w:t>
      </w:r>
      <w:r w:rsidR="00E00890" w:rsidRPr="001B53A8">
        <w:rPr>
          <w:lang w:val="sr-Latn-BA"/>
        </w:rPr>
        <w:t xml:space="preserve"> </w:t>
      </w:r>
      <w:r w:rsidRPr="001B53A8">
        <w:rPr>
          <w:lang w:val="sr-Latn-BA"/>
        </w:rPr>
        <w:t>u</w:t>
      </w:r>
      <w:r w:rsidR="00E00890" w:rsidRPr="001B53A8">
        <w:rPr>
          <w:lang w:val="sr-Latn-BA"/>
        </w:rPr>
        <w:t xml:space="preserve"> </w:t>
      </w:r>
      <w:r w:rsidRPr="001B53A8">
        <w:rPr>
          <w:lang w:val="sr-Latn-BA"/>
        </w:rPr>
        <w:t>Republici</w:t>
      </w:r>
      <w:r w:rsidR="00E00890" w:rsidRPr="001B53A8">
        <w:rPr>
          <w:lang w:val="sr-Latn-BA"/>
        </w:rPr>
        <w:t xml:space="preserve"> </w:t>
      </w:r>
      <w:r w:rsidRPr="001B53A8">
        <w:rPr>
          <w:lang w:val="sr-Latn-BA"/>
        </w:rPr>
        <w:t>Srpskoj</w:t>
      </w:r>
      <w:r w:rsidR="00E00890" w:rsidRPr="001B53A8">
        <w:rPr>
          <w:lang w:val="sr-Latn-BA"/>
        </w:rPr>
        <w:t xml:space="preserve"> </w:t>
      </w:r>
      <w:r w:rsidRPr="001B53A8">
        <w:rPr>
          <w:lang w:val="sr-Latn-BA"/>
        </w:rPr>
        <w:t>da</w:t>
      </w:r>
      <w:r w:rsidR="00E00890" w:rsidRPr="001B53A8">
        <w:rPr>
          <w:lang w:val="sr-Latn-BA"/>
        </w:rPr>
        <w:t xml:space="preserve"> </w:t>
      </w:r>
      <w:r w:rsidRPr="001B53A8">
        <w:rPr>
          <w:lang w:val="sr-Latn-BA"/>
        </w:rPr>
        <w:t>pružaju</w:t>
      </w:r>
      <w:r w:rsidR="00E00890" w:rsidRPr="001B53A8">
        <w:rPr>
          <w:lang w:val="sr-Latn-BA"/>
        </w:rPr>
        <w:t xml:space="preserve"> </w:t>
      </w:r>
      <w:r w:rsidRPr="001B53A8">
        <w:rPr>
          <w:lang w:val="sr-Latn-BA"/>
        </w:rPr>
        <w:t>usluge</w:t>
      </w:r>
      <w:r w:rsidR="00E00890" w:rsidRPr="001B53A8">
        <w:rPr>
          <w:lang w:val="sr-Latn-BA"/>
        </w:rPr>
        <w:t xml:space="preserve"> </w:t>
      </w:r>
      <w:r w:rsidRPr="001B53A8">
        <w:rPr>
          <w:lang w:val="sr-Latn-BA"/>
        </w:rPr>
        <w:t>povezane</w:t>
      </w:r>
      <w:r w:rsidR="00E00890" w:rsidRPr="001B53A8">
        <w:rPr>
          <w:lang w:val="sr-Latn-BA"/>
        </w:rPr>
        <w:t xml:space="preserve"> </w:t>
      </w:r>
      <w:r w:rsidRPr="001B53A8">
        <w:rPr>
          <w:lang w:val="sr-Latn-BA"/>
        </w:rPr>
        <w:t>sa</w:t>
      </w:r>
      <w:r w:rsidR="00E00890" w:rsidRPr="001B53A8">
        <w:rPr>
          <w:lang w:val="sr-Latn-BA"/>
        </w:rPr>
        <w:t xml:space="preserve"> </w:t>
      </w:r>
      <w:r w:rsidRPr="001B53A8">
        <w:rPr>
          <w:lang w:val="sr-Latn-BA"/>
        </w:rPr>
        <w:t>virtuelnim</w:t>
      </w:r>
      <w:r w:rsidR="00E00890" w:rsidRPr="001B53A8">
        <w:rPr>
          <w:lang w:val="sr-Latn-BA"/>
        </w:rPr>
        <w:t xml:space="preserve"> </w:t>
      </w:r>
      <w:r w:rsidRPr="001B53A8">
        <w:rPr>
          <w:lang w:val="sr-Latn-BA"/>
        </w:rPr>
        <w:t>valutama</w:t>
      </w:r>
      <w:r w:rsidR="00E00890" w:rsidRPr="001B53A8">
        <w:rPr>
          <w:lang w:val="sr-Latn-BA"/>
        </w:rPr>
        <w:t xml:space="preserve">, </w:t>
      </w:r>
      <w:r w:rsidRPr="001B53A8">
        <w:rPr>
          <w:lang w:val="sr-Latn-BA"/>
        </w:rPr>
        <w:t>kao</w:t>
      </w:r>
      <w:r w:rsidR="00E00890" w:rsidRPr="001B53A8">
        <w:rPr>
          <w:lang w:val="sr-Latn-BA"/>
        </w:rPr>
        <w:t xml:space="preserve"> </w:t>
      </w:r>
      <w:r w:rsidRPr="001B53A8">
        <w:rPr>
          <w:lang w:val="sr-Latn-BA"/>
        </w:rPr>
        <w:t>i</w:t>
      </w:r>
      <w:r w:rsidR="00E00890" w:rsidRPr="001B53A8">
        <w:rPr>
          <w:lang w:val="sr-Latn-BA"/>
        </w:rPr>
        <w:t xml:space="preserve"> </w:t>
      </w:r>
      <w:r w:rsidRPr="001B53A8">
        <w:rPr>
          <w:lang w:val="sr-Latn-BA"/>
        </w:rPr>
        <w:t>nad</w:t>
      </w:r>
      <w:r w:rsidR="00E00890" w:rsidRPr="001B53A8">
        <w:rPr>
          <w:lang w:val="sr-Latn-BA"/>
        </w:rPr>
        <w:t xml:space="preserve"> </w:t>
      </w:r>
      <w:r w:rsidRPr="001B53A8">
        <w:rPr>
          <w:lang w:val="sr-Latn-BA"/>
        </w:rPr>
        <w:t>subjektima</w:t>
      </w:r>
      <w:r w:rsidR="00E00890" w:rsidRPr="001B53A8">
        <w:rPr>
          <w:lang w:val="sr-Latn-BA"/>
        </w:rPr>
        <w:t xml:space="preserve"> </w:t>
      </w:r>
      <w:r w:rsidRPr="001B53A8">
        <w:rPr>
          <w:lang w:val="sr-Latn-BA"/>
        </w:rPr>
        <w:t>sa</w:t>
      </w:r>
      <w:r w:rsidR="00E00890" w:rsidRPr="001B53A8">
        <w:rPr>
          <w:lang w:val="sr-Latn-BA"/>
        </w:rPr>
        <w:t xml:space="preserve"> </w:t>
      </w:r>
      <w:r w:rsidRPr="001B53A8">
        <w:rPr>
          <w:lang w:val="sr-Latn-BA"/>
        </w:rPr>
        <w:t>sjedištem</w:t>
      </w:r>
      <w:r w:rsidR="00E00890" w:rsidRPr="001B53A8">
        <w:rPr>
          <w:lang w:val="sr-Latn-BA"/>
        </w:rPr>
        <w:t xml:space="preserve"> </w:t>
      </w:r>
      <w:r w:rsidRPr="001B53A8">
        <w:rPr>
          <w:lang w:val="sr-Latn-BA"/>
        </w:rPr>
        <w:t>izvan</w:t>
      </w:r>
      <w:r w:rsidR="00E00890" w:rsidRPr="001B53A8">
        <w:rPr>
          <w:lang w:val="sr-Latn-BA"/>
        </w:rPr>
        <w:t xml:space="preserve"> </w:t>
      </w:r>
      <w:r w:rsidRPr="001B53A8">
        <w:rPr>
          <w:lang w:val="sr-Latn-BA"/>
        </w:rPr>
        <w:t>Republike</w:t>
      </w:r>
      <w:r w:rsidR="00E00890" w:rsidRPr="001B53A8">
        <w:rPr>
          <w:lang w:val="sr-Latn-BA"/>
        </w:rPr>
        <w:t xml:space="preserve"> </w:t>
      </w:r>
      <w:r w:rsidRPr="001B53A8">
        <w:rPr>
          <w:lang w:val="sr-Latn-BA"/>
        </w:rPr>
        <w:t>Srpske</w:t>
      </w:r>
      <w:r w:rsidR="00E00890" w:rsidRPr="001B53A8">
        <w:rPr>
          <w:lang w:val="sr-Latn-BA"/>
        </w:rPr>
        <w:t xml:space="preserve">, </w:t>
      </w:r>
      <w:r w:rsidRPr="001B53A8">
        <w:rPr>
          <w:lang w:val="sr-Latn-BA"/>
        </w:rPr>
        <w:t>a</w:t>
      </w:r>
      <w:r w:rsidR="00E00890" w:rsidRPr="001B53A8">
        <w:rPr>
          <w:lang w:val="sr-Latn-BA"/>
        </w:rPr>
        <w:t xml:space="preserve"> </w:t>
      </w:r>
      <w:r w:rsidRPr="001B53A8">
        <w:rPr>
          <w:lang w:val="sr-Latn-BA"/>
        </w:rPr>
        <w:t>koji</w:t>
      </w:r>
      <w:r w:rsidR="00E00890" w:rsidRPr="001B53A8">
        <w:rPr>
          <w:lang w:val="sr-Latn-BA"/>
        </w:rPr>
        <w:t xml:space="preserve"> </w:t>
      </w:r>
      <w:r w:rsidRPr="001B53A8">
        <w:rPr>
          <w:lang w:val="sr-Latn-BA"/>
        </w:rPr>
        <w:t>putem</w:t>
      </w:r>
      <w:r w:rsidR="00E00890" w:rsidRPr="001B53A8">
        <w:rPr>
          <w:lang w:val="sr-Latn-BA"/>
        </w:rPr>
        <w:t xml:space="preserve"> </w:t>
      </w:r>
      <w:r w:rsidRPr="001B53A8">
        <w:rPr>
          <w:lang w:val="sr-Latn-BA"/>
        </w:rPr>
        <w:t>ogranka</w:t>
      </w:r>
      <w:r w:rsidR="00E00890" w:rsidRPr="001B53A8">
        <w:rPr>
          <w:lang w:val="sr-Latn-BA"/>
        </w:rPr>
        <w:t xml:space="preserve"> </w:t>
      </w:r>
      <w:r w:rsidRPr="001B53A8">
        <w:rPr>
          <w:lang w:val="sr-Latn-BA"/>
        </w:rPr>
        <w:t>pružaju</w:t>
      </w:r>
      <w:r w:rsidR="00E00890" w:rsidRPr="001B53A8">
        <w:rPr>
          <w:lang w:val="sr-Latn-BA"/>
        </w:rPr>
        <w:t xml:space="preserve"> </w:t>
      </w:r>
      <w:r w:rsidRPr="001B53A8">
        <w:rPr>
          <w:lang w:val="sr-Latn-BA"/>
        </w:rPr>
        <w:t>te</w:t>
      </w:r>
      <w:r w:rsidR="00E00890" w:rsidRPr="001B53A8">
        <w:rPr>
          <w:lang w:val="sr-Latn-BA"/>
        </w:rPr>
        <w:t xml:space="preserve"> </w:t>
      </w:r>
      <w:r w:rsidRPr="001B53A8">
        <w:rPr>
          <w:lang w:val="sr-Latn-BA"/>
        </w:rPr>
        <w:t>usluge</w:t>
      </w:r>
      <w:r w:rsidR="00E00890" w:rsidRPr="001B53A8">
        <w:rPr>
          <w:lang w:val="sr-Latn-BA"/>
        </w:rPr>
        <w:t xml:space="preserve"> </w:t>
      </w:r>
      <w:r w:rsidRPr="001B53A8">
        <w:rPr>
          <w:lang w:val="sr-Latn-BA"/>
        </w:rPr>
        <w:t>u</w:t>
      </w:r>
      <w:r w:rsidR="00E00890" w:rsidRPr="001B53A8">
        <w:rPr>
          <w:lang w:val="sr-Latn-BA"/>
        </w:rPr>
        <w:t xml:space="preserve"> </w:t>
      </w:r>
      <w:r w:rsidRPr="001B53A8">
        <w:rPr>
          <w:lang w:val="sr-Latn-BA"/>
        </w:rPr>
        <w:t>Republici</w:t>
      </w:r>
      <w:r w:rsidR="00E00890" w:rsidRPr="001B53A8">
        <w:rPr>
          <w:lang w:val="sr-Latn-BA"/>
        </w:rPr>
        <w:t xml:space="preserve"> </w:t>
      </w:r>
      <w:r w:rsidRPr="001B53A8">
        <w:rPr>
          <w:lang w:val="sr-Latn-BA"/>
        </w:rPr>
        <w:t>Srpskoj</w:t>
      </w:r>
      <w:r w:rsidR="00E00890" w:rsidRPr="001B53A8">
        <w:rPr>
          <w:lang w:val="sr-Latn-BA"/>
        </w:rPr>
        <w:t>.</w:t>
      </w:r>
    </w:p>
    <w:bookmarkEnd w:id="8"/>
    <w:p w14:paraId="1C21829E" w14:textId="004C69F2" w:rsidR="009628CE" w:rsidRPr="001B53A8" w:rsidRDefault="00003F34" w:rsidP="006B6E0C">
      <w:pPr>
        <w:spacing w:after="0" w:line="240" w:lineRule="auto"/>
        <w:ind w:firstLine="567"/>
        <w:rPr>
          <w:lang w:val="sr-Latn-BA"/>
        </w:rPr>
      </w:pPr>
      <w:r w:rsidRPr="001B53A8">
        <w:rPr>
          <w:lang w:val="sr-Latn-BA"/>
        </w:rPr>
        <w:t>Način</w:t>
      </w:r>
      <w:r w:rsidR="009628CE" w:rsidRPr="001B53A8">
        <w:rPr>
          <w:lang w:val="sr-Latn-BA"/>
        </w:rPr>
        <w:t xml:space="preserve"> </w:t>
      </w:r>
      <w:r w:rsidRPr="001B53A8">
        <w:rPr>
          <w:lang w:val="sr-Latn-BA"/>
        </w:rPr>
        <w:t>rada</w:t>
      </w:r>
      <w:r w:rsidR="009628CE" w:rsidRPr="001B53A8">
        <w:rPr>
          <w:lang w:val="sr-Latn-BA"/>
        </w:rPr>
        <w:t xml:space="preserve">, </w:t>
      </w:r>
      <w:r w:rsidRPr="001B53A8">
        <w:rPr>
          <w:lang w:val="sr-Latn-BA"/>
        </w:rPr>
        <w:t>odlučivanje</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organizacija</w:t>
      </w:r>
      <w:r w:rsidR="009628CE" w:rsidRPr="001B53A8">
        <w:rPr>
          <w:lang w:val="sr-Latn-BA"/>
        </w:rPr>
        <w:t xml:space="preserve"> </w:t>
      </w:r>
      <w:r w:rsidRPr="001B53A8">
        <w:rPr>
          <w:lang w:val="sr-Latn-BA"/>
        </w:rPr>
        <w:t>Komisije</w:t>
      </w:r>
      <w:r w:rsidR="009628CE" w:rsidRPr="001B53A8">
        <w:rPr>
          <w:lang w:val="sr-Latn-BA"/>
        </w:rPr>
        <w:t xml:space="preserve"> </w:t>
      </w:r>
      <w:r w:rsidRPr="001B53A8">
        <w:rPr>
          <w:lang w:val="sr-Latn-BA"/>
        </w:rPr>
        <w:t>bliže</w:t>
      </w:r>
      <w:r w:rsidR="009628CE" w:rsidRPr="001B53A8">
        <w:rPr>
          <w:lang w:val="sr-Latn-BA"/>
        </w:rPr>
        <w:t xml:space="preserve"> </w:t>
      </w:r>
      <w:r w:rsidRPr="001B53A8">
        <w:rPr>
          <w:lang w:val="sr-Latn-BA"/>
        </w:rPr>
        <w:t>se</w:t>
      </w:r>
      <w:r w:rsidR="009628CE" w:rsidRPr="001B53A8">
        <w:rPr>
          <w:lang w:val="sr-Latn-BA"/>
        </w:rPr>
        <w:t xml:space="preserve"> </w:t>
      </w:r>
      <w:r w:rsidRPr="001B53A8">
        <w:rPr>
          <w:lang w:val="sr-Latn-BA"/>
        </w:rPr>
        <w:t>uređuju</w:t>
      </w:r>
      <w:r w:rsidR="009628CE" w:rsidRPr="001B53A8">
        <w:rPr>
          <w:lang w:val="sr-Latn-BA"/>
        </w:rPr>
        <w:t xml:space="preserve"> </w:t>
      </w:r>
      <w:r w:rsidRPr="001B53A8">
        <w:rPr>
          <w:lang w:val="sr-Latn-BA"/>
        </w:rPr>
        <w:t>Statutom</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Poslovnikom</w:t>
      </w:r>
      <w:r w:rsidR="009628CE" w:rsidRPr="001B53A8">
        <w:rPr>
          <w:lang w:val="sr-Latn-BA"/>
        </w:rPr>
        <w:t xml:space="preserve"> </w:t>
      </w:r>
      <w:r w:rsidRPr="001B53A8">
        <w:rPr>
          <w:lang w:val="sr-Latn-BA"/>
        </w:rPr>
        <w:t>o</w:t>
      </w:r>
      <w:r w:rsidR="009628CE" w:rsidRPr="001B53A8">
        <w:rPr>
          <w:lang w:val="sr-Latn-BA"/>
        </w:rPr>
        <w:t xml:space="preserve"> </w:t>
      </w:r>
      <w:r w:rsidRPr="001B53A8">
        <w:rPr>
          <w:lang w:val="sr-Latn-BA"/>
        </w:rPr>
        <w:t>radu</w:t>
      </w:r>
      <w:r w:rsidR="009628CE" w:rsidRPr="001B53A8">
        <w:rPr>
          <w:lang w:val="sr-Latn-BA"/>
        </w:rPr>
        <w:t xml:space="preserve"> </w:t>
      </w:r>
      <w:r w:rsidRPr="001B53A8">
        <w:rPr>
          <w:lang w:val="sr-Latn-BA"/>
        </w:rPr>
        <w:t>Komisije</w:t>
      </w:r>
      <w:r w:rsidR="009628CE" w:rsidRPr="001B53A8">
        <w:rPr>
          <w:lang w:val="sr-Latn-BA"/>
        </w:rPr>
        <w:t>.</w:t>
      </w:r>
    </w:p>
    <w:p w14:paraId="4C9C98DA" w14:textId="3A6F7865" w:rsidR="009628CE" w:rsidRPr="001B53A8" w:rsidRDefault="00003F34" w:rsidP="006B6E0C">
      <w:pPr>
        <w:pStyle w:val="Heading2"/>
        <w:spacing w:before="240" w:after="0" w:line="240" w:lineRule="auto"/>
        <w:ind w:left="578" w:hanging="578"/>
        <w:rPr>
          <w:rFonts w:ascii="Times New Roman" w:hAnsi="Times New Roman"/>
          <w:sz w:val="24"/>
          <w:lang w:val="sr-Latn-BA"/>
        </w:rPr>
      </w:pPr>
      <w:bookmarkStart w:id="9" w:name="_Toc194970089"/>
      <w:bookmarkStart w:id="10" w:name="_Toc194970120"/>
      <w:bookmarkStart w:id="11" w:name="_Toc321408886"/>
      <w:bookmarkStart w:id="12" w:name="_Toc167962105"/>
      <w:r w:rsidRPr="001B53A8">
        <w:rPr>
          <w:rFonts w:ascii="Times New Roman" w:hAnsi="Times New Roman"/>
          <w:sz w:val="24"/>
          <w:lang w:val="sr-Latn-BA"/>
        </w:rPr>
        <w:t>Imenovanje</w:t>
      </w:r>
      <w:r w:rsidR="009628CE" w:rsidRPr="001B53A8">
        <w:rPr>
          <w:rFonts w:ascii="Times New Roman" w:hAnsi="Times New Roman"/>
          <w:sz w:val="24"/>
          <w:lang w:val="sr-Latn-BA"/>
        </w:rPr>
        <w:t xml:space="preserve"> </w:t>
      </w:r>
      <w:r w:rsidRPr="001B53A8">
        <w:rPr>
          <w:rFonts w:ascii="Times New Roman" w:hAnsi="Times New Roman"/>
          <w:sz w:val="24"/>
          <w:lang w:val="sr-Latn-BA"/>
        </w:rPr>
        <w:t>članova</w:t>
      </w:r>
      <w:r w:rsidR="009628CE" w:rsidRPr="001B53A8">
        <w:rPr>
          <w:rFonts w:ascii="Times New Roman" w:hAnsi="Times New Roman"/>
          <w:sz w:val="24"/>
          <w:lang w:val="sr-Latn-BA"/>
        </w:rPr>
        <w:t xml:space="preserve"> </w:t>
      </w:r>
      <w:r w:rsidRPr="001B53A8">
        <w:rPr>
          <w:rFonts w:ascii="Times New Roman" w:hAnsi="Times New Roman"/>
          <w:sz w:val="24"/>
          <w:lang w:val="sr-Latn-BA"/>
        </w:rPr>
        <w:t>i</w:t>
      </w:r>
      <w:r w:rsidR="009628CE" w:rsidRPr="001B53A8">
        <w:rPr>
          <w:rFonts w:ascii="Times New Roman" w:hAnsi="Times New Roman"/>
          <w:sz w:val="24"/>
          <w:lang w:val="sr-Latn-BA"/>
        </w:rPr>
        <w:t xml:space="preserve"> </w:t>
      </w:r>
      <w:r w:rsidRPr="001B53A8">
        <w:rPr>
          <w:rFonts w:ascii="Times New Roman" w:hAnsi="Times New Roman"/>
          <w:sz w:val="24"/>
          <w:lang w:val="sr-Latn-BA"/>
        </w:rPr>
        <w:t>sastav</w:t>
      </w:r>
      <w:r w:rsidR="009628CE" w:rsidRPr="001B53A8">
        <w:rPr>
          <w:rFonts w:ascii="Times New Roman" w:hAnsi="Times New Roman"/>
          <w:sz w:val="24"/>
          <w:lang w:val="sr-Latn-BA"/>
        </w:rPr>
        <w:t xml:space="preserve"> </w:t>
      </w:r>
      <w:r w:rsidRPr="001B53A8">
        <w:rPr>
          <w:rFonts w:ascii="Times New Roman" w:hAnsi="Times New Roman"/>
          <w:sz w:val="24"/>
          <w:lang w:val="sr-Latn-BA"/>
        </w:rPr>
        <w:t>Komisije</w:t>
      </w:r>
      <w:bookmarkEnd w:id="9"/>
      <w:bookmarkEnd w:id="10"/>
      <w:bookmarkEnd w:id="11"/>
      <w:bookmarkEnd w:id="12"/>
    </w:p>
    <w:p w14:paraId="2EA0B88A" w14:textId="2FF49EBD" w:rsidR="009628CE" w:rsidRPr="001B53A8" w:rsidRDefault="00003F34" w:rsidP="006B6E0C">
      <w:pPr>
        <w:spacing w:after="0" w:line="240" w:lineRule="auto"/>
        <w:ind w:firstLine="567"/>
        <w:rPr>
          <w:lang w:val="sr-Latn-BA"/>
        </w:rPr>
      </w:pPr>
      <w:r w:rsidRPr="001B53A8">
        <w:rPr>
          <w:lang w:val="sr-Latn-BA"/>
        </w:rPr>
        <w:t>Komisiju</w:t>
      </w:r>
      <w:r w:rsidR="009628CE" w:rsidRPr="001B53A8">
        <w:rPr>
          <w:lang w:val="sr-Latn-BA"/>
        </w:rPr>
        <w:t xml:space="preserve"> </w:t>
      </w:r>
      <w:r w:rsidRPr="001B53A8">
        <w:rPr>
          <w:lang w:val="sr-Latn-BA"/>
        </w:rPr>
        <w:t>čine</w:t>
      </w:r>
      <w:r w:rsidR="009628CE" w:rsidRPr="001B53A8">
        <w:rPr>
          <w:lang w:val="sr-Latn-BA"/>
        </w:rPr>
        <w:t xml:space="preserve"> </w:t>
      </w:r>
      <w:r w:rsidRPr="001B53A8">
        <w:rPr>
          <w:lang w:val="sr-Latn-BA"/>
        </w:rPr>
        <w:t>predsjednik</w:t>
      </w:r>
      <w:r w:rsidR="009628CE" w:rsidRPr="001B53A8">
        <w:rPr>
          <w:lang w:val="sr-Latn-BA"/>
        </w:rPr>
        <w:t xml:space="preserve">, </w:t>
      </w:r>
      <w:r w:rsidRPr="001B53A8">
        <w:rPr>
          <w:lang w:val="sr-Latn-BA"/>
        </w:rPr>
        <w:t>zamjenik</w:t>
      </w:r>
      <w:r w:rsidR="009628CE" w:rsidRPr="001B53A8">
        <w:rPr>
          <w:lang w:val="sr-Latn-BA"/>
        </w:rPr>
        <w:t xml:space="preserve"> </w:t>
      </w:r>
      <w:r w:rsidRPr="001B53A8">
        <w:rPr>
          <w:lang w:val="sr-Latn-BA"/>
        </w:rPr>
        <w:t>predsjednika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tri</w:t>
      </w:r>
      <w:r w:rsidR="009628CE" w:rsidRPr="001B53A8">
        <w:rPr>
          <w:lang w:val="sr-Latn-BA"/>
        </w:rPr>
        <w:t xml:space="preserve"> </w:t>
      </w:r>
      <w:r w:rsidRPr="001B53A8">
        <w:rPr>
          <w:lang w:val="sr-Latn-BA"/>
        </w:rPr>
        <w:t>člana</w:t>
      </w:r>
      <w:r w:rsidR="009628CE" w:rsidRPr="001B53A8">
        <w:rPr>
          <w:lang w:val="sr-Latn-BA"/>
        </w:rPr>
        <w:t xml:space="preserve">, </w:t>
      </w:r>
      <w:r w:rsidRPr="001B53A8">
        <w:rPr>
          <w:lang w:val="sr-Latn-BA"/>
        </w:rPr>
        <w:t>koje</w:t>
      </w:r>
      <w:r w:rsidR="009628CE" w:rsidRPr="001B53A8">
        <w:rPr>
          <w:lang w:val="sr-Latn-BA"/>
        </w:rPr>
        <w:t xml:space="preserve"> </w:t>
      </w:r>
      <w:r w:rsidRPr="001B53A8">
        <w:rPr>
          <w:lang w:val="sr-Latn-BA"/>
        </w:rPr>
        <w:t>na</w:t>
      </w:r>
      <w:r w:rsidR="009628CE" w:rsidRPr="001B53A8">
        <w:rPr>
          <w:lang w:val="sr-Latn-BA"/>
        </w:rPr>
        <w:t xml:space="preserve"> </w:t>
      </w:r>
      <w:r w:rsidRPr="001B53A8">
        <w:rPr>
          <w:lang w:val="sr-Latn-BA"/>
        </w:rPr>
        <w:t>prijedlog</w:t>
      </w:r>
      <w:r w:rsidR="009628CE" w:rsidRPr="001B53A8">
        <w:rPr>
          <w:lang w:val="sr-Latn-BA"/>
        </w:rPr>
        <w:t xml:space="preserve"> </w:t>
      </w:r>
      <w:r w:rsidRPr="001B53A8">
        <w:rPr>
          <w:lang w:val="sr-Latn-BA"/>
        </w:rPr>
        <w:t>predsjednika</w:t>
      </w:r>
      <w:r w:rsidR="009628CE" w:rsidRPr="001B53A8">
        <w:rPr>
          <w:lang w:val="sr-Latn-BA"/>
        </w:rPr>
        <w:t xml:space="preserve"> </w:t>
      </w:r>
      <w:r w:rsidRPr="001B53A8">
        <w:rPr>
          <w:lang w:val="sr-Latn-BA"/>
        </w:rPr>
        <w:t>Republike</w:t>
      </w:r>
      <w:r w:rsidR="009628CE" w:rsidRPr="001B53A8">
        <w:rPr>
          <w:lang w:val="sr-Latn-BA"/>
        </w:rPr>
        <w:t xml:space="preserve"> </w:t>
      </w:r>
      <w:r w:rsidRPr="001B53A8">
        <w:rPr>
          <w:lang w:val="sr-Latn-BA"/>
        </w:rPr>
        <w:t>Srpske</w:t>
      </w:r>
      <w:r w:rsidR="009628CE" w:rsidRPr="001B53A8">
        <w:rPr>
          <w:lang w:val="sr-Latn-BA"/>
        </w:rPr>
        <w:t xml:space="preserve">, </w:t>
      </w:r>
      <w:r w:rsidRPr="001B53A8">
        <w:rPr>
          <w:lang w:val="sr-Latn-BA"/>
        </w:rPr>
        <w:t>a</w:t>
      </w:r>
      <w:r w:rsidR="009628CE" w:rsidRPr="001B53A8">
        <w:rPr>
          <w:lang w:val="sr-Latn-BA"/>
        </w:rPr>
        <w:t xml:space="preserve"> </w:t>
      </w:r>
      <w:r w:rsidRPr="001B53A8">
        <w:rPr>
          <w:lang w:val="sr-Latn-BA"/>
        </w:rPr>
        <w:t>uz</w:t>
      </w:r>
      <w:r w:rsidR="009628CE" w:rsidRPr="001B53A8">
        <w:rPr>
          <w:lang w:val="sr-Latn-BA"/>
        </w:rPr>
        <w:t xml:space="preserve"> </w:t>
      </w:r>
      <w:r w:rsidRPr="001B53A8">
        <w:rPr>
          <w:lang w:val="sr-Latn-BA"/>
        </w:rPr>
        <w:t>njihovu</w:t>
      </w:r>
      <w:r w:rsidR="009628CE" w:rsidRPr="001B53A8">
        <w:rPr>
          <w:lang w:val="sr-Latn-BA"/>
        </w:rPr>
        <w:t xml:space="preserve"> </w:t>
      </w:r>
      <w:r w:rsidRPr="001B53A8">
        <w:rPr>
          <w:lang w:val="sr-Latn-BA"/>
        </w:rPr>
        <w:t>prethodnu</w:t>
      </w:r>
      <w:r w:rsidR="009628CE" w:rsidRPr="001B53A8">
        <w:rPr>
          <w:lang w:val="sr-Latn-BA"/>
        </w:rPr>
        <w:t xml:space="preserve"> </w:t>
      </w:r>
      <w:r w:rsidRPr="001B53A8">
        <w:rPr>
          <w:lang w:val="sr-Latn-BA"/>
        </w:rPr>
        <w:t>pismenu</w:t>
      </w:r>
      <w:r w:rsidR="009628CE" w:rsidRPr="001B53A8">
        <w:rPr>
          <w:lang w:val="sr-Latn-BA"/>
        </w:rPr>
        <w:t xml:space="preserve"> </w:t>
      </w:r>
      <w:r w:rsidRPr="001B53A8">
        <w:rPr>
          <w:lang w:val="sr-Latn-BA"/>
        </w:rPr>
        <w:t>saglasnost</w:t>
      </w:r>
      <w:r w:rsidR="009628CE" w:rsidRPr="001B53A8">
        <w:rPr>
          <w:lang w:val="sr-Latn-BA"/>
        </w:rPr>
        <w:t xml:space="preserve">, </w:t>
      </w:r>
      <w:r w:rsidRPr="001B53A8">
        <w:rPr>
          <w:lang w:val="sr-Latn-BA"/>
        </w:rPr>
        <w:t>imenuje</w:t>
      </w:r>
      <w:r w:rsidR="009628CE" w:rsidRPr="001B53A8">
        <w:rPr>
          <w:lang w:val="sr-Latn-BA"/>
        </w:rPr>
        <w:t xml:space="preserve"> </w:t>
      </w:r>
      <w:r w:rsidRPr="001B53A8">
        <w:rPr>
          <w:lang w:val="sr-Latn-BA"/>
        </w:rPr>
        <w:t>Narodna</w:t>
      </w:r>
      <w:r w:rsidR="009628CE" w:rsidRPr="001B53A8">
        <w:rPr>
          <w:lang w:val="sr-Latn-BA"/>
        </w:rPr>
        <w:t xml:space="preserve"> </w:t>
      </w:r>
      <w:r w:rsidRPr="001B53A8">
        <w:rPr>
          <w:lang w:val="sr-Latn-BA"/>
        </w:rPr>
        <w:t>Skupština</w:t>
      </w:r>
      <w:r w:rsidR="009628CE" w:rsidRPr="001B53A8">
        <w:rPr>
          <w:lang w:val="sr-Latn-BA"/>
        </w:rPr>
        <w:t xml:space="preserve"> </w:t>
      </w:r>
      <w:r w:rsidRPr="001B53A8">
        <w:rPr>
          <w:lang w:val="sr-Latn-BA"/>
        </w:rPr>
        <w:t>Republike</w:t>
      </w:r>
      <w:r w:rsidR="009628CE" w:rsidRPr="001B53A8">
        <w:rPr>
          <w:lang w:val="sr-Latn-BA"/>
        </w:rPr>
        <w:t xml:space="preserve"> </w:t>
      </w:r>
      <w:r w:rsidRPr="001B53A8">
        <w:rPr>
          <w:lang w:val="sr-Latn-BA"/>
        </w:rPr>
        <w:t>Srpske</w:t>
      </w:r>
      <w:r w:rsidR="009628CE" w:rsidRPr="001B53A8">
        <w:rPr>
          <w:lang w:val="sr-Latn-BA"/>
        </w:rPr>
        <w:t xml:space="preserve">. </w:t>
      </w:r>
    </w:p>
    <w:p w14:paraId="66D45BB3" w14:textId="4162DC1E" w:rsidR="009628CE" w:rsidRPr="001B53A8" w:rsidRDefault="00003F34" w:rsidP="006B6E0C">
      <w:pPr>
        <w:spacing w:after="0" w:line="240" w:lineRule="auto"/>
        <w:ind w:firstLine="567"/>
        <w:rPr>
          <w:lang w:val="sr-Latn-BA"/>
        </w:rPr>
      </w:pPr>
      <w:r w:rsidRPr="001B53A8">
        <w:rPr>
          <w:lang w:val="sr-Latn-BA"/>
        </w:rPr>
        <w:t>Mandat</w:t>
      </w:r>
      <w:r w:rsidR="009628CE" w:rsidRPr="001B53A8">
        <w:rPr>
          <w:lang w:val="sr-Latn-BA"/>
        </w:rPr>
        <w:t xml:space="preserve"> </w:t>
      </w:r>
      <w:r w:rsidRPr="001B53A8">
        <w:rPr>
          <w:lang w:val="sr-Latn-BA"/>
        </w:rPr>
        <w:t>članova</w:t>
      </w:r>
      <w:r w:rsidR="009628CE" w:rsidRPr="001B53A8">
        <w:rPr>
          <w:lang w:val="sr-Latn-BA"/>
        </w:rPr>
        <w:t xml:space="preserve"> </w:t>
      </w:r>
      <w:r w:rsidRPr="001B53A8">
        <w:rPr>
          <w:lang w:val="sr-Latn-BA"/>
        </w:rPr>
        <w:t>Komisije</w:t>
      </w:r>
      <w:r w:rsidR="009628CE" w:rsidRPr="001B53A8">
        <w:rPr>
          <w:lang w:val="sr-Latn-BA"/>
        </w:rPr>
        <w:t xml:space="preserve"> </w:t>
      </w:r>
      <w:r w:rsidRPr="001B53A8">
        <w:rPr>
          <w:lang w:val="sr-Latn-BA"/>
        </w:rPr>
        <w:t>traje</w:t>
      </w:r>
      <w:r w:rsidR="009628CE" w:rsidRPr="001B53A8">
        <w:rPr>
          <w:lang w:val="sr-Latn-BA"/>
        </w:rPr>
        <w:t xml:space="preserve"> </w:t>
      </w:r>
      <w:r w:rsidRPr="001B53A8">
        <w:rPr>
          <w:lang w:val="sr-Latn-BA"/>
        </w:rPr>
        <w:t>pet</w:t>
      </w:r>
      <w:r w:rsidR="009628CE" w:rsidRPr="001B53A8">
        <w:rPr>
          <w:lang w:val="sr-Latn-BA"/>
        </w:rPr>
        <w:t xml:space="preserve"> </w:t>
      </w:r>
      <w:r w:rsidRPr="001B53A8">
        <w:rPr>
          <w:lang w:val="sr-Latn-BA"/>
        </w:rPr>
        <w:t>godina</w:t>
      </w:r>
      <w:r w:rsidR="009628CE" w:rsidRPr="001B53A8">
        <w:rPr>
          <w:lang w:val="sr-Latn-BA"/>
        </w:rPr>
        <w:t xml:space="preserve">, </w:t>
      </w:r>
      <w:r w:rsidRPr="001B53A8">
        <w:rPr>
          <w:lang w:val="sr-Latn-BA"/>
        </w:rPr>
        <w:t>s</w:t>
      </w:r>
      <w:r w:rsidR="009628CE" w:rsidRPr="001B53A8">
        <w:rPr>
          <w:lang w:val="sr-Latn-BA"/>
        </w:rPr>
        <w:t xml:space="preserve"> </w:t>
      </w:r>
      <w:r w:rsidRPr="001B53A8">
        <w:rPr>
          <w:lang w:val="sr-Latn-BA"/>
        </w:rPr>
        <w:t>tim</w:t>
      </w:r>
      <w:r w:rsidR="009628CE" w:rsidRPr="001B53A8">
        <w:rPr>
          <w:lang w:val="sr-Latn-BA"/>
        </w:rPr>
        <w:t xml:space="preserve"> </w:t>
      </w:r>
      <w:r w:rsidRPr="001B53A8">
        <w:rPr>
          <w:lang w:val="sr-Latn-BA"/>
        </w:rPr>
        <w:t>da</w:t>
      </w:r>
      <w:r w:rsidR="009628CE" w:rsidRPr="001B53A8">
        <w:rPr>
          <w:lang w:val="sr-Latn-BA"/>
        </w:rPr>
        <w:t xml:space="preserve"> </w:t>
      </w:r>
      <w:r w:rsidRPr="001B53A8">
        <w:rPr>
          <w:lang w:val="sr-Latn-BA"/>
        </w:rPr>
        <w:t>isto</w:t>
      </w:r>
      <w:r w:rsidR="009628CE" w:rsidRPr="001B53A8">
        <w:rPr>
          <w:lang w:val="sr-Latn-BA"/>
        </w:rPr>
        <w:t xml:space="preserve"> </w:t>
      </w:r>
      <w:r w:rsidRPr="001B53A8">
        <w:rPr>
          <w:lang w:val="sr-Latn-BA"/>
        </w:rPr>
        <w:t>lice</w:t>
      </w:r>
      <w:r w:rsidR="009628CE" w:rsidRPr="001B53A8">
        <w:rPr>
          <w:lang w:val="sr-Latn-BA"/>
        </w:rPr>
        <w:t xml:space="preserve"> </w:t>
      </w:r>
      <w:r w:rsidRPr="001B53A8">
        <w:rPr>
          <w:lang w:val="sr-Latn-BA"/>
        </w:rPr>
        <w:t>može</w:t>
      </w:r>
      <w:r w:rsidR="009628CE" w:rsidRPr="001B53A8">
        <w:rPr>
          <w:lang w:val="sr-Latn-BA"/>
        </w:rPr>
        <w:t xml:space="preserve"> </w:t>
      </w:r>
      <w:r w:rsidRPr="001B53A8">
        <w:rPr>
          <w:lang w:val="sr-Latn-BA"/>
        </w:rPr>
        <w:t>više</w:t>
      </w:r>
      <w:r w:rsidR="009628CE" w:rsidRPr="001B53A8">
        <w:rPr>
          <w:lang w:val="sr-Latn-BA"/>
        </w:rPr>
        <w:t xml:space="preserve"> </w:t>
      </w:r>
      <w:r w:rsidRPr="001B53A8">
        <w:rPr>
          <w:lang w:val="sr-Latn-BA"/>
        </w:rPr>
        <w:t>puta</w:t>
      </w:r>
      <w:r w:rsidR="009628CE" w:rsidRPr="001B53A8">
        <w:rPr>
          <w:lang w:val="sr-Latn-BA"/>
        </w:rPr>
        <w:t xml:space="preserve"> </w:t>
      </w:r>
      <w:r w:rsidRPr="001B53A8">
        <w:rPr>
          <w:lang w:val="sr-Latn-BA"/>
        </w:rPr>
        <w:t>biti</w:t>
      </w:r>
      <w:r w:rsidR="009628CE" w:rsidRPr="001B53A8">
        <w:rPr>
          <w:lang w:val="sr-Latn-BA"/>
        </w:rPr>
        <w:t xml:space="preserve"> </w:t>
      </w:r>
      <w:r w:rsidRPr="001B53A8">
        <w:rPr>
          <w:lang w:val="sr-Latn-BA"/>
        </w:rPr>
        <w:t>imenovano</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sastav</w:t>
      </w:r>
      <w:r w:rsidR="009628CE" w:rsidRPr="001B53A8">
        <w:rPr>
          <w:lang w:val="sr-Latn-BA"/>
        </w:rPr>
        <w:t xml:space="preserve"> </w:t>
      </w:r>
      <w:r w:rsidRPr="001B53A8">
        <w:rPr>
          <w:lang w:val="sr-Latn-BA"/>
        </w:rPr>
        <w:t>Komisije</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člana</w:t>
      </w:r>
      <w:r w:rsidR="009628CE" w:rsidRPr="001B53A8">
        <w:rPr>
          <w:lang w:val="sr-Latn-BA"/>
        </w:rPr>
        <w:t xml:space="preserve"> </w:t>
      </w:r>
      <w:r w:rsidRPr="001B53A8">
        <w:rPr>
          <w:lang w:val="sr-Latn-BA"/>
        </w:rPr>
        <w:t>Komisije</w:t>
      </w:r>
      <w:r w:rsidR="009628CE" w:rsidRPr="001B53A8">
        <w:rPr>
          <w:lang w:val="sr-Latn-BA"/>
        </w:rPr>
        <w:t xml:space="preserve"> </w:t>
      </w:r>
      <w:r w:rsidRPr="001B53A8">
        <w:rPr>
          <w:lang w:val="sr-Latn-BA"/>
        </w:rPr>
        <w:t>može</w:t>
      </w:r>
      <w:r w:rsidR="009628CE" w:rsidRPr="001B53A8">
        <w:rPr>
          <w:lang w:val="sr-Latn-BA"/>
        </w:rPr>
        <w:t xml:space="preserve"> </w:t>
      </w:r>
      <w:r w:rsidRPr="001B53A8">
        <w:rPr>
          <w:lang w:val="sr-Latn-BA"/>
        </w:rPr>
        <w:t>biti</w:t>
      </w:r>
      <w:r w:rsidR="009628CE" w:rsidRPr="001B53A8">
        <w:rPr>
          <w:lang w:val="sr-Latn-BA"/>
        </w:rPr>
        <w:t xml:space="preserve"> </w:t>
      </w:r>
      <w:r w:rsidRPr="001B53A8">
        <w:rPr>
          <w:lang w:val="sr-Latn-BA"/>
        </w:rPr>
        <w:t>imenovano</w:t>
      </w:r>
      <w:r w:rsidR="009628CE" w:rsidRPr="001B53A8">
        <w:rPr>
          <w:lang w:val="sr-Latn-BA"/>
        </w:rPr>
        <w:t xml:space="preserve"> </w:t>
      </w:r>
      <w:r w:rsidRPr="001B53A8">
        <w:rPr>
          <w:lang w:val="sr-Latn-BA"/>
        </w:rPr>
        <w:t>lice</w:t>
      </w:r>
      <w:r w:rsidR="009628CE" w:rsidRPr="001B53A8">
        <w:rPr>
          <w:lang w:val="sr-Latn-BA"/>
        </w:rPr>
        <w:t xml:space="preserve"> </w:t>
      </w:r>
      <w:r w:rsidRPr="001B53A8">
        <w:rPr>
          <w:lang w:val="sr-Latn-BA"/>
        </w:rPr>
        <w:t>koje</w:t>
      </w:r>
      <w:r w:rsidR="009628CE" w:rsidRPr="001B53A8">
        <w:rPr>
          <w:lang w:val="sr-Latn-BA"/>
        </w:rPr>
        <w:t xml:space="preserve"> </w:t>
      </w:r>
      <w:r w:rsidRPr="001B53A8">
        <w:rPr>
          <w:lang w:val="sr-Latn-BA"/>
        </w:rPr>
        <w:t>ima</w:t>
      </w:r>
      <w:r w:rsidR="009628CE" w:rsidRPr="001B53A8">
        <w:rPr>
          <w:lang w:val="sr-Latn-BA"/>
        </w:rPr>
        <w:t xml:space="preserve"> </w:t>
      </w:r>
      <w:r w:rsidRPr="001B53A8">
        <w:rPr>
          <w:lang w:val="sr-Latn-BA"/>
        </w:rPr>
        <w:t>visoku</w:t>
      </w:r>
      <w:r w:rsidR="009628CE" w:rsidRPr="001B53A8">
        <w:rPr>
          <w:lang w:val="sr-Latn-BA"/>
        </w:rPr>
        <w:t xml:space="preserve"> </w:t>
      </w:r>
      <w:r w:rsidRPr="001B53A8">
        <w:rPr>
          <w:lang w:val="sr-Latn-BA"/>
        </w:rPr>
        <w:t>stručnu</w:t>
      </w:r>
      <w:r w:rsidR="009628CE" w:rsidRPr="001B53A8">
        <w:rPr>
          <w:lang w:val="sr-Latn-BA"/>
        </w:rPr>
        <w:t xml:space="preserve"> </w:t>
      </w:r>
      <w:r w:rsidRPr="001B53A8">
        <w:rPr>
          <w:lang w:val="sr-Latn-BA"/>
        </w:rPr>
        <w:t>spremu</w:t>
      </w:r>
      <w:r w:rsidR="009628CE" w:rsidRPr="001B53A8">
        <w:rPr>
          <w:lang w:val="sr-Latn-BA"/>
        </w:rPr>
        <w:t xml:space="preserve"> </w:t>
      </w:r>
      <w:r w:rsidRPr="001B53A8">
        <w:rPr>
          <w:lang w:val="sr-Latn-BA"/>
        </w:rPr>
        <w:t>ekonomskog</w:t>
      </w:r>
      <w:r w:rsidR="009628CE" w:rsidRPr="001B53A8">
        <w:rPr>
          <w:lang w:val="sr-Latn-BA"/>
        </w:rPr>
        <w:t xml:space="preserve"> </w:t>
      </w:r>
      <w:r w:rsidRPr="001B53A8">
        <w:rPr>
          <w:lang w:val="sr-Latn-BA"/>
        </w:rPr>
        <w:t>ili</w:t>
      </w:r>
      <w:r w:rsidR="009628CE" w:rsidRPr="001B53A8">
        <w:rPr>
          <w:lang w:val="sr-Latn-BA"/>
        </w:rPr>
        <w:t xml:space="preserve"> </w:t>
      </w:r>
      <w:r w:rsidRPr="001B53A8">
        <w:rPr>
          <w:lang w:val="sr-Latn-BA"/>
        </w:rPr>
        <w:t>pravnog</w:t>
      </w:r>
      <w:r w:rsidR="009628CE" w:rsidRPr="001B53A8">
        <w:rPr>
          <w:lang w:val="sr-Latn-BA"/>
        </w:rPr>
        <w:t xml:space="preserve"> </w:t>
      </w:r>
      <w:r w:rsidRPr="001B53A8">
        <w:rPr>
          <w:lang w:val="sr-Latn-BA"/>
        </w:rPr>
        <w:t>smjera</w:t>
      </w:r>
      <w:r w:rsidR="009628CE" w:rsidRPr="001B53A8">
        <w:rPr>
          <w:lang w:val="sr-Latn-BA"/>
        </w:rPr>
        <w:t xml:space="preserve">, </w:t>
      </w:r>
      <w:r w:rsidRPr="001B53A8">
        <w:rPr>
          <w:lang w:val="sr-Latn-BA"/>
        </w:rPr>
        <w:t>pet</w:t>
      </w:r>
      <w:r w:rsidR="009628CE" w:rsidRPr="001B53A8">
        <w:rPr>
          <w:lang w:val="sr-Latn-BA"/>
        </w:rPr>
        <w:t xml:space="preserve"> </w:t>
      </w:r>
      <w:r w:rsidRPr="001B53A8">
        <w:rPr>
          <w:lang w:val="sr-Latn-BA"/>
        </w:rPr>
        <w:t>godina</w:t>
      </w:r>
      <w:r w:rsidR="009628CE" w:rsidRPr="001B53A8">
        <w:rPr>
          <w:lang w:val="sr-Latn-BA"/>
        </w:rPr>
        <w:t xml:space="preserve"> </w:t>
      </w:r>
      <w:r w:rsidRPr="001B53A8">
        <w:rPr>
          <w:lang w:val="sr-Latn-BA"/>
        </w:rPr>
        <w:t>radnog</w:t>
      </w:r>
      <w:r w:rsidR="009628CE" w:rsidRPr="001B53A8">
        <w:rPr>
          <w:lang w:val="sr-Latn-BA"/>
        </w:rPr>
        <w:t xml:space="preserve"> </w:t>
      </w:r>
      <w:r w:rsidRPr="001B53A8">
        <w:rPr>
          <w:lang w:val="sr-Latn-BA"/>
        </w:rPr>
        <w:t>staža</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toj</w:t>
      </w:r>
      <w:r w:rsidR="009628CE" w:rsidRPr="001B53A8">
        <w:rPr>
          <w:lang w:val="sr-Latn-BA"/>
        </w:rPr>
        <w:t xml:space="preserve"> </w:t>
      </w:r>
      <w:r w:rsidRPr="001B53A8">
        <w:rPr>
          <w:lang w:val="sr-Latn-BA"/>
        </w:rPr>
        <w:t>spremi</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oblasti</w:t>
      </w:r>
      <w:r w:rsidR="009628CE" w:rsidRPr="001B53A8">
        <w:rPr>
          <w:lang w:val="sr-Latn-BA"/>
        </w:rPr>
        <w:t xml:space="preserve"> </w:t>
      </w:r>
      <w:r w:rsidRPr="001B53A8">
        <w:rPr>
          <w:lang w:val="sr-Latn-BA"/>
        </w:rPr>
        <w:t>tržišta</w:t>
      </w:r>
      <w:r w:rsidR="009628CE" w:rsidRPr="001B53A8">
        <w:rPr>
          <w:lang w:val="sr-Latn-BA"/>
        </w:rPr>
        <w:t xml:space="preserve"> </w:t>
      </w:r>
      <w:r w:rsidRPr="001B53A8">
        <w:rPr>
          <w:lang w:val="sr-Latn-BA"/>
        </w:rPr>
        <w:t>kapitala</w:t>
      </w:r>
      <w:r w:rsidR="009628CE" w:rsidRPr="001B53A8">
        <w:rPr>
          <w:lang w:val="sr-Latn-BA"/>
        </w:rPr>
        <w:t xml:space="preserve">, </w:t>
      </w:r>
      <w:r w:rsidRPr="001B53A8">
        <w:rPr>
          <w:lang w:val="sr-Latn-BA"/>
        </w:rPr>
        <w:t>odgovarajuće</w:t>
      </w:r>
      <w:r w:rsidR="009628CE" w:rsidRPr="001B53A8">
        <w:rPr>
          <w:lang w:val="sr-Latn-BA"/>
        </w:rPr>
        <w:t xml:space="preserve"> </w:t>
      </w:r>
      <w:r w:rsidRPr="001B53A8">
        <w:rPr>
          <w:lang w:val="sr-Latn-BA"/>
        </w:rPr>
        <w:t>stručno</w:t>
      </w:r>
      <w:r w:rsidR="009628CE" w:rsidRPr="001B53A8">
        <w:rPr>
          <w:lang w:val="sr-Latn-BA"/>
        </w:rPr>
        <w:t xml:space="preserve"> </w:t>
      </w:r>
      <w:r w:rsidRPr="001B53A8">
        <w:rPr>
          <w:lang w:val="sr-Latn-BA"/>
        </w:rPr>
        <w:t>znanje</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lična</w:t>
      </w:r>
      <w:r w:rsidR="009628CE" w:rsidRPr="001B53A8">
        <w:rPr>
          <w:lang w:val="sr-Latn-BA"/>
        </w:rPr>
        <w:t xml:space="preserve"> </w:t>
      </w:r>
      <w:r w:rsidRPr="001B53A8">
        <w:rPr>
          <w:lang w:val="sr-Latn-BA"/>
        </w:rPr>
        <w:t>svojstva</w:t>
      </w:r>
      <w:r w:rsidR="009628CE" w:rsidRPr="001B53A8">
        <w:rPr>
          <w:lang w:val="sr-Latn-BA"/>
        </w:rPr>
        <w:t xml:space="preserve"> </w:t>
      </w:r>
      <w:r w:rsidRPr="001B53A8">
        <w:rPr>
          <w:lang w:val="sr-Latn-BA"/>
        </w:rPr>
        <w:t>koja</w:t>
      </w:r>
      <w:r w:rsidR="009628CE" w:rsidRPr="001B53A8">
        <w:rPr>
          <w:lang w:val="sr-Latn-BA"/>
        </w:rPr>
        <w:t xml:space="preserve"> </w:t>
      </w:r>
      <w:r w:rsidRPr="001B53A8">
        <w:rPr>
          <w:lang w:val="sr-Latn-BA"/>
        </w:rPr>
        <w:t>ga</w:t>
      </w:r>
      <w:r w:rsidR="009628CE" w:rsidRPr="001B53A8">
        <w:rPr>
          <w:lang w:val="sr-Latn-BA"/>
        </w:rPr>
        <w:t xml:space="preserve"> </w:t>
      </w:r>
      <w:r w:rsidRPr="001B53A8">
        <w:rPr>
          <w:lang w:val="sr-Latn-BA"/>
        </w:rPr>
        <w:t>čine</w:t>
      </w:r>
      <w:r w:rsidR="009628CE" w:rsidRPr="001B53A8">
        <w:rPr>
          <w:lang w:val="sr-Latn-BA"/>
        </w:rPr>
        <w:t xml:space="preserve"> </w:t>
      </w:r>
      <w:r w:rsidRPr="001B53A8">
        <w:rPr>
          <w:lang w:val="sr-Latn-BA"/>
        </w:rPr>
        <w:t>dostojnim</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obavlјanje</w:t>
      </w:r>
      <w:r w:rsidR="009628CE" w:rsidRPr="001B53A8">
        <w:rPr>
          <w:lang w:val="sr-Latn-BA"/>
        </w:rPr>
        <w:t xml:space="preserve"> </w:t>
      </w:r>
      <w:r w:rsidRPr="001B53A8">
        <w:rPr>
          <w:lang w:val="sr-Latn-BA"/>
        </w:rPr>
        <w:t>ove</w:t>
      </w:r>
      <w:r w:rsidR="009628CE" w:rsidRPr="001B53A8">
        <w:rPr>
          <w:lang w:val="sr-Latn-BA"/>
        </w:rPr>
        <w:t xml:space="preserve"> </w:t>
      </w:r>
      <w:r w:rsidRPr="001B53A8">
        <w:rPr>
          <w:lang w:val="sr-Latn-BA"/>
        </w:rPr>
        <w:t>funkcije</w:t>
      </w:r>
      <w:r w:rsidR="009628CE" w:rsidRPr="001B53A8">
        <w:rPr>
          <w:lang w:val="sr-Latn-BA"/>
        </w:rPr>
        <w:t>.</w:t>
      </w:r>
    </w:p>
    <w:p w14:paraId="7BCECC7F" w14:textId="0EC07A99" w:rsidR="009628CE" w:rsidRPr="001B53A8" w:rsidRDefault="00003F34" w:rsidP="006B6E0C">
      <w:pPr>
        <w:spacing w:after="0" w:line="240" w:lineRule="auto"/>
        <w:ind w:firstLine="567"/>
        <w:rPr>
          <w:lang w:val="sr-Latn-BA"/>
        </w:rPr>
      </w:pPr>
      <w:r w:rsidRPr="001B53A8">
        <w:rPr>
          <w:lang w:val="sr-Latn-BA"/>
        </w:rPr>
        <w:t>Imajući</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vidu</w:t>
      </w:r>
      <w:r w:rsidR="009628CE" w:rsidRPr="001B53A8">
        <w:rPr>
          <w:lang w:val="sr-Latn-BA"/>
        </w:rPr>
        <w:t xml:space="preserve"> </w:t>
      </w:r>
      <w:r w:rsidRPr="001B53A8">
        <w:rPr>
          <w:lang w:val="sr-Latn-BA"/>
        </w:rPr>
        <w:t>ovlašćenja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odgovornosti</w:t>
      </w:r>
      <w:r w:rsidR="009628CE" w:rsidRPr="001B53A8">
        <w:rPr>
          <w:lang w:val="sr-Latn-BA"/>
        </w:rPr>
        <w:t xml:space="preserve"> </w:t>
      </w:r>
      <w:r w:rsidRPr="001B53A8">
        <w:rPr>
          <w:lang w:val="sr-Latn-BA"/>
        </w:rPr>
        <w:t>Komisije</w:t>
      </w:r>
      <w:r w:rsidR="009628CE" w:rsidRPr="001B53A8">
        <w:rPr>
          <w:lang w:val="sr-Latn-BA"/>
        </w:rPr>
        <w:t xml:space="preserve">, </w:t>
      </w:r>
      <w:r w:rsidRPr="001B53A8">
        <w:rPr>
          <w:lang w:val="sr-Latn-BA"/>
        </w:rPr>
        <w:t>kao</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potrebu</w:t>
      </w:r>
      <w:r w:rsidR="009628CE" w:rsidRPr="001B53A8">
        <w:rPr>
          <w:lang w:val="sr-Latn-BA"/>
        </w:rPr>
        <w:t xml:space="preserve"> </w:t>
      </w:r>
      <w:r w:rsidRPr="001B53A8">
        <w:rPr>
          <w:lang w:val="sr-Latn-BA"/>
        </w:rPr>
        <w:t>očuvanja</w:t>
      </w:r>
      <w:r w:rsidR="009628CE" w:rsidRPr="001B53A8">
        <w:rPr>
          <w:lang w:val="sr-Latn-BA"/>
        </w:rPr>
        <w:t xml:space="preserve"> </w:t>
      </w:r>
      <w:r w:rsidRPr="001B53A8">
        <w:rPr>
          <w:lang w:val="sr-Latn-BA"/>
        </w:rPr>
        <w:t>integriteta</w:t>
      </w:r>
      <w:r w:rsidR="009628CE" w:rsidRPr="001B53A8">
        <w:rPr>
          <w:lang w:val="sr-Latn-BA"/>
        </w:rPr>
        <w:t xml:space="preserve"> </w:t>
      </w:r>
      <w:r w:rsidRPr="001B53A8">
        <w:rPr>
          <w:lang w:val="sr-Latn-BA"/>
        </w:rPr>
        <w:t>svih</w:t>
      </w:r>
      <w:r w:rsidR="009628CE" w:rsidRPr="001B53A8">
        <w:rPr>
          <w:lang w:val="sr-Latn-BA"/>
        </w:rPr>
        <w:t xml:space="preserve"> </w:t>
      </w:r>
      <w:r w:rsidRPr="001B53A8">
        <w:rPr>
          <w:lang w:val="sr-Latn-BA"/>
        </w:rPr>
        <w:t>lica</w:t>
      </w:r>
      <w:r w:rsidR="009628CE" w:rsidRPr="001B53A8">
        <w:rPr>
          <w:lang w:val="sr-Latn-BA"/>
        </w:rPr>
        <w:t xml:space="preserve"> </w:t>
      </w:r>
      <w:r w:rsidRPr="001B53A8">
        <w:rPr>
          <w:lang w:val="sr-Latn-BA"/>
        </w:rPr>
        <w:t>zaposlenih</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Komisiji</w:t>
      </w:r>
      <w:r w:rsidR="009628CE" w:rsidRPr="001B53A8">
        <w:rPr>
          <w:lang w:val="sr-Latn-BA"/>
        </w:rPr>
        <w:t xml:space="preserve">, </w:t>
      </w:r>
      <w:r w:rsidRPr="001B53A8">
        <w:rPr>
          <w:lang w:val="sr-Latn-BA"/>
        </w:rPr>
        <w:t>Zakonom</w:t>
      </w:r>
      <w:r w:rsidR="009628CE" w:rsidRPr="001B53A8">
        <w:rPr>
          <w:lang w:val="sr-Latn-BA"/>
        </w:rPr>
        <w:t xml:space="preserve"> </w:t>
      </w:r>
      <w:r w:rsidRPr="001B53A8">
        <w:rPr>
          <w:lang w:val="sr-Latn-BA"/>
        </w:rPr>
        <w:t>o</w:t>
      </w:r>
      <w:r w:rsidR="009628CE" w:rsidRPr="001B53A8">
        <w:rPr>
          <w:lang w:val="sr-Latn-BA"/>
        </w:rPr>
        <w:t xml:space="preserve"> </w:t>
      </w:r>
      <w:r w:rsidRPr="001B53A8">
        <w:rPr>
          <w:lang w:val="sr-Latn-BA"/>
        </w:rPr>
        <w:t>tržištu</w:t>
      </w:r>
      <w:r w:rsidR="009628CE" w:rsidRPr="001B53A8">
        <w:rPr>
          <w:lang w:val="sr-Latn-BA"/>
        </w:rPr>
        <w:t xml:space="preserve"> </w:t>
      </w:r>
      <w:r w:rsidRPr="001B53A8">
        <w:rPr>
          <w:lang w:val="sr-Latn-BA"/>
        </w:rPr>
        <w:t>hartija</w:t>
      </w:r>
      <w:r w:rsidR="009628CE" w:rsidRPr="001B53A8">
        <w:rPr>
          <w:lang w:val="sr-Latn-BA"/>
        </w:rPr>
        <w:t xml:space="preserve"> </w:t>
      </w:r>
      <w:r w:rsidRPr="001B53A8">
        <w:rPr>
          <w:lang w:val="sr-Latn-BA"/>
        </w:rPr>
        <w:t>od</w:t>
      </w:r>
      <w:r w:rsidR="009628CE" w:rsidRPr="001B53A8">
        <w:rPr>
          <w:lang w:val="sr-Latn-BA"/>
        </w:rPr>
        <w:t xml:space="preserve"> </w:t>
      </w:r>
      <w:r w:rsidRPr="001B53A8">
        <w:rPr>
          <w:lang w:val="sr-Latn-BA"/>
        </w:rPr>
        <w:t>vrijednosti</w:t>
      </w:r>
      <w:r w:rsidR="009628CE" w:rsidRPr="001B53A8">
        <w:rPr>
          <w:lang w:val="sr-Latn-BA"/>
        </w:rPr>
        <w:t xml:space="preserve"> </w:t>
      </w:r>
      <w:r w:rsidRPr="001B53A8">
        <w:rPr>
          <w:lang w:val="sr-Latn-BA"/>
        </w:rPr>
        <w:t>je</w:t>
      </w:r>
      <w:r w:rsidR="009628CE" w:rsidRPr="001B53A8">
        <w:rPr>
          <w:lang w:val="sr-Latn-BA"/>
        </w:rPr>
        <w:t xml:space="preserve"> </w:t>
      </w:r>
      <w:r w:rsidRPr="001B53A8">
        <w:rPr>
          <w:lang w:val="sr-Latn-BA"/>
        </w:rPr>
        <w:t>regulisano</w:t>
      </w:r>
      <w:r w:rsidR="009628CE" w:rsidRPr="001B53A8">
        <w:rPr>
          <w:lang w:val="sr-Latn-BA"/>
        </w:rPr>
        <w:t xml:space="preserve"> </w:t>
      </w:r>
      <w:r w:rsidRPr="001B53A8">
        <w:rPr>
          <w:lang w:val="sr-Latn-BA"/>
        </w:rPr>
        <w:t>da</w:t>
      </w:r>
      <w:r w:rsidR="009628CE" w:rsidRPr="001B53A8">
        <w:rPr>
          <w:lang w:val="sr-Latn-BA"/>
        </w:rPr>
        <w:t xml:space="preserve"> </w:t>
      </w:r>
      <w:r w:rsidRPr="001B53A8">
        <w:rPr>
          <w:lang w:val="sr-Latn-BA"/>
        </w:rPr>
        <w:t>predsjednik</w:t>
      </w:r>
      <w:r w:rsidR="009628CE" w:rsidRPr="001B53A8">
        <w:rPr>
          <w:lang w:val="sr-Latn-BA"/>
        </w:rPr>
        <w:t xml:space="preserve">, </w:t>
      </w:r>
      <w:r w:rsidRPr="001B53A8">
        <w:rPr>
          <w:lang w:val="sr-Latn-BA"/>
        </w:rPr>
        <w:t>zamjenik</w:t>
      </w:r>
      <w:r w:rsidR="009628CE" w:rsidRPr="001B53A8">
        <w:rPr>
          <w:lang w:val="sr-Latn-BA"/>
        </w:rPr>
        <w:t xml:space="preserve"> </w:t>
      </w:r>
      <w:r w:rsidRPr="001B53A8">
        <w:rPr>
          <w:lang w:val="sr-Latn-BA"/>
        </w:rPr>
        <w:t>predsjednika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članovi</w:t>
      </w:r>
      <w:r w:rsidR="009628CE" w:rsidRPr="001B53A8">
        <w:rPr>
          <w:lang w:val="sr-Latn-BA"/>
        </w:rPr>
        <w:t xml:space="preserve"> </w:t>
      </w:r>
      <w:r w:rsidRPr="001B53A8">
        <w:rPr>
          <w:lang w:val="sr-Latn-BA"/>
        </w:rPr>
        <w:t>Komisije</w:t>
      </w:r>
      <w:r w:rsidR="009628CE" w:rsidRPr="001B53A8">
        <w:rPr>
          <w:lang w:val="sr-Latn-BA"/>
        </w:rPr>
        <w:t xml:space="preserve"> </w:t>
      </w:r>
      <w:r w:rsidRPr="001B53A8">
        <w:rPr>
          <w:lang w:val="sr-Latn-BA"/>
        </w:rPr>
        <w:t>ne</w:t>
      </w:r>
      <w:r w:rsidR="009628CE" w:rsidRPr="001B53A8">
        <w:rPr>
          <w:lang w:val="sr-Latn-BA"/>
        </w:rPr>
        <w:t xml:space="preserve"> </w:t>
      </w:r>
      <w:r w:rsidRPr="001B53A8">
        <w:rPr>
          <w:lang w:val="sr-Latn-BA"/>
        </w:rPr>
        <w:t>mogu</w:t>
      </w:r>
      <w:r w:rsidR="009628CE" w:rsidRPr="001B53A8">
        <w:rPr>
          <w:lang w:val="sr-Latn-BA"/>
        </w:rPr>
        <w:t xml:space="preserve">: </w:t>
      </w:r>
    </w:p>
    <w:p w14:paraId="4788289C" w14:textId="5A2AF052" w:rsidR="009628CE" w:rsidRPr="001B53A8" w:rsidRDefault="00003F34" w:rsidP="006B6E0C">
      <w:pPr>
        <w:tabs>
          <w:tab w:val="left" w:pos="851"/>
        </w:tabs>
        <w:spacing w:before="0" w:after="0" w:line="240" w:lineRule="auto"/>
        <w:ind w:left="851" w:hanging="284"/>
        <w:rPr>
          <w:lang w:val="sr-Latn-BA"/>
        </w:rPr>
      </w:pPr>
      <w:r w:rsidRPr="001B53A8">
        <w:rPr>
          <w:lang w:val="sr-Latn-BA"/>
        </w:rPr>
        <w:t>a</w:t>
      </w:r>
      <w:r w:rsidR="009628CE" w:rsidRPr="001B53A8">
        <w:rPr>
          <w:lang w:val="sr-Latn-BA"/>
        </w:rPr>
        <w:t>)</w:t>
      </w:r>
      <w:r w:rsidR="009628CE" w:rsidRPr="001B53A8">
        <w:rPr>
          <w:lang w:val="sr-Latn-BA"/>
        </w:rPr>
        <w:tab/>
      </w:r>
      <w:r w:rsidRPr="001B53A8">
        <w:rPr>
          <w:lang w:val="sr-Latn-BA"/>
        </w:rPr>
        <w:t>biti</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međusobnom</w:t>
      </w:r>
      <w:r w:rsidR="009628CE" w:rsidRPr="001B53A8">
        <w:rPr>
          <w:lang w:val="sr-Latn-BA"/>
        </w:rPr>
        <w:t xml:space="preserve"> </w:t>
      </w:r>
      <w:r w:rsidRPr="001B53A8">
        <w:rPr>
          <w:lang w:val="sr-Latn-BA"/>
        </w:rPr>
        <w:t>srodstvu</w:t>
      </w:r>
      <w:r w:rsidR="009628CE" w:rsidRPr="001B53A8">
        <w:rPr>
          <w:lang w:val="sr-Latn-BA"/>
        </w:rPr>
        <w:t xml:space="preserve"> </w:t>
      </w:r>
      <w:r w:rsidRPr="001B53A8">
        <w:rPr>
          <w:lang w:val="sr-Latn-BA"/>
        </w:rPr>
        <w:t>ili</w:t>
      </w:r>
      <w:r w:rsidR="009628CE" w:rsidRPr="001B53A8">
        <w:rPr>
          <w:lang w:val="sr-Latn-BA"/>
        </w:rPr>
        <w:t xml:space="preserve"> </w:t>
      </w:r>
      <w:r w:rsidRPr="001B53A8">
        <w:rPr>
          <w:lang w:val="sr-Latn-BA"/>
        </w:rPr>
        <w:t>braku</w:t>
      </w:r>
      <w:r w:rsidR="009628CE" w:rsidRPr="001B53A8">
        <w:rPr>
          <w:lang w:val="sr-Latn-BA"/>
        </w:rPr>
        <w:t>,</w:t>
      </w:r>
    </w:p>
    <w:p w14:paraId="4D8AC7E8" w14:textId="78DE5E10" w:rsidR="009628CE" w:rsidRPr="001B53A8" w:rsidRDefault="00003F34" w:rsidP="006B6E0C">
      <w:pPr>
        <w:tabs>
          <w:tab w:val="left" w:pos="851"/>
        </w:tabs>
        <w:spacing w:before="0" w:after="0" w:line="240" w:lineRule="auto"/>
        <w:ind w:left="851" w:hanging="284"/>
        <w:rPr>
          <w:lang w:val="sr-Latn-BA"/>
        </w:rPr>
      </w:pPr>
      <w:r w:rsidRPr="001B53A8">
        <w:rPr>
          <w:lang w:val="sr-Latn-BA"/>
        </w:rPr>
        <w:t>b</w:t>
      </w:r>
      <w:r w:rsidR="009628CE" w:rsidRPr="001B53A8">
        <w:rPr>
          <w:lang w:val="sr-Latn-BA"/>
        </w:rPr>
        <w:t>)</w:t>
      </w:r>
      <w:r w:rsidR="009628CE" w:rsidRPr="001B53A8">
        <w:rPr>
          <w:lang w:val="sr-Latn-BA"/>
        </w:rPr>
        <w:tab/>
      </w:r>
      <w:r w:rsidRPr="001B53A8">
        <w:rPr>
          <w:lang w:val="sr-Latn-BA"/>
        </w:rPr>
        <w:t>biti</w:t>
      </w:r>
      <w:r w:rsidR="009628CE" w:rsidRPr="001B53A8">
        <w:rPr>
          <w:lang w:val="sr-Latn-BA"/>
        </w:rPr>
        <w:t xml:space="preserve"> </w:t>
      </w:r>
      <w:r w:rsidRPr="001B53A8">
        <w:rPr>
          <w:lang w:val="sr-Latn-BA"/>
        </w:rPr>
        <w:t>lica</w:t>
      </w:r>
      <w:r w:rsidR="009628CE" w:rsidRPr="001B53A8">
        <w:rPr>
          <w:lang w:val="sr-Latn-BA"/>
        </w:rPr>
        <w:t xml:space="preserve"> </w:t>
      </w:r>
      <w:r w:rsidRPr="001B53A8">
        <w:rPr>
          <w:lang w:val="sr-Latn-BA"/>
        </w:rPr>
        <w:t>koja</w:t>
      </w:r>
      <w:r w:rsidR="009628CE" w:rsidRPr="001B53A8">
        <w:rPr>
          <w:lang w:val="sr-Latn-BA"/>
        </w:rPr>
        <w:t xml:space="preserve"> </w:t>
      </w:r>
      <w:r w:rsidRPr="001B53A8">
        <w:rPr>
          <w:lang w:val="sr-Latn-BA"/>
        </w:rPr>
        <w:t>su</w:t>
      </w:r>
      <w:r w:rsidR="009628CE" w:rsidRPr="001B53A8">
        <w:rPr>
          <w:lang w:val="sr-Latn-BA"/>
        </w:rPr>
        <w:t xml:space="preserve"> </w:t>
      </w:r>
      <w:r w:rsidRPr="001B53A8">
        <w:rPr>
          <w:lang w:val="sr-Latn-BA"/>
        </w:rPr>
        <w:t>kažnjavana</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djela</w:t>
      </w:r>
      <w:r w:rsidR="009628CE" w:rsidRPr="001B53A8">
        <w:rPr>
          <w:lang w:val="sr-Latn-BA"/>
        </w:rPr>
        <w:t xml:space="preserve"> </w:t>
      </w:r>
      <w:r w:rsidRPr="001B53A8">
        <w:rPr>
          <w:lang w:val="sr-Latn-BA"/>
        </w:rPr>
        <w:t>koja</w:t>
      </w:r>
      <w:r w:rsidR="009628CE" w:rsidRPr="001B53A8">
        <w:rPr>
          <w:lang w:val="sr-Latn-BA"/>
        </w:rPr>
        <w:t xml:space="preserve"> </w:t>
      </w:r>
      <w:r w:rsidRPr="001B53A8">
        <w:rPr>
          <w:lang w:val="sr-Latn-BA"/>
        </w:rPr>
        <w:t>su</w:t>
      </w:r>
      <w:r w:rsidR="009628CE" w:rsidRPr="001B53A8">
        <w:rPr>
          <w:lang w:val="sr-Latn-BA"/>
        </w:rPr>
        <w:t xml:space="preserve"> </w:t>
      </w:r>
      <w:r w:rsidRPr="001B53A8">
        <w:rPr>
          <w:lang w:val="sr-Latn-BA"/>
        </w:rPr>
        <w:t>nespojiva</w:t>
      </w:r>
      <w:r w:rsidR="009628CE" w:rsidRPr="001B53A8">
        <w:rPr>
          <w:lang w:val="sr-Latn-BA"/>
        </w:rPr>
        <w:t xml:space="preserve"> </w:t>
      </w:r>
      <w:r w:rsidRPr="001B53A8">
        <w:rPr>
          <w:lang w:val="sr-Latn-BA"/>
        </w:rPr>
        <w:t>sa</w:t>
      </w:r>
      <w:r w:rsidR="009628CE" w:rsidRPr="001B53A8">
        <w:rPr>
          <w:lang w:val="sr-Latn-BA"/>
        </w:rPr>
        <w:t xml:space="preserve"> </w:t>
      </w:r>
      <w:r w:rsidRPr="001B53A8">
        <w:rPr>
          <w:lang w:val="sr-Latn-BA"/>
        </w:rPr>
        <w:t>radom</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Komisiji</w:t>
      </w:r>
      <w:r w:rsidR="009628CE" w:rsidRPr="001B53A8">
        <w:rPr>
          <w:lang w:val="sr-Latn-BA"/>
        </w:rPr>
        <w:t>,</w:t>
      </w:r>
    </w:p>
    <w:p w14:paraId="6023E3F3" w14:textId="74C0C28C" w:rsidR="009628CE" w:rsidRPr="001B53A8" w:rsidRDefault="00003F34" w:rsidP="006B6E0C">
      <w:pPr>
        <w:tabs>
          <w:tab w:val="left" w:pos="851"/>
        </w:tabs>
        <w:spacing w:before="0" w:after="0" w:line="240" w:lineRule="auto"/>
        <w:ind w:left="851" w:hanging="284"/>
        <w:rPr>
          <w:lang w:val="sr-Latn-BA"/>
        </w:rPr>
      </w:pPr>
      <w:r w:rsidRPr="001B53A8">
        <w:rPr>
          <w:lang w:val="sr-Latn-BA"/>
        </w:rPr>
        <w:t>v</w:t>
      </w:r>
      <w:r w:rsidR="009628CE" w:rsidRPr="001B53A8">
        <w:rPr>
          <w:lang w:val="sr-Latn-BA"/>
        </w:rPr>
        <w:t>)</w:t>
      </w:r>
      <w:r w:rsidR="009628CE" w:rsidRPr="001B53A8">
        <w:rPr>
          <w:lang w:val="sr-Latn-BA"/>
        </w:rPr>
        <w:tab/>
      </w:r>
      <w:r w:rsidRPr="001B53A8">
        <w:rPr>
          <w:lang w:val="sr-Latn-BA"/>
        </w:rPr>
        <w:t>obavlјati</w:t>
      </w:r>
      <w:r w:rsidR="009628CE" w:rsidRPr="001B53A8">
        <w:rPr>
          <w:lang w:val="sr-Latn-BA"/>
        </w:rPr>
        <w:t xml:space="preserve"> </w:t>
      </w:r>
      <w:r w:rsidRPr="001B53A8">
        <w:rPr>
          <w:lang w:val="sr-Latn-BA"/>
        </w:rPr>
        <w:t>dužnost</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političkoj</w:t>
      </w:r>
      <w:r w:rsidR="009628CE" w:rsidRPr="001B53A8">
        <w:rPr>
          <w:lang w:val="sr-Latn-BA"/>
        </w:rPr>
        <w:t xml:space="preserve"> </w:t>
      </w:r>
      <w:r w:rsidRPr="001B53A8">
        <w:rPr>
          <w:lang w:val="sr-Latn-BA"/>
        </w:rPr>
        <w:t>stranci</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učestvovati</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političkim</w:t>
      </w:r>
      <w:r w:rsidR="009628CE" w:rsidRPr="001B53A8">
        <w:rPr>
          <w:lang w:val="sr-Latn-BA"/>
        </w:rPr>
        <w:t xml:space="preserve"> </w:t>
      </w:r>
      <w:r w:rsidRPr="001B53A8">
        <w:rPr>
          <w:lang w:val="sr-Latn-BA"/>
        </w:rPr>
        <w:t>aktivnostima</w:t>
      </w:r>
      <w:r w:rsidR="009628CE" w:rsidRPr="001B53A8">
        <w:rPr>
          <w:lang w:val="sr-Latn-BA"/>
        </w:rPr>
        <w:t xml:space="preserve"> </w:t>
      </w:r>
      <w:r w:rsidRPr="001B53A8">
        <w:rPr>
          <w:lang w:val="sr-Latn-BA"/>
        </w:rPr>
        <w:t>koje</w:t>
      </w:r>
      <w:r w:rsidR="009628CE" w:rsidRPr="001B53A8">
        <w:rPr>
          <w:lang w:val="sr-Latn-BA"/>
        </w:rPr>
        <w:t xml:space="preserve"> </w:t>
      </w:r>
      <w:r w:rsidRPr="001B53A8">
        <w:rPr>
          <w:lang w:val="sr-Latn-BA"/>
        </w:rPr>
        <w:t>su</w:t>
      </w:r>
      <w:r w:rsidR="009628CE" w:rsidRPr="001B53A8">
        <w:rPr>
          <w:lang w:val="sr-Latn-BA"/>
        </w:rPr>
        <w:t xml:space="preserve"> </w:t>
      </w:r>
      <w:r w:rsidRPr="001B53A8">
        <w:rPr>
          <w:lang w:val="sr-Latn-BA"/>
        </w:rPr>
        <w:t>nespojive</w:t>
      </w:r>
      <w:r w:rsidR="009628CE" w:rsidRPr="001B53A8">
        <w:rPr>
          <w:lang w:val="sr-Latn-BA"/>
        </w:rPr>
        <w:t xml:space="preserve"> </w:t>
      </w:r>
      <w:r w:rsidRPr="001B53A8">
        <w:rPr>
          <w:lang w:val="sr-Latn-BA"/>
        </w:rPr>
        <w:t>sa</w:t>
      </w:r>
      <w:r w:rsidR="009628CE" w:rsidRPr="001B53A8">
        <w:rPr>
          <w:lang w:val="sr-Latn-BA"/>
        </w:rPr>
        <w:t xml:space="preserve"> </w:t>
      </w:r>
      <w:r w:rsidRPr="001B53A8">
        <w:rPr>
          <w:lang w:val="sr-Latn-BA"/>
        </w:rPr>
        <w:t>radom</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Komisiji</w:t>
      </w:r>
      <w:r w:rsidR="009628CE" w:rsidRPr="001B53A8">
        <w:rPr>
          <w:lang w:val="sr-Latn-BA"/>
        </w:rPr>
        <w:t>,</w:t>
      </w:r>
    </w:p>
    <w:p w14:paraId="5BECC4DB" w14:textId="02B1D55F" w:rsidR="009628CE" w:rsidRPr="001B53A8" w:rsidRDefault="00003F34" w:rsidP="006B6E0C">
      <w:pPr>
        <w:tabs>
          <w:tab w:val="left" w:pos="851"/>
        </w:tabs>
        <w:spacing w:before="0" w:after="0" w:line="240" w:lineRule="auto"/>
        <w:ind w:left="851" w:hanging="284"/>
        <w:rPr>
          <w:lang w:val="sr-Latn-BA"/>
        </w:rPr>
      </w:pPr>
      <w:r w:rsidRPr="001B53A8">
        <w:rPr>
          <w:lang w:val="sr-Latn-BA"/>
        </w:rPr>
        <w:t>g</w:t>
      </w:r>
      <w:r w:rsidR="009628CE" w:rsidRPr="001B53A8">
        <w:rPr>
          <w:lang w:val="sr-Latn-BA"/>
        </w:rPr>
        <w:t>)</w:t>
      </w:r>
      <w:r w:rsidR="009628CE" w:rsidRPr="001B53A8">
        <w:rPr>
          <w:lang w:val="sr-Latn-BA"/>
        </w:rPr>
        <w:tab/>
      </w:r>
      <w:r w:rsidRPr="001B53A8">
        <w:rPr>
          <w:lang w:val="sr-Latn-BA"/>
        </w:rPr>
        <w:t>posjedovati</w:t>
      </w:r>
      <w:r w:rsidR="009628CE" w:rsidRPr="001B53A8">
        <w:rPr>
          <w:lang w:val="sr-Latn-BA"/>
        </w:rPr>
        <w:t xml:space="preserve">, </w:t>
      </w:r>
      <w:r w:rsidRPr="001B53A8">
        <w:rPr>
          <w:lang w:val="sr-Latn-BA"/>
        </w:rPr>
        <w:t>direktno</w:t>
      </w:r>
      <w:r w:rsidR="009628CE" w:rsidRPr="001B53A8">
        <w:rPr>
          <w:lang w:val="sr-Latn-BA"/>
        </w:rPr>
        <w:t xml:space="preserve"> </w:t>
      </w:r>
      <w:r w:rsidRPr="001B53A8">
        <w:rPr>
          <w:lang w:val="sr-Latn-BA"/>
        </w:rPr>
        <w:t>ili</w:t>
      </w:r>
      <w:r w:rsidR="009628CE" w:rsidRPr="001B53A8">
        <w:rPr>
          <w:lang w:val="sr-Latn-BA"/>
        </w:rPr>
        <w:t xml:space="preserve"> </w:t>
      </w:r>
      <w:r w:rsidRPr="001B53A8">
        <w:rPr>
          <w:lang w:val="sr-Latn-BA"/>
        </w:rPr>
        <w:t>indirektno</w:t>
      </w:r>
      <w:r w:rsidR="009628CE" w:rsidRPr="001B53A8">
        <w:rPr>
          <w:lang w:val="sr-Latn-BA"/>
        </w:rPr>
        <w:t xml:space="preserve">, </w:t>
      </w:r>
      <w:r w:rsidRPr="001B53A8">
        <w:rPr>
          <w:lang w:val="sr-Latn-BA"/>
        </w:rPr>
        <w:t>udio</w:t>
      </w:r>
      <w:r w:rsidR="009628CE" w:rsidRPr="001B53A8">
        <w:rPr>
          <w:lang w:val="sr-Latn-BA"/>
        </w:rPr>
        <w:t xml:space="preserve"> </w:t>
      </w:r>
      <w:r w:rsidRPr="001B53A8">
        <w:rPr>
          <w:lang w:val="sr-Latn-BA"/>
        </w:rPr>
        <w:t>ili</w:t>
      </w:r>
      <w:r w:rsidR="009628CE" w:rsidRPr="001B53A8">
        <w:rPr>
          <w:lang w:val="sr-Latn-BA"/>
        </w:rPr>
        <w:t xml:space="preserve"> </w:t>
      </w:r>
      <w:r w:rsidRPr="001B53A8">
        <w:rPr>
          <w:lang w:val="sr-Latn-BA"/>
        </w:rPr>
        <w:t>akcije</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kapitalu</w:t>
      </w:r>
      <w:r w:rsidR="009628CE" w:rsidRPr="001B53A8">
        <w:rPr>
          <w:lang w:val="sr-Latn-BA"/>
        </w:rPr>
        <w:t xml:space="preserve"> </w:t>
      </w:r>
      <w:r w:rsidRPr="001B53A8">
        <w:rPr>
          <w:lang w:val="sr-Latn-BA"/>
        </w:rPr>
        <w:t>pravnih</w:t>
      </w:r>
      <w:r w:rsidR="009628CE" w:rsidRPr="001B53A8">
        <w:rPr>
          <w:lang w:val="sr-Latn-BA"/>
        </w:rPr>
        <w:t xml:space="preserve"> </w:t>
      </w:r>
      <w:r w:rsidRPr="001B53A8">
        <w:rPr>
          <w:lang w:val="sr-Latn-BA"/>
        </w:rPr>
        <w:t>lica</w:t>
      </w:r>
      <w:r w:rsidR="009628CE" w:rsidRPr="001B53A8">
        <w:rPr>
          <w:lang w:val="sr-Latn-BA"/>
        </w:rPr>
        <w:t xml:space="preserve">, </w:t>
      </w:r>
      <w:r w:rsidRPr="001B53A8">
        <w:rPr>
          <w:lang w:val="sr-Latn-BA"/>
        </w:rPr>
        <w:t>kojima</w:t>
      </w:r>
      <w:r w:rsidR="009628CE" w:rsidRPr="001B53A8">
        <w:rPr>
          <w:lang w:val="sr-Latn-BA"/>
        </w:rPr>
        <w:t xml:space="preserve"> </w:t>
      </w:r>
      <w:r w:rsidRPr="001B53A8">
        <w:rPr>
          <w:lang w:val="sr-Latn-BA"/>
        </w:rPr>
        <w:t>Komisija</w:t>
      </w:r>
      <w:r w:rsidR="009628CE" w:rsidRPr="001B53A8">
        <w:rPr>
          <w:lang w:val="sr-Latn-BA"/>
        </w:rPr>
        <w:t xml:space="preserve"> </w:t>
      </w:r>
      <w:r w:rsidRPr="001B53A8">
        <w:rPr>
          <w:lang w:val="sr-Latn-BA"/>
        </w:rPr>
        <w:t>daje</w:t>
      </w:r>
      <w:r w:rsidR="009628CE" w:rsidRPr="001B53A8">
        <w:rPr>
          <w:lang w:val="sr-Latn-BA"/>
        </w:rPr>
        <w:t xml:space="preserve"> </w:t>
      </w:r>
      <w:r w:rsidRPr="001B53A8">
        <w:rPr>
          <w:lang w:val="sr-Latn-BA"/>
        </w:rPr>
        <w:t>dozvolu</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obavlјanje</w:t>
      </w:r>
      <w:r w:rsidR="009628CE" w:rsidRPr="001B53A8">
        <w:rPr>
          <w:lang w:val="sr-Latn-BA"/>
        </w:rPr>
        <w:t xml:space="preserve"> </w:t>
      </w:r>
      <w:r w:rsidRPr="001B53A8">
        <w:rPr>
          <w:lang w:val="sr-Latn-BA"/>
        </w:rPr>
        <w:t>poslova</w:t>
      </w:r>
      <w:r w:rsidR="009628CE" w:rsidRPr="001B53A8">
        <w:rPr>
          <w:lang w:val="sr-Latn-BA"/>
        </w:rPr>
        <w:t>,</w:t>
      </w:r>
    </w:p>
    <w:p w14:paraId="2548EEC3" w14:textId="37789860" w:rsidR="009628CE" w:rsidRPr="001B53A8" w:rsidRDefault="00003F34" w:rsidP="006B6E0C">
      <w:pPr>
        <w:tabs>
          <w:tab w:val="left" w:pos="851"/>
        </w:tabs>
        <w:spacing w:before="0" w:after="0" w:line="240" w:lineRule="auto"/>
        <w:ind w:left="851" w:hanging="284"/>
        <w:rPr>
          <w:lang w:val="sr-Latn-BA"/>
        </w:rPr>
      </w:pPr>
      <w:r w:rsidRPr="001B53A8">
        <w:rPr>
          <w:lang w:val="sr-Latn-BA"/>
        </w:rPr>
        <w:t>d</w:t>
      </w:r>
      <w:r w:rsidR="009628CE" w:rsidRPr="001B53A8">
        <w:rPr>
          <w:lang w:val="sr-Latn-BA"/>
        </w:rPr>
        <w:t>)</w:t>
      </w:r>
      <w:r w:rsidR="009628CE" w:rsidRPr="001B53A8">
        <w:rPr>
          <w:lang w:val="sr-Latn-BA"/>
        </w:rPr>
        <w:tab/>
      </w:r>
      <w:r w:rsidRPr="001B53A8">
        <w:rPr>
          <w:lang w:val="sr-Latn-BA"/>
        </w:rPr>
        <w:t>biti</w:t>
      </w:r>
      <w:r w:rsidR="009628CE" w:rsidRPr="001B53A8">
        <w:rPr>
          <w:lang w:val="sr-Latn-BA"/>
        </w:rPr>
        <w:t xml:space="preserve"> </w:t>
      </w:r>
      <w:r w:rsidRPr="001B53A8">
        <w:rPr>
          <w:lang w:val="sr-Latn-BA"/>
        </w:rPr>
        <w:t>članovi</w:t>
      </w:r>
      <w:r w:rsidR="009628CE" w:rsidRPr="001B53A8">
        <w:rPr>
          <w:lang w:val="sr-Latn-BA"/>
        </w:rPr>
        <w:t xml:space="preserve"> </w:t>
      </w:r>
      <w:r w:rsidRPr="001B53A8">
        <w:rPr>
          <w:lang w:val="sr-Latn-BA"/>
        </w:rPr>
        <w:t>organa</w:t>
      </w:r>
      <w:r w:rsidR="009628CE" w:rsidRPr="001B53A8">
        <w:rPr>
          <w:lang w:val="sr-Latn-BA"/>
        </w:rPr>
        <w:t xml:space="preserve"> </w:t>
      </w:r>
      <w:r w:rsidRPr="001B53A8">
        <w:rPr>
          <w:lang w:val="sr-Latn-BA"/>
        </w:rPr>
        <w:t>pravnih</w:t>
      </w:r>
      <w:r w:rsidR="009628CE" w:rsidRPr="001B53A8">
        <w:rPr>
          <w:lang w:val="sr-Latn-BA"/>
        </w:rPr>
        <w:t xml:space="preserve"> </w:t>
      </w:r>
      <w:r w:rsidRPr="001B53A8">
        <w:rPr>
          <w:lang w:val="sr-Latn-BA"/>
        </w:rPr>
        <w:t>lica</w:t>
      </w:r>
      <w:r w:rsidR="009628CE" w:rsidRPr="001B53A8">
        <w:rPr>
          <w:lang w:val="sr-Latn-BA"/>
        </w:rPr>
        <w:t xml:space="preserve"> </w:t>
      </w:r>
      <w:r w:rsidRPr="001B53A8">
        <w:rPr>
          <w:lang w:val="sr-Latn-BA"/>
        </w:rPr>
        <w:t>kojima</w:t>
      </w:r>
      <w:r w:rsidR="009628CE" w:rsidRPr="001B53A8">
        <w:rPr>
          <w:lang w:val="sr-Latn-BA"/>
        </w:rPr>
        <w:t xml:space="preserve"> </w:t>
      </w:r>
      <w:r w:rsidRPr="001B53A8">
        <w:rPr>
          <w:lang w:val="sr-Latn-BA"/>
        </w:rPr>
        <w:t>Komisija</w:t>
      </w:r>
      <w:r w:rsidR="009628CE" w:rsidRPr="001B53A8">
        <w:rPr>
          <w:lang w:val="sr-Latn-BA"/>
        </w:rPr>
        <w:t xml:space="preserve"> </w:t>
      </w:r>
      <w:r w:rsidRPr="001B53A8">
        <w:rPr>
          <w:lang w:val="sr-Latn-BA"/>
        </w:rPr>
        <w:t>daje</w:t>
      </w:r>
      <w:r w:rsidR="009628CE" w:rsidRPr="001B53A8">
        <w:rPr>
          <w:lang w:val="sr-Latn-BA"/>
        </w:rPr>
        <w:t xml:space="preserve"> </w:t>
      </w:r>
      <w:r w:rsidRPr="001B53A8">
        <w:rPr>
          <w:lang w:val="sr-Latn-BA"/>
        </w:rPr>
        <w:t>dozvolu</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obavlјanje</w:t>
      </w:r>
      <w:r w:rsidR="009628CE" w:rsidRPr="001B53A8">
        <w:rPr>
          <w:lang w:val="sr-Latn-BA"/>
        </w:rPr>
        <w:t xml:space="preserve"> </w:t>
      </w:r>
      <w:r w:rsidRPr="001B53A8">
        <w:rPr>
          <w:lang w:val="sr-Latn-BA"/>
        </w:rPr>
        <w:t>poslova</w:t>
      </w:r>
      <w:r w:rsidR="009628CE" w:rsidRPr="001B53A8">
        <w:rPr>
          <w:lang w:val="sr-Latn-BA"/>
        </w:rPr>
        <w:t xml:space="preserve"> </w:t>
      </w:r>
      <w:r w:rsidRPr="001B53A8">
        <w:rPr>
          <w:lang w:val="sr-Latn-BA"/>
        </w:rPr>
        <w:t>ili</w:t>
      </w:r>
      <w:r w:rsidR="009628CE" w:rsidRPr="001B53A8">
        <w:rPr>
          <w:lang w:val="sr-Latn-BA"/>
        </w:rPr>
        <w:t xml:space="preserve"> </w:t>
      </w:r>
      <w:r w:rsidRPr="001B53A8">
        <w:rPr>
          <w:lang w:val="sr-Latn-BA"/>
        </w:rPr>
        <w:t>djelatnosti</w:t>
      </w:r>
      <w:r w:rsidR="009628CE" w:rsidRPr="001B53A8">
        <w:rPr>
          <w:lang w:val="sr-Latn-BA"/>
        </w:rPr>
        <w:t xml:space="preserve">, </w:t>
      </w:r>
      <w:r w:rsidRPr="001B53A8">
        <w:rPr>
          <w:lang w:val="sr-Latn-BA"/>
        </w:rPr>
        <w:t>kao</w:t>
      </w:r>
      <w:r w:rsidR="009628CE" w:rsidRPr="001B53A8">
        <w:rPr>
          <w:lang w:val="sr-Latn-BA"/>
        </w:rPr>
        <w:t xml:space="preserve"> </w:t>
      </w:r>
      <w:r w:rsidRPr="001B53A8">
        <w:rPr>
          <w:lang w:val="sr-Latn-BA"/>
        </w:rPr>
        <w:t>ni</w:t>
      </w:r>
      <w:r w:rsidR="009628CE" w:rsidRPr="001B53A8">
        <w:rPr>
          <w:lang w:val="sr-Latn-BA"/>
        </w:rPr>
        <w:t xml:space="preserve"> </w:t>
      </w:r>
      <w:r w:rsidRPr="001B53A8">
        <w:rPr>
          <w:lang w:val="sr-Latn-BA"/>
        </w:rPr>
        <w:t>emitenata</w:t>
      </w:r>
      <w:r w:rsidR="009628CE" w:rsidRPr="001B53A8">
        <w:rPr>
          <w:lang w:val="sr-Latn-BA"/>
        </w:rPr>
        <w:t xml:space="preserve"> </w:t>
      </w:r>
      <w:r w:rsidRPr="001B53A8">
        <w:rPr>
          <w:lang w:val="sr-Latn-BA"/>
        </w:rPr>
        <w:t>hartija</w:t>
      </w:r>
      <w:r w:rsidR="009628CE" w:rsidRPr="001B53A8">
        <w:rPr>
          <w:lang w:val="sr-Latn-BA"/>
        </w:rPr>
        <w:t xml:space="preserve"> </w:t>
      </w:r>
      <w:r w:rsidRPr="001B53A8">
        <w:rPr>
          <w:lang w:val="sr-Latn-BA"/>
        </w:rPr>
        <w:t>od</w:t>
      </w:r>
      <w:r w:rsidR="009628CE" w:rsidRPr="001B53A8">
        <w:rPr>
          <w:lang w:val="sr-Latn-BA"/>
        </w:rPr>
        <w:t xml:space="preserve"> </w:t>
      </w:r>
      <w:r w:rsidRPr="001B53A8">
        <w:rPr>
          <w:lang w:val="sr-Latn-BA"/>
        </w:rPr>
        <w:t>vrijednosti</w:t>
      </w:r>
      <w:r w:rsidR="009628CE" w:rsidRPr="001B53A8">
        <w:rPr>
          <w:lang w:val="sr-Latn-BA"/>
        </w:rPr>
        <w:t>,</w:t>
      </w:r>
    </w:p>
    <w:p w14:paraId="79FC6336" w14:textId="7440ED54" w:rsidR="009628CE" w:rsidRPr="001B53A8" w:rsidRDefault="00003F34" w:rsidP="006B6E0C">
      <w:pPr>
        <w:tabs>
          <w:tab w:val="left" w:pos="851"/>
        </w:tabs>
        <w:spacing w:before="0" w:after="0" w:line="240" w:lineRule="auto"/>
        <w:ind w:left="851" w:hanging="284"/>
        <w:rPr>
          <w:lang w:val="sr-Latn-BA"/>
        </w:rPr>
      </w:pPr>
      <w:r w:rsidRPr="001B53A8">
        <w:rPr>
          <w:lang w:val="sr-Latn-BA"/>
        </w:rPr>
        <w:t>đ</w:t>
      </w:r>
      <w:r w:rsidR="009628CE" w:rsidRPr="001B53A8">
        <w:rPr>
          <w:lang w:val="sr-Latn-BA"/>
        </w:rPr>
        <w:t>)</w:t>
      </w:r>
      <w:r w:rsidR="009628CE" w:rsidRPr="001B53A8">
        <w:rPr>
          <w:lang w:val="sr-Latn-BA"/>
        </w:rPr>
        <w:tab/>
      </w:r>
      <w:r w:rsidRPr="001B53A8">
        <w:rPr>
          <w:lang w:val="sr-Latn-BA"/>
        </w:rPr>
        <w:t>obavlјati</w:t>
      </w:r>
      <w:r w:rsidR="009628CE" w:rsidRPr="001B53A8">
        <w:rPr>
          <w:lang w:val="sr-Latn-BA"/>
        </w:rPr>
        <w:t xml:space="preserve"> </w:t>
      </w:r>
      <w:r w:rsidRPr="001B53A8">
        <w:rPr>
          <w:lang w:val="sr-Latn-BA"/>
        </w:rPr>
        <w:t>djelatnost</w:t>
      </w:r>
      <w:r w:rsidR="009628CE" w:rsidRPr="001B53A8">
        <w:rPr>
          <w:lang w:val="sr-Latn-BA"/>
        </w:rPr>
        <w:t xml:space="preserve"> </w:t>
      </w:r>
      <w:r w:rsidRPr="001B53A8">
        <w:rPr>
          <w:lang w:val="sr-Latn-BA"/>
        </w:rPr>
        <w:t>ili</w:t>
      </w:r>
      <w:r w:rsidR="009628CE" w:rsidRPr="001B53A8">
        <w:rPr>
          <w:lang w:val="sr-Latn-BA"/>
        </w:rPr>
        <w:t xml:space="preserve"> </w:t>
      </w:r>
      <w:r w:rsidRPr="001B53A8">
        <w:rPr>
          <w:lang w:val="sr-Latn-BA"/>
        </w:rPr>
        <w:t>provoditi</w:t>
      </w:r>
      <w:r w:rsidR="009628CE" w:rsidRPr="001B53A8">
        <w:rPr>
          <w:lang w:val="sr-Latn-BA"/>
        </w:rPr>
        <w:t xml:space="preserve"> </w:t>
      </w:r>
      <w:r w:rsidRPr="001B53A8">
        <w:rPr>
          <w:lang w:val="sr-Latn-BA"/>
        </w:rPr>
        <w:t>aktivnosti</w:t>
      </w:r>
      <w:r w:rsidR="009628CE" w:rsidRPr="001B53A8">
        <w:rPr>
          <w:lang w:val="sr-Latn-BA"/>
        </w:rPr>
        <w:t xml:space="preserve"> </w:t>
      </w:r>
      <w:r w:rsidRPr="001B53A8">
        <w:rPr>
          <w:lang w:val="sr-Latn-BA"/>
        </w:rPr>
        <w:t>koje</w:t>
      </w:r>
      <w:r w:rsidR="009628CE" w:rsidRPr="001B53A8">
        <w:rPr>
          <w:lang w:val="sr-Latn-BA"/>
        </w:rPr>
        <w:t xml:space="preserve"> </w:t>
      </w:r>
      <w:r w:rsidRPr="001B53A8">
        <w:rPr>
          <w:lang w:val="sr-Latn-BA"/>
        </w:rPr>
        <w:t>su</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suprotnosti</w:t>
      </w:r>
      <w:r w:rsidR="009628CE" w:rsidRPr="001B53A8">
        <w:rPr>
          <w:lang w:val="sr-Latn-BA"/>
        </w:rPr>
        <w:t xml:space="preserve"> </w:t>
      </w:r>
      <w:r w:rsidRPr="001B53A8">
        <w:rPr>
          <w:lang w:val="sr-Latn-BA"/>
        </w:rPr>
        <w:t>sa</w:t>
      </w:r>
      <w:r w:rsidR="009628CE" w:rsidRPr="001B53A8">
        <w:rPr>
          <w:lang w:val="sr-Latn-BA"/>
        </w:rPr>
        <w:t xml:space="preserve"> </w:t>
      </w:r>
      <w:r w:rsidRPr="001B53A8">
        <w:rPr>
          <w:lang w:val="sr-Latn-BA"/>
        </w:rPr>
        <w:t>načelima</w:t>
      </w:r>
      <w:r w:rsidR="009628CE" w:rsidRPr="001B53A8">
        <w:rPr>
          <w:lang w:val="sr-Latn-BA"/>
        </w:rPr>
        <w:t xml:space="preserve"> </w:t>
      </w:r>
      <w:r w:rsidRPr="001B53A8">
        <w:rPr>
          <w:lang w:val="sr-Latn-BA"/>
        </w:rPr>
        <w:t>zaštite</w:t>
      </w:r>
      <w:r w:rsidR="009628CE" w:rsidRPr="001B53A8">
        <w:rPr>
          <w:lang w:val="sr-Latn-BA"/>
        </w:rPr>
        <w:t xml:space="preserve"> </w:t>
      </w:r>
      <w:r w:rsidRPr="001B53A8">
        <w:rPr>
          <w:lang w:val="sr-Latn-BA"/>
        </w:rPr>
        <w:t>investitora</w:t>
      </w:r>
      <w:r w:rsidR="009628CE" w:rsidRPr="001B53A8">
        <w:rPr>
          <w:lang w:val="sr-Latn-BA"/>
        </w:rPr>
        <w:t xml:space="preserve"> </w:t>
      </w:r>
      <w:r w:rsidRPr="001B53A8">
        <w:rPr>
          <w:lang w:val="sr-Latn-BA"/>
        </w:rPr>
        <w:t>ili</w:t>
      </w:r>
      <w:r w:rsidR="009628CE" w:rsidRPr="001B53A8">
        <w:rPr>
          <w:lang w:val="sr-Latn-BA"/>
        </w:rPr>
        <w:t xml:space="preserve"> </w:t>
      </w:r>
      <w:r w:rsidRPr="001B53A8">
        <w:rPr>
          <w:lang w:val="sr-Latn-BA"/>
        </w:rPr>
        <w:t>samostalnosti</w:t>
      </w:r>
      <w:r w:rsidR="009628CE" w:rsidRPr="001B53A8">
        <w:rPr>
          <w:lang w:val="sr-Latn-BA"/>
        </w:rPr>
        <w:t xml:space="preserve"> </w:t>
      </w:r>
      <w:r w:rsidRPr="001B53A8">
        <w:rPr>
          <w:lang w:val="sr-Latn-BA"/>
        </w:rPr>
        <w:t>rada</w:t>
      </w:r>
      <w:r w:rsidR="009628CE" w:rsidRPr="001B53A8">
        <w:rPr>
          <w:lang w:val="sr-Latn-BA"/>
        </w:rPr>
        <w:t xml:space="preserve"> </w:t>
      </w:r>
      <w:r w:rsidRPr="001B53A8">
        <w:rPr>
          <w:lang w:val="sr-Latn-BA"/>
        </w:rPr>
        <w:t>Komisije</w:t>
      </w:r>
      <w:r w:rsidR="009628CE" w:rsidRPr="001B53A8">
        <w:rPr>
          <w:lang w:val="sr-Latn-BA"/>
        </w:rPr>
        <w:t>.</w:t>
      </w:r>
    </w:p>
    <w:p w14:paraId="62770D8B" w14:textId="67E0A159" w:rsidR="009628CE" w:rsidRPr="001B53A8" w:rsidRDefault="00003F34" w:rsidP="006B6E0C">
      <w:pPr>
        <w:spacing w:after="0" w:line="240" w:lineRule="auto"/>
        <w:ind w:firstLine="567"/>
        <w:rPr>
          <w:lang w:val="sr-Latn-BA"/>
        </w:rPr>
      </w:pPr>
      <w:r w:rsidRPr="001B53A8">
        <w:rPr>
          <w:lang w:val="sr-Latn-BA"/>
        </w:rPr>
        <w:t>Navedena</w:t>
      </w:r>
      <w:r w:rsidR="009628CE" w:rsidRPr="001B53A8">
        <w:rPr>
          <w:lang w:val="sr-Latn-BA"/>
        </w:rPr>
        <w:t xml:space="preserve"> </w:t>
      </w:r>
      <w:r w:rsidRPr="001B53A8">
        <w:rPr>
          <w:lang w:val="sr-Latn-BA"/>
        </w:rPr>
        <w:t>ograničenja</w:t>
      </w:r>
      <w:r w:rsidR="009628CE" w:rsidRPr="001B53A8">
        <w:rPr>
          <w:lang w:val="sr-Latn-BA"/>
        </w:rPr>
        <w:t xml:space="preserve"> </w:t>
      </w:r>
      <w:r w:rsidRPr="001B53A8">
        <w:rPr>
          <w:lang w:val="sr-Latn-BA"/>
        </w:rPr>
        <w:t>primjenjuju</w:t>
      </w:r>
      <w:r w:rsidR="009628CE" w:rsidRPr="001B53A8">
        <w:rPr>
          <w:lang w:val="sr-Latn-BA"/>
        </w:rPr>
        <w:t xml:space="preserve"> </w:t>
      </w:r>
      <w:r w:rsidRPr="001B53A8">
        <w:rPr>
          <w:lang w:val="sr-Latn-BA"/>
        </w:rPr>
        <w:t>se</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na</w:t>
      </w:r>
      <w:r w:rsidR="009628CE" w:rsidRPr="001B53A8">
        <w:rPr>
          <w:lang w:val="sr-Latn-BA"/>
        </w:rPr>
        <w:t xml:space="preserve"> </w:t>
      </w:r>
      <w:r w:rsidRPr="001B53A8">
        <w:rPr>
          <w:lang w:val="sr-Latn-BA"/>
        </w:rPr>
        <w:t>zaposlene</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Komisiji</w:t>
      </w:r>
      <w:r w:rsidR="009628CE" w:rsidRPr="001B53A8">
        <w:rPr>
          <w:lang w:val="sr-Latn-BA"/>
        </w:rPr>
        <w:t xml:space="preserve">. </w:t>
      </w:r>
    </w:p>
    <w:p w14:paraId="0C4F8250" w14:textId="31836AFF" w:rsidR="009628CE" w:rsidRPr="001B53A8" w:rsidRDefault="00003F34" w:rsidP="006B6E0C">
      <w:pPr>
        <w:spacing w:after="0" w:line="240" w:lineRule="auto"/>
        <w:ind w:firstLine="567"/>
        <w:rPr>
          <w:lang w:val="sr-Latn-BA"/>
        </w:rPr>
      </w:pPr>
      <w:r w:rsidRPr="001B53A8">
        <w:rPr>
          <w:lang w:val="sr-Latn-BA"/>
        </w:rPr>
        <w:t>Pored</w:t>
      </w:r>
      <w:r w:rsidR="009628CE" w:rsidRPr="001B53A8">
        <w:rPr>
          <w:lang w:val="sr-Latn-BA"/>
        </w:rPr>
        <w:t xml:space="preserve"> </w:t>
      </w:r>
      <w:r w:rsidRPr="001B53A8">
        <w:rPr>
          <w:lang w:val="sr-Latn-BA"/>
        </w:rPr>
        <w:t>toga</w:t>
      </w:r>
      <w:r w:rsidR="009628CE" w:rsidRPr="001B53A8">
        <w:rPr>
          <w:lang w:val="sr-Latn-BA"/>
        </w:rPr>
        <w:t xml:space="preserve">, </w:t>
      </w:r>
      <w:r w:rsidRPr="001B53A8">
        <w:rPr>
          <w:lang w:val="sr-Latn-BA"/>
        </w:rPr>
        <w:t>posebnim</w:t>
      </w:r>
      <w:r w:rsidR="009628CE" w:rsidRPr="001B53A8">
        <w:rPr>
          <w:lang w:val="sr-Latn-BA"/>
        </w:rPr>
        <w:t xml:space="preserve"> </w:t>
      </w:r>
      <w:r w:rsidRPr="001B53A8">
        <w:rPr>
          <w:lang w:val="sr-Latn-BA"/>
        </w:rPr>
        <w:t>etičkim</w:t>
      </w:r>
      <w:r w:rsidR="009628CE" w:rsidRPr="001B53A8">
        <w:rPr>
          <w:lang w:val="sr-Latn-BA"/>
        </w:rPr>
        <w:t xml:space="preserve"> </w:t>
      </w:r>
      <w:r w:rsidRPr="001B53A8">
        <w:rPr>
          <w:lang w:val="sr-Latn-BA"/>
        </w:rPr>
        <w:t>pravilima</w:t>
      </w:r>
      <w:r w:rsidR="009628CE" w:rsidRPr="001B53A8">
        <w:rPr>
          <w:lang w:val="sr-Latn-BA"/>
        </w:rPr>
        <w:t xml:space="preserve"> </w:t>
      </w:r>
      <w:r w:rsidRPr="001B53A8">
        <w:rPr>
          <w:lang w:val="sr-Latn-BA"/>
        </w:rPr>
        <w:t>detalјno</w:t>
      </w:r>
      <w:r w:rsidR="009628CE" w:rsidRPr="001B53A8">
        <w:rPr>
          <w:lang w:val="sr-Latn-BA"/>
        </w:rPr>
        <w:t xml:space="preserve"> </w:t>
      </w:r>
      <w:r w:rsidRPr="001B53A8">
        <w:rPr>
          <w:lang w:val="sr-Latn-BA"/>
        </w:rPr>
        <w:t>su</w:t>
      </w:r>
      <w:r w:rsidR="009628CE" w:rsidRPr="001B53A8">
        <w:rPr>
          <w:lang w:val="sr-Latn-BA"/>
        </w:rPr>
        <w:t xml:space="preserve"> </w:t>
      </w:r>
      <w:r w:rsidRPr="001B53A8">
        <w:rPr>
          <w:lang w:val="sr-Latn-BA"/>
        </w:rPr>
        <w:t>uređene</w:t>
      </w:r>
      <w:r w:rsidR="009628CE" w:rsidRPr="001B53A8">
        <w:rPr>
          <w:lang w:val="sr-Latn-BA"/>
        </w:rPr>
        <w:t xml:space="preserve"> </w:t>
      </w:r>
      <w:r w:rsidRPr="001B53A8">
        <w:rPr>
          <w:lang w:val="sr-Latn-BA"/>
        </w:rPr>
        <w:t>sve</w:t>
      </w:r>
      <w:r w:rsidR="009628CE" w:rsidRPr="001B53A8">
        <w:rPr>
          <w:lang w:val="sr-Latn-BA"/>
        </w:rPr>
        <w:t xml:space="preserve"> </w:t>
      </w:r>
      <w:r w:rsidRPr="001B53A8">
        <w:rPr>
          <w:lang w:val="sr-Latn-BA"/>
        </w:rPr>
        <w:t>obaveze</w:t>
      </w:r>
      <w:r w:rsidR="009628CE" w:rsidRPr="001B53A8">
        <w:rPr>
          <w:lang w:val="sr-Latn-BA"/>
        </w:rPr>
        <w:t xml:space="preserve">, </w:t>
      </w:r>
      <w:r w:rsidRPr="001B53A8">
        <w:rPr>
          <w:lang w:val="sr-Latn-BA"/>
        </w:rPr>
        <w:t>ograničenja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odgovornosti</w:t>
      </w:r>
      <w:r w:rsidR="009628CE" w:rsidRPr="001B53A8">
        <w:rPr>
          <w:lang w:val="sr-Latn-BA"/>
        </w:rPr>
        <w:t xml:space="preserve"> </w:t>
      </w:r>
      <w:r w:rsidRPr="001B53A8">
        <w:rPr>
          <w:lang w:val="sr-Latn-BA"/>
        </w:rPr>
        <w:t>članova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zaposlenih</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Komisiji</w:t>
      </w:r>
      <w:r w:rsidR="009628CE" w:rsidRPr="001B53A8">
        <w:rPr>
          <w:lang w:val="sr-Latn-BA"/>
        </w:rPr>
        <w:t xml:space="preserve">, </w:t>
      </w:r>
      <w:r w:rsidRPr="001B53A8">
        <w:rPr>
          <w:lang w:val="sr-Latn-BA"/>
        </w:rPr>
        <w:t>a</w:t>
      </w:r>
      <w:r w:rsidR="009628CE" w:rsidRPr="001B53A8">
        <w:rPr>
          <w:lang w:val="sr-Latn-BA"/>
        </w:rPr>
        <w:t xml:space="preserve"> </w:t>
      </w:r>
      <w:r w:rsidRPr="001B53A8">
        <w:rPr>
          <w:lang w:val="sr-Latn-BA"/>
        </w:rPr>
        <w:t>s</w:t>
      </w:r>
      <w:r w:rsidR="009628CE" w:rsidRPr="001B53A8">
        <w:rPr>
          <w:lang w:val="sr-Latn-BA"/>
        </w:rPr>
        <w:t xml:space="preserve"> </w:t>
      </w:r>
      <w:r w:rsidRPr="001B53A8">
        <w:rPr>
          <w:lang w:val="sr-Latn-BA"/>
        </w:rPr>
        <w:t>cilјem</w:t>
      </w:r>
      <w:r w:rsidR="009628CE" w:rsidRPr="001B53A8">
        <w:rPr>
          <w:lang w:val="sr-Latn-BA"/>
        </w:rPr>
        <w:t xml:space="preserve"> </w:t>
      </w:r>
      <w:r w:rsidRPr="001B53A8">
        <w:rPr>
          <w:lang w:val="sr-Latn-BA"/>
        </w:rPr>
        <w:t>postizanja</w:t>
      </w:r>
      <w:r w:rsidR="009628CE" w:rsidRPr="001B53A8">
        <w:rPr>
          <w:lang w:val="sr-Latn-BA"/>
        </w:rPr>
        <w:t xml:space="preserve"> </w:t>
      </w:r>
      <w:r w:rsidRPr="001B53A8">
        <w:rPr>
          <w:lang w:val="sr-Latn-BA"/>
        </w:rPr>
        <w:t>što</w:t>
      </w:r>
      <w:r w:rsidR="009628CE" w:rsidRPr="001B53A8">
        <w:rPr>
          <w:lang w:val="sr-Latn-BA"/>
        </w:rPr>
        <w:t xml:space="preserve"> </w:t>
      </w:r>
      <w:r w:rsidRPr="001B53A8">
        <w:rPr>
          <w:lang w:val="sr-Latn-BA"/>
        </w:rPr>
        <w:t>većeg</w:t>
      </w:r>
      <w:r w:rsidR="009628CE" w:rsidRPr="001B53A8">
        <w:rPr>
          <w:lang w:val="sr-Latn-BA"/>
        </w:rPr>
        <w:t xml:space="preserve"> </w:t>
      </w:r>
      <w:r w:rsidRPr="001B53A8">
        <w:rPr>
          <w:lang w:val="sr-Latn-BA"/>
        </w:rPr>
        <w:t>stepena</w:t>
      </w:r>
      <w:r w:rsidR="009628CE" w:rsidRPr="001B53A8">
        <w:rPr>
          <w:lang w:val="sr-Latn-BA"/>
        </w:rPr>
        <w:t xml:space="preserve"> </w:t>
      </w:r>
      <w:r w:rsidRPr="001B53A8">
        <w:rPr>
          <w:lang w:val="sr-Latn-BA"/>
        </w:rPr>
        <w:t>povjerenja</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tržište</w:t>
      </w:r>
      <w:r w:rsidR="009628CE" w:rsidRPr="001B53A8">
        <w:rPr>
          <w:lang w:val="sr-Latn-BA"/>
        </w:rPr>
        <w:t xml:space="preserve"> </w:t>
      </w:r>
      <w:r w:rsidRPr="001B53A8">
        <w:rPr>
          <w:lang w:val="sr-Latn-BA"/>
        </w:rPr>
        <w:t>hartija</w:t>
      </w:r>
      <w:r w:rsidR="009628CE" w:rsidRPr="001B53A8">
        <w:rPr>
          <w:lang w:val="sr-Latn-BA"/>
        </w:rPr>
        <w:t xml:space="preserve"> </w:t>
      </w:r>
      <w:r w:rsidRPr="001B53A8">
        <w:rPr>
          <w:lang w:val="sr-Latn-BA"/>
        </w:rPr>
        <w:t>od</w:t>
      </w:r>
      <w:r w:rsidR="009628CE" w:rsidRPr="001B53A8">
        <w:rPr>
          <w:lang w:val="sr-Latn-BA"/>
        </w:rPr>
        <w:t xml:space="preserve"> </w:t>
      </w:r>
      <w:r w:rsidRPr="001B53A8">
        <w:rPr>
          <w:lang w:val="sr-Latn-BA"/>
        </w:rPr>
        <w:t>vrijednosti</w:t>
      </w:r>
      <w:r w:rsidR="009628CE" w:rsidRPr="001B53A8">
        <w:rPr>
          <w:lang w:val="sr-Latn-BA"/>
        </w:rPr>
        <w:t>.</w:t>
      </w:r>
    </w:p>
    <w:p w14:paraId="17AA22C0" w14:textId="70FA057A" w:rsidR="009628CE" w:rsidRPr="001B53A8" w:rsidRDefault="00003F34" w:rsidP="006B6E0C">
      <w:pPr>
        <w:pStyle w:val="Heading2"/>
        <w:spacing w:before="240" w:after="0" w:line="240" w:lineRule="auto"/>
        <w:ind w:left="578" w:hanging="578"/>
        <w:rPr>
          <w:rFonts w:ascii="Times New Roman" w:hAnsi="Times New Roman"/>
          <w:sz w:val="24"/>
          <w:lang w:val="sr-Latn-BA"/>
        </w:rPr>
      </w:pPr>
      <w:bookmarkStart w:id="13" w:name="_Toc194970090"/>
      <w:bookmarkStart w:id="14" w:name="_Toc194970121"/>
      <w:bookmarkStart w:id="15" w:name="_Toc321408887"/>
      <w:bookmarkStart w:id="16" w:name="_Toc167962106"/>
      <w:r w:rsidRPr="001B53A8">
        <w:rPr>
          <w:rFonts w:ascii="Times New Roman" w:hAnsi="Times New Roman"/>
          <w:sz w:val="24"/>
          <w:lang w:val="sr-Latn-BA"/>
        </w:rPr>
        <w:t>Organizaciona</w:t>
      </w:r>
      <w:r w:rsidR="009628CE" w:rsidRPr="001B53A8">
        <w:rPr>
          <w:rFonts w:ascii="Times New Roman" w:hAnsi="Times New Roman"/>
          <w:sz w:val="24"/>
          <w:lang w:val="sr-Latn-BA"/>
        </w:rPr>
        <w:t xml:space="preserve"> </w:t>
      </w:r>
      <w:r w:rsidRPr="001B53A8">
        <w:rPr>
          <w:rFonts w:ascii="Times New Roman" w:hAnsi="Times New Roman"/>
          <w:sz w:val="24"/>
          <w:lang w:val="sr-Latn-BA"/>
        </w:rPr>
        <w:t>struktura</w:t>
      </w:r>
      <w:r w:rsidR="009628CE" w:rsidRPr="001B53A8">
        <w:rPr>
          <w:rFonts w:ascii="Times New Roman" w:hAnsi="Times New Roman"/>
          <w:sz w:val="24"/>
          <w:lang w:val="sr-Latn-BA"/>
        </w:rPr>
        <w:t xml:space="preserve"> </w:t>
      </w:r>
      <w:r w:rsidRPr="001B53A8">
        <w:rPr>
          <w:rFonts w:ascii="Times New Roman" w:hAnsi="Times New Roman"/>
          <w:sz w:val="24"/>
          <w:lang w:val="sr-Latn-BA"/>
        </w:rPr>
        <w:t>Komisije</w:t>
      </w:r>
      <w:bookmarkEnd w:id="13"/>
      <w:bookmarkEnd w:id="14"/>
      <w:bookmarkEnd w:id="15"/>
      <w:bookmarkEnd w:id="16"/>
    </w:p>
    <w:p w14:paraId="7503DE03" w14:textId="0CEF1ED3" w:rsidR="009628CE" w:rsidRPr="001B53A8" w:rsidRDefault="00003F34" w:rsidP="006B6E0C">
      <w:pPr>
        <w:spacing w:after="0" w:line="240" w:lineRule="auto"/>
        <w:ind w:firstLine="567"/>
        <w:rPr>
          <w:lang w:val="sr-Latn-BA"/>
        </w:rPr>
      </w:pPr>
      <w:r w:rsidRPr="001B53A8">
        <w:rPr>
          <w:lang w:val="sr-Latn-BA"/>
        </w:rPr>
        <w:t>Sa</w:t>
      </w:r>
      <w:r w:rsidR="009628CE" w:rsidRPr="001B53A8">
        <w:rPr>
          <w:lang w:val="sr-Latn-BA"/>
        </w:rPr>
        <w:t xml:space="preserve"> </w:t>
      </w:r>
      <w:r w:rsidRPr="001B53A8">
        <w:rPr>
          <w:lang w:val="sr-Latn-BA"/>
        </w:rPr>
        <w:t>stanovišta</w:t>
      </w:r>
      <w:r w:rsidR="009628CE" w:rsidRPr="001B53A8">
        <w:rPr>
          <w:lang w:val="sr-Latn-BA"/>
        </w:rPr>
        <w:t xml:space="preserve"> </w:t>
      </w:r>
      <w:r w:rsidRPr="001B53A8">
        <w:rPr>
          <w:lang w:val="sr-Latn-BA"/>
        </w:rPr>
        <w:t>organizacione</w:t>
      </w:r>
      <w:r w:rsidR="009628CE" w:rsidRPr="001B53A8">
        <w:rPr>
          <w:lang w:val="sr-Latn-BA"/>
        </w:rPr>
        <w:t xml:space="preserve"> </w:t>
      </w:r>
      <w:r w:rsidRPr="001B53A8">
        <w:rPr>
          <w:lang w:val="sr-Latn-BA"/>
        </w:rPr>
        <w:t>strukture</w:t>
      </w:r>
      <w:r w:rsidR="009628CE" w:rsidRPr="001B53A8">
        <w:rPr>
          <w:lang w:val="sr-Latn-BA"/>
        </w:rPr>
        <w:t xml:space="preserve">, </w:t>
      </w:r>
      <w:r w:rsidRPr="001B53A8">
        <w:rPr>
          <w:lang w:val="sr-Latn-BA"/>
        </w:rPr>
        <w:t>Komisiju</w:t>
      </w:r>
      <w:r w:rsidR="009628CE" w:rsidRPr="001B53A8">
        <w:rPr>
          <w:lang w:val="sr-Latn-BA"/>
        </w:rPr>
        <w:t xml:space="preserve"> </w:t>
      </w:r>
      <w:r w:rsidRPr="001B53A8">
        <w:rPr>
          <w:lang w:val="sr-Latn-BA"/>
        </w:rPr>
        <w:t>čine</w:t>
      </w:r>
      <w:r w:rsidR="009628CE" w:rsidRPr="001B53A8">
        <w:rPr>
          <w:lang w:val="sr-Latn-BA"/>
        </w:rPr>
        <w:t xml:space="preserve"> </w:t>
      </w:r>
      <w:r w:rsidRPr="001B53A8">
        <w:rPr>
          <w:lang w:val="sr-Latn-BA"/>
        </w:rPr>
        <w:t>četiri</w:t>
      </w:r>
      <w:r w:rsidR="009628CE" w:rsidRPr="001B53A8">
        <w:rPr>
          <w:lang w:val="sr-Latn-BA"/>
        </w:rPr>
        <w:t xml:space="preserve"> </w:t>
      </w:r>
      <w:r w:rsidRPr="001B53A8">
        <w:rPr>
          <w:lang w:val="sr-Latn-BA"/>
        </w:rPr>
        <w:t>sektora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Sekretarijat</w:t>
      </w:r>
      <w:r w:rsidR="009628CE" w:rsidRPr="001B53A8">
        <w:rPr>
          <w:lang w:val="sr-Latn-BA"/>
        </w:rPr>
        <w:t>.</w:t>
      </w:r>
    </w:p>
    <w:p w14:paraId="3069171F" w14:textId="32D2615E" w:rsidR="009628CE" w:rsidRPr="001B53A8" w:rsidRDefault="0086773C" w:rsidP="006B6E0C">
      <w:pPr>
        <w:keepNext/>
        <w:spacing w:before="0" w:after="0" w:line="240" w:lineRule="auto"/>
        <w:ind w:firstLine="0"/>
        <w:rPr>
          <w:lang w:val="sr-Latn-BA"/>
        </w:rPr>
      </w:pPr>
      <w:r w:rsidRPr="00EC6422">
        <w:rPr>
          <w:noProof/>
          <w:sz w:val="23"/>
          <w:szCs w:val="23"/>
          <w:lang w:val="sr-Latn-BA" w:eastAsia="sr-Latn-BA"/>
        </w:rPr>
        <w:lastRenderedPageBreak/>
        <w:drawing>
          <wp:inline distT="0" distB="0" distL="0" distR="0" wp14:anchorId="4BEE30CF" wp14:editId="18B61C1A">
            <wp:extent cx="5708780" cy="2581910"/>
            <wp:effectExtent l="0" t="57150" r="101600" b="123190"/>
            <wp:docPr id="30"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4AA8C7D1" w14:textId="4CD05B86" w:rsidR="009628CE" w:rsidRPr="001B53A8" w:rsidRDefault="00003F34" w:rsidP="006B6E0C">
      <w:pPr>
        <w:pStyle w:val="Caption"/>
        <w:tabs>
          <w:tab w:val="left" w:pos="1134"/>
        </w:tabs>
        <w:spacing w:after="0"/>
        <w:jc w:val="left"/>
        <w:rPr>
          <w:rFonts w:ascii="Times New Roman" w:hAnsi="Times New Roman"/>
          <w:sz w:val="24"/>
          <w:szCs w:val="24"/>
          <w:lang w:val="sr-Latn-BA"/>
        </w:rPr>
      </w:pPr>
      <w:bookmarkStart w:id="17" w:name="OLE_LINK5"/>
      <w:bookmarkStart w:id="18" w:name="OLE_LINK6"/>
      <w:r w:rsidRPr="001B53A8">
        <w:rPr>
          <w:rFonts w:ascii="Times New Roman" w:hAnsi="Times New Roman"/>
          <w:sz w:val="24"/>
          <w:szCs w:val="24"/>
          <w:lang w:val="sr-Latn-BA"/>
        </w:rPr>
        <w:t>Slika</w:t>
      </w:r>
      <w:r w:rsidR="009628CE" w:rsidRPr="001B53A8">
        <w:rPr>
          <w:rFonts w:ascii="Times New Roman" w:hAnsi="Times New Roman"/>
          <w:sz w:val="24"/>
          <w:szCs w:val="24"/>
          <w:lang w:val="sr-Latn-BA"/>
        </w:rPr>
        <w:t xml:space="preserve"> </w:t>
      </w:r>
      <w:r w:rsidR="00D3478F" w:rsidRPr="001B53A8">
        <w:rPr>
          <w:rFonts w:ascii="Times New Roman" w:hAnsi="Times New Roman"/>
          <w:sz w:val="24"/>
          <w:szCs w:val="24"/>
          <w:lang w:val="sr-Latn-BA"/>
        </w:rPr>
        <w:fldChar w:fldCharType="begin"/>
      </w:r>
      <w:r w:rsidR="009628CE" w:rsidRPr="001B53A8">
        <w:rPr>
          <w:rFonts w:ascii="Times New Roman" w:hAnsi="Times New Roman"/>
          <w:sz w:val="24"/>
          <w:szCs w:val="24"/>
          <w:lang w:val="sr-Latn-BA"/>
        </w:rPr>
        <w:instrText xml:space="preserve"> SEQ Слика \* ARABIC </w:instrText>
      </w:r>
      <w:r w:rsidR="00D3478F" w:rsidRPr="001B53A8">
        <w:rPr>
          <w:rFonts w:ascii="Times New Roman" w:hAnsi="Times New Roman"/>
          <w:sz w:val="24"/>
          <w:szCs w:val="24"/>
          <w:lang w:val="sr-Latn-BA"/>
        </w:rPr>
        <w:fldChar w:fldCharType="separate"/>
      </w:r>
      <w:r w:rsidR="00E00890" w:rsidRPr="001B53A8">
        <w:rPr>
          <w:rFonts w:ascii="Times New Roman" w:hAnsi="Times New Roman"/>
          <w:noProof/>
          <w:sz w:val="24"/>
          <w:szCs w:val="24"/>
          <w:lang w:val="sr-Latn-BA"/>
        </w:rPr>
        <w:t>1</w:t>
      </w:r>
      <w:r w:rsidR="00D3478F" w:rsidRPr="001B53A8">
        <w:rPr>
          <w:rFonts w:ascii="Times New Roman" w:hAnsi="Times New Roman"/>
          <w:sz w:val="24"/>
          <w:szCs w:val="24"/>
          <w:lang w:val="sr-Latn-BA"/>
        </w:rPr>
        <w:fldChar w:fldCharType="end"/>
      </w:r>
      <w:r w:rsidR="009628CE" w:rsidRPr="001B53A8">
        <w:rPr>
          <w:rFonts w:ascii="Times New Roman" w:hAnsi="Times New Roman"/>
          <w:sz w:val="24"/>
          <w:szCs w:val="24"/>
          <w:lang w:val="sr-Latn-BA"/>
        </w:rPr>
        <w:t>.</w:t>
      </w:r>
      <w:r w:rsidR="009628CE" w:rsidRPr="001B53A8">
        <w:rPr>
          <w:rFonts w:ascii="Times New Roman" w:hAnsi="Times New Roman"/>
          <w:sz w:val="24"/>
          <w:szCs w:val="24"/>
          <w:lang w:val="sr-Latn-BA"/>
        </w:rPr>
        <w:tab/>
      </w:r>
      <w:bookmarkEnd w:id="17"/>
      <w:bookmarkEnd w:id="18"/>
      <w:r w:rsidRPr="001B53A8">
        <w:rPr>
          <w:rFonts w:ascii="Times New Roman" w:hAnsi="Times New Roman"/>
          <w:b w:val="0"/>
          <w:sz w:val="24"/>
          <w:szCs w:val="24"/>
          <w:lang w:val="sr-Latn-BA"/>
        </w:rPr>
        <w:t>Organizaciona</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struktura</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Komisije</w:t>
      </w:r>
    </w:p>
    <w:p w14:paraId="480688AC" w14:textId="7E19995E" w:rsidR="009628CE" w:rsidRPr="001B53A8" w:rsidRDefault="00003F34" w:rsidP="006B6E0C">
      <w:pPr>
        <w:spacing w:after="0" w:line="240" w:lineRule="auto"/>
        <w:ind w:firstLine="567"/>
        <w:rPr>
          <w:lang w:val="sr-Latn-BA"/>
        </w:rPr>
      </w:pPr>
      <w:r w:rsidRPr="001B53A8">
        <w:rPr>
          <w:lang w:val="sr-Latn-BA"/>
        </w:rPr>
        <w:t>U</w:t>
      </w:r>
      <w:r w:rsidR="0070335D" w:rsidRPr="001B53A8">
        <w:rPr>
          <w:lang w:val="sr-Latn-BA"/>
        </w:rPr>
        <w:t xml:space="preserve"> </w:t>
      </w:r>
      <w:r w:rsidRPr="001B53A8">
        <w:rPr>
          <w:lang w:val="sr-Latn-BA"/>
        </w:rPr>
        <w:t>okviru</w:t>
      </w:r>
      <w:r w:rsidR="0070335D" w:rsidRPr="001B53A8">
        <w:rPr>
          <w:lang w:val="sr-Latn-BA"/>
        </w:rPr>
        <w:t xml:space="preserve"> </w:t>
      </w:r>
      <w:r w:rsidRPr="001B53A8">
        <w:rPr>
          <w:lang w:val="sr-Latn-BA"/>
        </w:rPr>
        <w:t>organizacionih</w:t>
      </w:r>
      <w:r w:rsidR="0070335D" w:rsidRPr="001B53A8">
        <w:rPr>
          <w:lang w:val="sr-Latn-BA"/>
        </w:rPr>
        <w:t xml:space="preserve"> </w:t>
      </w:r>
      <w:r w:rsidRPr="001B53A8">
        <w:rPr>
          <w:lang w:val="sr-Latn-BA"/>
        </w:rPr>
        <w:t>cjelina</w:t>
      </w:r>
      <w:r w:rsidR="0070335D" w:rsidRPr="001B53A8">
        <w:rPr>
          <w:lang w:val="sr-Latn-BA"/>
        </w:rPr>
        <w:t xml:space="preserve"> </w:t>
      </w:r>
      <w:r w:rsidRPr="001B53A8">
        <w:rPr>
          <w:lang w:val="sr-Latn-BA"/>
        </w:rPr>
        <w:t>Komisije</w:t>
      </w:r>
      <w:r w:rsidR="0070335D" w:rsidRPr="001B53A8">
        <w:rPr>
          <w:lang w:val="sr-Latn-BA"/>
        </w:rPr>
        <w:t xml:space="preserve">, </w:t>
      </w:r>
      <w:r w:rsidRPr="001B53A8">
        <w:rPr>
          <w:lang w:val="sr-Latn-BA"/>
        </w:rPr>
        <w:t>obavlјaju</w:t>
      </w:r>
      <w:r w:rsidR="0070335D" w:rsidRPr="001B53A8">
        <w:rPr>
          <w:lang w:val="sr-Latn-BA"/>
        </w:rPr>
        <w:t xml:space="preserve"> </w:t>
      </w:r>
      <w:r w:rsidRPr="001B53A8">
        <w:rPr>
          <w:lang w:val="sr-Latn-BA"/>
        </w:rPr>
        <w:t>se</w:t>
      </w:r>
      <w:r w:rsidR="0070335D" w:rsidRPr="001B53A8">
        <w:rPr>
          <w:lang w:val="sr-Latn-BA"/>
        </w:rPr>
        <w:t xml:space="preserve"> </w:t>
      </w:r>
      <w:r w:rsidRPr="001B53A8">
        <w:rPr>
          <w:lang w:val="sr-Latn-BA"/>
        </w:rPr>
        <w:t>slijedeći</w:t>
      </w:r>
      <w:r w:rsidR="0070335D" w:rsidRPr="001B53A8">
        <w:rPr>
          <w:lang w:val="sr-Latn-BA"/>
        </w:rPr>
        <w:t xml:space="preserve"> </w:t>
      </w:r>
      <w:r w:rsidRPr="001B53A8">
        <w:rPr>
          <w:lang w:val="sr-Latn-BA"/>
        </w:rPr>
        <w:t>poslovi</w:t>
      </w:r>
      <w:r w:rsidR="0070335D" w:rsidRPr="001B53A8">
        <w:rPr>
          <w:lang w:val="sr-Latn-BA"/>
        </w:rPr>
        <w:t>:</w:t>
      </w:r>
      <w:r w:rsidR="009628CE" w:rsidRPr="001B53A8">
        <w:rPr>
          <w:lang w:val="sr-Latn-BA"/>
        </w:rPr>
        <w:t xml:space="preserve"> </w:t>
      </w:r>
    </w:p>
    <w:p w14:paraId="3DB60FF7" w14:textId="0A1AD83C" w:rsidR="009628CE" w:rsidRPr="001B53A8" w:rsidRDefault="00003F34" w:rsidP="006B6E0C">
      <w:pPr>
        <w:pStyle w:val="ListParagraph"/>
        <w:numPr>
          <w:ilvl w:val="0"/>
          <w:numId w:val="2"/>
        </w:numPr>
        <w:spacing w:before="0" w:after="0" w:line="240" w:lineRule="auto"/>
        <w:ind w:left="851" w:hanging="284"/>
        <w:contextualSpacing w:val="0"/>
        <w:rPr>
          <w:lang w:val="sr-Latn-BA"/>
        </w:rPr>
      </w:pPr>
      <w:r w:rsidRPr="001B53A8">
        <w:rPr>
          <w:lang w:val="sr-Latn-BA"/>
        </w:rPr>
        <w:t>priprema</w:t>
      </w:r>
      <w:r w:rsidR="009628CE" w:rsidRPr="001B53A8">
        <w:rPr>
          <w:lang w:val="sr-Latn-BA"/>
        </w:rPr>
        <w:t xml:space="preserve"> </w:t>
      </w:r>
      <w:r w:rsidRPr="001B53A8">
        <w:rPr>
          <w:lang w:val="sr-Latn-BA"/>
        </w:rPr>
        <w:t>nacrta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prijedloga</w:t>
      </w:r>
      <w:r w:rsidR="009628CE" w:rsidRPr="001B53A8">
        <w:rPr>
          <w:lang w:val="sr-Latn-BA"/>
        </w:rPr>
        <w:t xml:space="preserve"> </w:t>
      </w:r>
      <w:r w:rsidRPr="001B53A8">
        <w:rPr>
          <w:lang w:val="sr-Latn-BA"/>
        </w:rPr>
        <w:t>propisa</w:t>
      </w:r>
      <w:r w:rsidR="009628CE" w:rsidRPr="001B53A8">
        <w:rPr>
          <w:lang w:val="sr-Latn-BA"/>
        </w:rPr>
        <w:t xml:space="preserve"> </w:t>
      </w:r>
      <w:r w:rsidRPr="001B53A8">
        <w:rPr>
          <w:lang w:val="sr-Latn-BA"/>
        </w:rPr>
        <w:t>koje</w:t>
      </w:r>
      <w:r w:rsidR="009628CE" w:rsidRPr="001B53A8">
        <w:rPr>
          <w:lang w:val="sr-Latn-BA"/>
        </w:rPr>
        <w:t xml:space="preserve"> </w:t>
      </w:r>
      <w:r w:rsidRPr="001B53A8">
        <w:rPr>
          <w:lang w:val="sr-Latn-BA"/>
        </w:rPr>
        <w:t>donosi</w:t>
      </w:r>
      <w:r w:rsidR="009628CE" w:rsidRPr="001B53A8">
        <w:rPr>
          <w:lang w:val="sr-Latn-BA"/>
        </w:rPr>
        <w:t xml:space="preserve"> </w:t>
      </w:r>
      <w:r w:rsidRPr="001B53A8">
        <w:rPr>
          <w:lang w:val="sr-Latn-BA"/>
        </w:rPr>
        <w:t>Komisija</w:t>
      </w:r>
      <w:r w:rsidR="009628CE" w:rsidRPr="001B53A8">
        <w:rPr>
          <w:lang w:val="sr-Latn-BA"/>
        </w:rPr>
        <w:t xml:space="preserve">, </w:t>
      </w:r>
    </w:p>
    <w:p w14:paraId="0C8F5CA3" w14:textId="1F75F019" w:rsidR="009628CE" w:rsidRPr="001B53A8" w:rsidRDefault="00003F34" w:rsidP="006B6E0C">
      <w:pPr>
        <w:pStyle w:val="ListParagraph"/>
        <w:numPr>
          <w:ilvl w:val="0"/>
          <w:numId w:val="2"/>
        </w:numPr>
        <w:spacing w:before="0" w:after="0" w:line="240" w:lineRule="auto"/>
        <w:ind w:left="851" w:hanging="284"/>
        <w:contextualSpacing w:val="0"/>
        <w:rPr>
          <w:lang w:val="sr-Latn-BA"/>
        </w:rPr>
      </w:pPr>
      <w:r w:rsidRPr="001B53A8">
        <w:rPr>
          <w:lang w:val="sr-Latn-BA"/>
        </w:rPr>
        <w:t>priprema</w:t>
      </w:r>
      <w:r w:rsidR="009628CE" w:rsidRPr="001B53A8">
        <w:rPr>
          <w:lang w:val="sr-Latn-BA"/>
        </w:rPr>
        <w:t xml:space="preserve"> </w:t>
      </w:r>
      <w:r w:rsidRPr="001B53A8">
        <w:rPr>
          <w:lang w:val="sr-Latn-BA"/>
        </w:rPr>
        <w:t>prijedloga</w:t>
      </w:r>
      <w:r w:rsidR="009628CE" w:rsidRPr="001B53A8">
        <w:rPr>
          <w:lang w:val="sr-Latn-BA"/>
        </w:rPr>
        <w:t xml:space="preserve"> </w:t>
      </w:r>
      <w:r w:rsidRPr="001B53A8">
        <w:rPr>
          <w:lang w:val="sr-Latn-BA"/>
        </w:rPr>
        <w:t>mišlјenja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stavova</w:t>
      </w:r>
      <w:r w:rsidR="009628CE" w:rsidRPr="001B53A8">
        <w:rPr>
          <w:lang w:val="sr-Latn-BA"/>
        </w:rPr>
        <w:t xml:space="preserve"> </w:t>
      </w:r>
      <w:r w:rsidRPr="001B53A8">
        <w:rPr>
          <w:lang w:val="sr-Latn-BA"/>
        </w:rPr>
        <w:t>Komisije</w:t>
      </w:r>
      <w:r w:rsidR="009628CE" w:rsidRPr="001B53A8">
        <w:rPr>
          <w:lang w:val="sr-Latn-BA"/>
        </w:rPr>
        <w:t xml:space="preserve">, </w:t>
      </w:r>
    </w:p>
    <w:p w14:paraId="72E18DE3" w14:textId="36979C35" w:rsidR="009628CE" w:rsidRPr="001B53A8" w:rsidRDefault="00003F34" w:rsidP="006B6E0C">
      <w:pPr>
        <w:pStyle w:val="ListParagraph"/>
        <w:numPr>
          <w:ilvl w:val="0"/>
          <w:numId w:val="2"/>
        </w:numPr>
        <w:spacing w:before="0" w:after="0" w:line="240" w:lineRule="auto"/>
        <w:ind w:left="851" w:hanging="284"/>
        <w:contextualSpacing w:val="0"/>
        <w:rPr>
          <w:lang w:val="sr-Latn-BA"/>
        </w:rPr>
      </w:pPr>
      <w:r w:rsidRPr="001B53A8">
        <w:rPr>
          <w:lang w:val="sr-Latn-BA"/>
        </w:rPr>
        <w:t>obrada</w:t>
      </w:r>
      <w:r w:rsidR="009628CE" w:rsidRPr="001B53A8">
        <w:rPr>
          <w:lang w:val="sr-Latn-BA"/>
        </w:rPr>
        <w:t xml:space="preserve"> </w:t>
      </w:r>
      <w:r w:rsidRPr="001B53A8">
        <w:rPr>
          <w:lang w:val="sr-Latn-BA"/>
        </w:rPr>
        <w:t>zahtjeva</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davanje</w:t>
      </w:r>
      <w:r w:rsidR="009628CE" w:rsidRPr="001B53A8">
        <w:rPr>
          <w:lang w:val="sr-Latn-BA"/>
        </w:rPr>
        <w:t xml:space="preserve"> </w:t>
      </w:r>
      <w:r w:rsidRPr="001B53A8">
        <w:rPr>
          <w:lang w:val="sr-Latn-BA"/>
        </w:rPr>
        <w:t>odobrenja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dozvola</w:t>
      </w:r>
      <w:r w:rsidR="009628CE" w:rsidRPr="001B53A8">
        <w:rPr>
          <w:lang w:val="sr-Latn-BA"/>
        </w:rPr>
        <w:t xml:space="preserve"> </w:t>
      </w:r>
      <w:r w:rsidRPr="001B53A8">
        <w:rPr>
          <w:lang w:val="sr-Latn-BA"/>
        </w:rPr>
        <w:t>ovlašćenim</w:t>
      </w:r>
      <w:r w:rsidR="009628CE" w:rsidRPr="001B53A8">
        <w:rPr>
          <w:lang w:val="sr-Latn-BA"/>
        </w:rPr>
        <w:t xml:space="preserve"> </w:t>
      </w:r>
      <w:r w:rsidRPr="001B53A8">
        <w:rPr>
          <w:lang w:val="sr-Latn-BA"/>
        </w:rPr>
        <w:t>učesnicima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emitentima</w:t>
      </w:r>
      <w:r w:rsidR="009628CE" w:rsidRPr="001B53A8">
        <w:rPr>
          <w:lang w:val="sr-Latn-BA"/>
        </w:rPr>
        <w:t xml:space="preserve">, </w:t>
      </w:r>
    </w:p>
    <w:p w14:paraId="520D31E7" w14:textId="19703D44" w:rsidR="009628CE" w:rsidRPr="001B53A8" w:rsidRDefault="00003F34" w:rsidP="006B6E0C">
      <w:pPr>
        <w:pStyle w:val="ListParagraph"/>
        <w:numPr>
          <w:ilvl w:val="0"/>
          <w:numId w:val="2"/>
        </w:numPr>
        <w:spacing w:before="0" w:after="0" w:line="240" w:lineRule="auto"/>
        <w:ind w:left="851" w:hanging="284"/>
        <w:contextualSpacing w:val="0"/>
        <w:rPr>
          <w:lang w:val="sr-Latn-BA"/>
        </w:rPr>
      </w:pPr>
      <w:bookmarkStart w:id="19" w:name="OLE_LINK3"/>
      <w:bookmarkStart w:id="20" w:name="OLE_LINK4"/>
      <w:bookmarkStart w:id="21" w:name="OLE_LINK7"/>
      <w:r w:rsidRPr="001B53A8">
        <w:rPr>
          <w:lang w:val="sr-Latn-BA"/>
        </w:rPr>
        <w:t>praćenje</w:t>
      </w:r>
      <w:r w:rsidR="009628CE" w:rsidRPr="001B53A8">
        <w:rPr>
          <w:lang w:val="sr-Latn-BA"/>
        </w:rPr>
        <w:t xml:space="preserve"> </w:t>
      </w:r>
      <w:bookmarkEnd w:id="19"/>
      <w:bookmarkEnd w:id="20"/>
      <w:bookmarkEnd w:id="21"/>
      <w:r w:rsidRPr="001B53A8">
        <w:rPr>
          <w:lang w:val="sr-Latn-BA"/>
        </w:rPr>
        <w:t>izvršenja</w:t>
      </w:r>
      <w:r w:rsidR="009628CE" w:rsidRPr="001B53A8">
        <w:rPr>
          <w:lang w:val="sr-Latn-BA"/>
        </w:rPr>
        <w:t xml:space="preserve"> </w:t>
      </w:r>
      <w:r w:rsidRPr="001B53A8">
        <w:rPr>
          <w:lang w:val="sr-Latn-BA"/>
        </w:rPr>
        <w:t>rješenja</w:t>
      </w:r>
      <w:r w:rsidR="009628CE" w:rsidRPr="001B53A8">
        <w:rPr>
          <w:lang w:val="sr-Latn-BA"/>
        </w:rPr>
        <w:t xml:space="preserve">, </w:t>
      </w:r>
    </w:p>
    <w:p w14:paraId="5F404F3F" w14:textId="3731F540" w:rsidR="009628CE" w:rsidRPr="001B53A8" w:rsidRDefault="00003F34" w:rsidP="006B6E0C">
      <w:pPr>
        <w:pStyle w:val="ListParagraph"/>
        <w:numPr>
          <w:ilvl w:val="0"/>
          <w:numId w:val="2"/>
        </w:numPr>
        <w:spacing w:before="0" w:after="0" w:line="240" w:lineRule="auto"/>
        <w:ind w:left="851" w:hanging="284"/>
        <w:contextualSpacing w:val="0"/>
        <w:rPr>
          <w:lang w:val="sr-Latn-BA"/>
        </w:rPr>
      </w:pPr>
      <w:r w:rsidRPr="001B53A8">
        <w:rPr>
          <w:lang w:val="sr-Latn-BA"/>
        </w:rPr>
        <w:t>vođenje</w:t>
      </w:r>
      <w:r w:rsidR="009628CE" w:rsidRPr="001B53A8">
        <w:rPr>
          <w:lang w:val="sr-Latn-BA"/>
        </w:rPr>
        <w:t xml:space="preserve"> </w:t>
      </w:r>
      <w:r w:rsidRPr="001B53A8">
        <w:rPr>
          <w:lang w:val="sr-Latn-BA"/>
        </w:rPr>
        <w:t>odgovarajućih</w:t>
      </w:r>
      <w:r w:rsidR="009628CE" w:rsidRPr="001B53A8">
        <w:rPr>
          <w:lang w:val="sr-Latn-BA"/>
        </w:rPr>
        <w:t xml:space="preserve"> </w:t>
      </w:r>
      <w:r w:rsidRPr="001B53A8">
        <w:rPr>
          <w:lang w:val="sr-Latn-BA"/>
        </w:rPr>
        <w:t>registara</w:t>
      </w:r>
      <w:r w:rsidR="009628CE" w:rsidRPr="001B53A8">
        <w:rPr>
          <w:lang w:val="sr-Latn-BA"/>
        </w:rPr>
        <w:t xml:space="preserve">, </w:t>
      </w:r>
    </w:p>
    <w:p w14:paraId="412D060B" w14:textId="329621AD" w:rsidR="009628CE" w:rsidRPr="001B53A8" w:rsidRDefault="00003F34" w:rsidP="006B6E0C">
      <w:pPr>
        <w:pStyle w:val="ListParagraph"/>
        <w:numPr>
          <w:ilvl w:val="0"/>
          <w:numId w:val="2"/>
        </w:numPr>
        <w:spacing w:before="0" w:after="0" w:line="240" w:lineRule="auto"/>
        <w:ind w:left="851" w:hanging="284"/>
        <w:contextualSpacing w:val="0"/>
        <w:rPr>
          <w:lang w:val="sr-Latn-BA"/>
        </w:rPr>
      </w:pPr>
      <w:r w:rsidRPr="001B53A8">
        <w:rPr>
          <w:lang w:val="sr-Latn-BA"/>
        </w:rPr>
        <w:t>praćenje</w:t>
      </w:r>
      <w:r w:rsidR="0070335D" w:rsidRPr="001B53A8">
        <w:rPr>
          <w:lang w:val="sr-Latn-BA"/>
        </w:rPr>
        <w:t xml:space="preserve"> </w:t>
      </w:r>
      <w:r w:rsidRPr="001B53A8">
        <w:rPr>
          <w:lang w:val="sr-Latn-BA"/>
        </w:rPr>
        <w:t>objavlјivanja</w:t>
      </w:r>
      <w:r w:rsidR="009628CE" w:rsidRPr="001B53A8">
        <w:rPr>
          <w:lang w:val="sr-Latn-BA"/>
        </w:rPr>
        <w:t xml:space="preserve"> </w:t>
      </w:r>
      <w:r w:rsidRPr="001B53A8">
        <w:rPr>
          <w:lang w:val="sr-Latn-BA"/>
        </w:rPr>
        <w:t>finansijskih</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drugih</w:t>
      </w:r>
      <w:r w:rsidR="009628CE" w:rsidRPr="001B53A8">
        <w:rPr>
          <w:lang w:val="sr-Latn-BA"/>
        </w:rPr>
        <w:t xml:space="preserve"> </w:t>
      </w:r>
      <w:r w:rsidRPr="001B53A8">
        <w:rPr>
          <w:lang w:val="sr-Latn-BA"/>
        </w:rPr>
        <w:t>poslovnih</w:t>
      </w:r>
      <w:r w:rsidR="009628CE" w:rsidRPr="001B53A8">
        <w:rPr>
          <w:lang w:val="sr-Latn-BA"/>
        </w:rPr>
        <w:t xml:space="preserve"> </w:t>
      </w:r>
      <w:r w:rsidRPr="001B53A8">
        <w:rPr>
          <w:lang w:val="sr-Latn-BA"/>
        </w:rPr>
        <w:t>informacija</w:t>
      </w:r>
      <w:r w:rsidR="009628CE" w:rsidRPr="001B53A8">
        <w:rPr>
          <w:lang w:val="sr-Latn-BA"/>
        </w:rPr>
        <w:t xml:space="preserve"> </w:t>
      </w:r>
      <w:r w:rsidRPr="001B53A8">
        <w:rPr>
          <w:lang w:val="sr-Latn-BA"/>
        </w:rPr>
        <w:t>emitenata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ovlašćenih</w:t>
      </w:r>
      <w:r w:rsidR="009628CE" w:rsidRPr="001B53A8">
        <w:rPr>
          <w:lang w:val="sr-Latn-BA"/>
        </w:rPr>
        <w:t xml:space="preserve"> </w:t>
      </w:r>
      <w:r w:rsidRPr="001B53A8">
        <w:rPr>
          <w:lang w:val="sr-Latn-BA"/>
        </w:rPr>
        <w:t>učesnika</w:t>
      </w:r>
      <w:r w:rsidR="009628CE" w:rsidRPr="001B53A8">
        <w:rPr>
          <w:lang w:val="sr-Latn-BA"/>
        </w:rPr>
        <w:t xml:space="preserve">, </w:t>
      </w:r>
    </w:p>
    <w:p w14:paraId="774DABE2" w14:textId="1DB1A11C" w:rsidR="009628CE" w:rsidRPr="001B53A8" w:rsidRDefault="00003F34" w:rsidP="006B6E0C">
      <w:pPr>
        <w:pStyle w:val="ListParagraph"/>
        <w:numPr>
          <w:ilvl w:val="0"/>
          <w:numId w:val="2"/>
        </w:numPr>
        <w:spacing w:before="0" w:after="0" w:line="240" w:lineRule="auto"/>
        <w:ind w:left="851" w:hanging="284"/>
        <w:contextualSpacing w:val="0"/>
        <w:rPr>
          <w:lang w:val="sr-Latn-BA"/>
        </w:rPr>
      </w:pPr>
      <w:r w:rsidRPr="001B53A8">
        <w:rPr>
          <w:lang w:val="sr-Latn-BA"/>
        </w:rPr>
        <w:t>kontrola</w:t>
      </w:r>
      <w:r w:rsidR="009628CE" w:rsidRPr="001B53A8">
        <w:rPr>
          <w:lang w:val="sr-Latn-BA"/>
        </w:rPr>
        <w:t xml:space="preserve"> </w:t>
      </w:r>
      <w:r w:rsidRPr="001B53A8">
        <w:rPr>
          <w:lang w:val="sr-Latn-BA"/>
        </w:rPr>
        <w:t>izvršavanja</w:t>
      </w:r>
      <w:r w:rsidR="009628CE" w:rsidRPr="001B53A8">
        <w:rPr>
          <w:lang w:val="sr-Latn-BA"/>
        </w:rPr>
        <w:t xml:space="preserve"> </w:t>
      </w:r>
      <w:r w:rsidRPr="001B53A8">
        <w:rPr>
          <w:lang w:val="sr-Latn-BA"/>
        </w:rPr>
        <w:t>obaveza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poslovanja</w:t>
      </w:r>
      <w:r w:rsidR="009628CE" w:rsidRPr="001B53A8">
        <w:rPr>
          <w:lang w:val="sr-Latn-BA"/>
        </w:rPr>
        <w:t xml:space="preserve"> </w:t>
      </w:r>
      <w:r w:rsidRPr="001B53A8">
        <w:rPr>
          <w:lang w:val="sr-Latn-BA"/>
        </w:rPr>
        <w:t>ovlašćenih</w:t>
      </w:r>
      <w:r w:rsidR="009628CE" w:rsidRPr="001B53A8">
        <w:rPr>
          <w:lang w:val="sr-Latn-BA"/>
        </w:rPr>
        <w:t xml:space="preserve"> </w:t>
      </w:r>
      <w:r w:rsidRPr="001B53A8">
        <w:rPr>
          <w:lang w:val="sr-Latn-BA"/>
        </w:rPr>
        <w:t>učesnika</w:t>
      </w:r>
      <w:r w:rsidR="009628CE" w:rsidRPr="001B53A8">
        <w:rPr>
          <w:lang w:val="sr-Latn-BA"/>
        </w:rPr>
        <w:t xml:space="preserve">, </w:t>
      </w:r>
    </w:p>
    <w:p w14:paraId="79C7FFC6" w14:textId="07A95450" w:rsidR="009628CE" w:rsidRPr="001B53A8" w:rsidRDefault="00003F34" w:rsidP="006B6E0C">
      <w:pPr>
        <w:pStyle w:val="ListParagraph"/>
        <w:numPr>
          <w:ilvl w:val="0"/>
          <w:numId w:val="2"/>
        </w:numPr>
        <w:spacing w:before="0" w:after="0" w:line="240" w:lineRule="auto"/>
        <w:ind w:left="851" w:hanging="284"/>
        <w:contextualSpacing w:val="0"/>
        <w:rPr>
          <w:lang w:val="sr-Latn-BA"/>
        </w:rPr>
      </w:pPr>
      <w:r w:rsidRPr="001B53A8">
        <w:rPr>
          <w:lang w:val="sr-Latn-BA"/>
        </w:rPr>
        <w:t>davanje</w:t>
      </w:r>
      <w:r w:rsidR="009628CE" w:rsidRPr="001B53A8">
        <w:rPr>
          <w:lang w:val="sr-Latn-BA"/>
        </w:rPr>
        <w:t xml:space="preserve"> </w:t>
      </w:r>
      <w:r w:rsidRPr="001B53A8">
        <w:rPr>
          <w:lang w:val="sr-Latn-BA"/>
        </w:rPr>
        <w:t>saglasnosti</w:t>
      </w:r>
      <w:r w:rsidR="009628CE" w:rsidRPr="001B53A8">
        <w:rPr>
          <w:lang w:val="sr-Latn-BA"/>
        </w:rPr>
        <w:t xml:space="preserve"> </w:t>
      </w:r>
      <w:r w:rsidRPr="001B53A8">
        <w:rPr>
          <w:lang w:val="sr-Latn-BA"/>
        </w:rPr>
        <w:t>na</w:t>
      </w:r>
      <w:r w:rsidR="009628CE" w:rsidRPr="001B53A8">
        <w:rPr>
          <w:lang w:val="sr-Latn-BA"/>
        </w:rPr>
        <w:t xml:space="preserve"> </w:t>
      </w:r>
      <w:r w:rsidRPr="001B53A8">
        <w:rPr>
          <w:lang w:val="sr-Latn-BA"/>
        </w:rPr>
        <w:t>akte</w:t>
      </w:r>
      <w:r w:rsidR="009628CE" w:rsidRPr="001B53A8">
        <w:rPr>
          <w:lang w:val="sr-Latn-BA"/>
        </w:rPr>
        <w:t xml:space="preserve"> </w:t>
      </w:r>
      <w:r w:rsidRPr="001B53A8">
        <w:rPr>
          <w:lang w:val="sr-Latn-BA"/>
        </w:rPr>
        <w:t>ovlašćenih</w:t>
      </w:r>
      <w:r w:rsidR="009628CE" w:rsidRPr="001B53A8">
        <w:rPr>
          <w:lang w:val="sr-Latn-BA"/>
        </w:rPr>
        <w:t xml:space="preserve"> </w:t>
      </w:r>
      <w:r w:rsidRPr="001B53A8">
        <w:rPr>
          <w:lang w:val="sr-Latn-BA"/>
        </w:rPr>
        <w:t>učesnika</w:t>
      </w:r>
      <w:r w:rsidR="009628CE" w:rsidRPr="001B53A8">
        <w:rPr>
          <w:lang w:val="sr-Latn-BA"/>
        </w:rPr>
        <w:t xml:space="preserve"> </w:t>
      </w:r>
      <w:r w:rsidRPr="001B53A8">
        <w:rPr>
          <w:lang w:val="sr-Latn-BA"/>
        </w:rPr>
        <w:t>i</w:t>
      </w:r>
      <w:r w:rsidR="009628CE" w:rsidRPr="001B53A8">
        <w:rPr>
          <w:lang w:val="sr-Latn-BA"/>
        </w:rPr>
        <w:t xml:space="preserve"> </w:t>
      </w:r>
    </w:p>
    <w:p w14:paraId="08AC46BE" w14:textId="52162DF3" w:rsidR="009628CE" w:rsidRPr="001B53A8" w:rsidRDefault="00003F34" w:rsidP="006B6E0C">
      <w:pPr>
        <w:pStyle w:val="ListParagraph"/>
        <w:numPr>
          <w:ilvl w:val="0"/>
          <w:numId w:val="2"/>
        </w:numPr>
        <w:spacing w:before="0" w:after="0" w:line="240" w:lineRule="auto"/>
        <w:ind w:left="851" w:hanging="284"/>
        <w:contextualSpacing w:val="0"/>
        <w:rPr>
          <w:lang w:val="sr-Latn-BA"/>
        </w:rPr>
      </w:pPr>
      <w:r w:rsidRPr="001B53A8">
        <w:rPr>
          <w:lang w:val="sr-Latn-BA"/>
        </w:rPr>
        <w:t>prikuplјanje</w:t>
      </w:r>
      <w:r w:rsidR="009628CE" w:rsidRPr="001B53A8">
        <w:rPr>
          <w:lang w:val="sr-Latn-BA"/>
        </w:rPr>
        <w:t xml:space="preserve"> </w:t>
      </w:r>
      <w:r w:rsidRPr="001B53A8">
        <w:rPr>
          <w:lang w:val="sr-Latn-BA"/>
        </w:rPr>
        <w:t>informacija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izrada</w:t>
      </w:r>
      <w:r w:rsidR="009628CE" w:rsidRPr="001B53A8">
        <w:rPr>
          <w:lang w:val="sr-Latn-BA"/>
        </w:rPr>
        <w:t xml:space="preserve"> </w:t>
      </w:r>
      <w:r w:rsidRPr="001B53A8">
        <w:rPr>
          <w:lang w:val="sr-Latn-BA"/>
        </w:rPr>
        <w:t>izvještaja</w:t>
      </w:r>
      <w:r w:rsidR="009628CE" w:rsidRPr="001B53A8">
        <w:rPr>
          <w:lang w:val="sr-Latn-BA"/>
        </w:rPr>
        <w:t xml:space="preserve"> </w:t>
      </w:r>
      <w:r w:rsidRPr="001B53A8">
        <w:rPr>
          <w:lang w:val="sr-Latn-BA"/>
        </w:rPr>
        <w:t>o</w:t>
      </w:r>
      <w:r w:rsidR="009628CE" w:rsidRPr="001B53A8">
        <w:rPr>
          <w:lang w:val="sr-Latn-BA"/>
        </w:rPr>
        <w:t xml:space="preserve"> </w:t>
      </w:r>
      <w:r w:rsidRPr="001B53A8">
        <w:rPr>
          <w:lang w:val="sr-Latn-BA"/>
        </w:rPr>
        <w:t>stanju</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problematici</w:t>
      </w:r>
      <w:r w:rsidR="009628CE" w:rsidRPr="001B53A8">
        <w:rPr>
          <w:lang w:val="sr-Latn-BA"/>
        </w:rPr>
        <w:t xml:space="preserve"> </w:t>
      </w:r>
      <w:r w:rsidRPr="001B53A8">
        <w:rPr>
          <w:lang w:val="sr-Latn-BA"/>
        </w:rPr>
        <w:t>iz</w:t>
      </w:r>
      <w:r w:rsidR="009628CE" w:rsidRPr="001B53A8">
        <w:rPr>
          <w:lang w:val="sr-Latn-BA"/>
        </w:rPr>
        <w:t xml:space="preserve"> </w:t>
      </w:r>
      <w:r w:rsidRPr="001B53A8">
        <w:rPr>
          <w:lang w:val="sr-Latn-BA"/>
        </w:rPr>
        <w:t>svoje</w:t>
      </w:r>
      <w:r w:rsidR="009628CE" w:rsidRPr="001B53A8">
        <w:rPr>
          <w:lang w:val="sr-Latn-BA"/>
        </w:rPr>
        <w:t xml:space="preserve"> </w:t>
      </w:r>
      <w:r w:rsidRPr="001B53A8">
        <w:rPr>
          <w:lang w:val="sr-Latn-BA"/>
        </w:rPr>
        <w:t>oblasti</w:t>
      </w:r>
      <w:r w:rsidR="009628CE" w:rsidRPr="001B53A8">
        <w:rPr>
          <w:lang w:val="sr-Latn-BA"/>
        </w:rPr>
        <w:t xml:space="preserve">. </w:t>
      </w:r>
    </w:p>
    <w:p w14:paraId="5422AB95" w14:textId="30BD0490" w:rsidR="009628CE" w:rsidRPr="001B53A8" w:rsidRDefault="00003F34" w:rsidP="006B6E0C">
      <w:pPr>
        <w:spacing w:after="0" w:line="240" w:lineRule="auto"/>
        <w:ind w:firstLine="567"/>
        <w:rPr>
          <w:lang w:val="sr-Latn-BA"/>
        </w:rPr>
      </w:pPr>
      <w:r w:rsidRPr="001B53A8">
        <w:rPr>
          <w:lang w:val="sr-Latn-BA"/>
        </w:rPr>
        <w:t>Sekretarijat</w:t>
      </w:r>
      <w:r w:rsidR="009628CE" w:rsidRPr="001B53A8">
        <w:rPr>
          <w:lang w:val="sr-Latn-BA"/>
        </w:rPr>
        <w:t xml:space="preserve"> </w:t>
      </w:r>
      <w:r w:rsidRPr="001B53A8">
        <w:rPr>
          <w:lang w:val="sr-Latn-BA"/>
        </w:rPr>
        <w:t>kao</w:t>
      </w:r>
      <w:r w:rsidR="009628CE" w:rsidRPr="001B53A8">
        <w:rPr>
          <w:lang w:val="sr-Latn-BA"/>
        </w:rPr>
        <w:t xml:space="preserve"> </w:t>
      </w:r>
      <w:r w:rsidRPr="001B53A8">
        <w:rPr>
          <w:lang w:val="sr-Latn-BA"/>
        </w:rPr>
        <w:t>poseban</w:t>
      </w:r>
      <w:r w:rsidR="009628CE" w:rsidRPr="001B53A8">
        <w:rPr>
          <w:lang w:val="sr-Latn-BA"/>
        </w:rPr>
        <w:t xml:space="preserve"> </w:t>
      </w:r>
      <w:r w:rsidRPr="001B53A8">
        <w:rPr>
          <w:lang w:val="sr-Latn-BA"/>
        </w:rPr>
        <w:t>organizacioni</w:t>
      </w:r>
      <w:r w:rsidR="009628CE" w:rsidRPr="001B53A8">
        <w:rPr>
          <w:lang w:val="sr-Latn-BA"/>
        </w:rPr>
        <w:t xml:space="preserve"> </w:t>
      </w:r>
      <w:r w:rsidRPr="001B53A8">
        <w:rPr>
          <w:lang w:val="sr-Latn-BA"/>
        </w:rPr>
        <w:t>dio</w:t>
      </w:r>
      <w:r w:rsidR="009628CE" w:rsidRPr="001B53A8">
        <w:rPr>
          <w:lang w:val="sr-Latn-BA"/>
        </w:rPr>
        <w:t xml:space="preserve"> </w:t>
      </w:r>
      <w:r w:rsidRPr="001B53A8">
        <w:rPr>
          <w:lang w:val="sr-Latn-BA"/>
        </w:rPr>
        <w:t>obavlјa</w:t>
      </w:r>
      <w:r w:rsidR="009628CE" w:rsidRPr="001B53A8">
        <w:rPr>
          <w:lang w:val="sr-Latn-BA"/>
        </w:rPr>
        <w:t xml:space="preserve"> </w:t>
      </w:r>
      <w:r w:rsidRPr="001B53A8">
        <w:rPr>
          <w:lang w:val="sr-Latn-BA"/>
        </w:rPr>
        <w:t>poslove</w:t>
      </w:r>
      <w:r w:rsidR="009628CE" w:rsidRPr="001B53A8">
        <w:rPr>
          <w:lang w:val="sr-Latn-BA"/>
        </w:rPr>
        <w:t xml:space="preserve"> </w:t>
      </w:r>
      <w:r w:rsidRPr="001B53A8">
        <w:rPr>
          <w:lang w:val="sr-Latn-BA"/>
        </w:rPr>
        <w:t>koji</w:t>
      </w:r>
      <w:r w:rsidR="009628CE" w:rsidRPr="001B53A8">
        <w:rPr>
          <w:lang w:val="sr-Latn-BA"/>
        </w:rPr>
        <w:t xml:space="preserve"> </w:t>
      </w:r>
      <w:r w:rsidRPr="001B53A8">
        <w:rPr>
          <w:lang w:val="sr-Latn-BA"/>
        </w:rPr>
        <w:t>su</w:t>
      </w:r>
      <w:r w:rsidR="009628CE" w:rsidRPr="001B53A8">
        <w:rPr>
          <w:lang w:val="sr-Latn-BA"/>
        </w:rPr>
        <w:t xml:space="preserve"> </w:t>
      </w:r>
      <w:r w:rsidRPr="001B53A8">
        <w:rPr>
          <w:lang w:val="sr-Latn-BA"/>
        </w:rPr>
        <w:t>od</w:t>
      </w:r>
      <w:r w:rsidR="009628CE" w:rsidRPr="001B53A8">
        <w:rPr>
          <w:lang w:val="sr-Latn-BA"/>
        </w:rPr>
        <w:t xml:space="preserve"> </w:t>
      </w:r>
      <w:r w:rsidRPr="001B53A8">
        <w:rPr>
          <w:lang w:val="sr-Latn-BA"/>
        </w:rPr>
        <w:t>zajedničkog</w:t>
      </w:r>
      <w:r w:rsidR="009628CE" w:rsidRPr="001B53A8">
        <w:rPr>
          <w:lang w:val="sr-Latn-BA"/>
        </w:rPr>
        <w:t xml:space="preserve"> </w:t>
      </w:r>
      <w:r w:rsidRPr="001B53A8">
        <w:rPr>
          <w:lang w:val="sr-Latn-BA"/>
        </w:rPr>
        <w:t>interesa</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Komisiju</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cjelini</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čijim</w:t>
      </w:r>
      <w:r w:rsidR="009628CE" w:rsidRPr="001B53A8">
        <w:rPr>
          <w:lang w:val="sr-Latn-BA"/>
        </w:rPr>
        <w:t xml:space="preserve"> </w:t>
      </w:r>
      <w:r w:rsidRPr="001B53A8">
        <w:rPr>
          <w:lang w:val="sr-Latn-BA"/>
        </w:rPr>
        <w:t>se</w:t>
      </w:r>
      <w:r w:rsidR="009628CE" w:rsidRPr="001B53A8">
        <w:rPr>
          <w:lang w:val="sr-Latn-BA"/>
        </w:rPr>
        <w:t xml:space="preserve"> </w:t>
      </w:r>
      <w:r w:rsidRPr="001B53A8">
        <w:rPr>
          <w:lang w:val="sr-Latn-BA"/>
        </w:rPr>
        <w:t>vršenjem</w:t>
      </w:r>
      <w:r w:rsidR="009628CE" w:rsidRPr="001B53A8">
        <w:rPr>
          <w:lang w:val="sr-Latn-BA"/>
        </w:rPr>
        <w:t xml:space="preserve"> </w:t>
      </w:r>
      <w:r w:rsidRPr="001B53A8">
        <w:rPr>
          <w:lang w:val="sr-Latn-BA"/>
        </w:rPr>
        <w:t>obezbjeđuje</w:t>
      </w:r>
      <w:r w:rsidR="009628CE" w:rsidRPr="001B53A8">
        <w:rPr>
          <w:lang w:val="sr-Latn-BA"/>
        </w:rPr>
        <w:t xml:space="preserve"> </w:t>
      </w:r>
      <w:r w:rsidRPr="001B53A8">
        <w:rPr>
          <w:lang w:val="sr-Latn-BA"/>
        </w:rPr>
        <w:t>nesmetan</w:t>
      </w:r>
      <w:r w:rsidR="009628CE" w:rsidRPr="001B53A8">
        <w:rPr>
          <w:lang w:val="sr-Latn-BA"/>
        </w:rPr>
        <w:t xml:space="preserve">, </w:t>
      </w:r>
      <w:r w:rsidRPr="001B53A8">
        <w:rPr>
          <w:lang w:val="sr-Latn-BA"/>
        </w:rPr>
        <w:t>efikasan</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usklađen</w:t>
      </w:r>
      <w:r w:rsidR="009628CE" w:rsidRPr="001B53A8">
        <w:rPr>
          <w:lang w:val="sr-Latn-BA"/>
        </w:rPr>
        <w:t xml:space="preserve"> </w:t>
      </w:r>
      <w:r w:rsidRPr="001B53A8">
        <w:rPr>
          <w:lang w:val="sr-Latn-BA"/>
        </w:rPr>
        <w:t>rad</w:t>
      </w:r>
      <w:r w:rsidR="009628CE" w:rsidRPr="001B53A8">
        <w:rPr>
          <w:lang w:val="sr-Latn-BA"/>
        </w:rPr>
        <w:t xml:space="preserve"> </w:t>
      </w:r>
      <w:r w:rsidRPr="001B53A8">
        <w:rPr>
          <w:lang w:val="sr-Latn-BA"/>
        </w:rPr>
        <w:t>svih</w:t>
      </w:r>
      <w:r w:rsidR="009628CE" w:rsidRPr="001B53A8">
        <w:rPr>
          <w:lang w:val="sr-Latn-BA"/>
        </w:rPr>
        <w:t xml:space="preserve"> </w:t>
      </w:r>
      <w:r w:rsidRPr="001B53A8">
        <w:rPr>
          <w:lang w:val="sr-Latn-BA"/>
        </w:rPr>
        <w:t>organizacionih</w:t>
      </w:r>
      <w:r w:rsidR="009628CE" w:rsidRPr="001B53A8">
        <w:rPr>
          <w:lang w:val="sr-Latn-BA"/>
        </w:rPr>
        <w:t xml:space="preserve"> </w:t>
      </w:r>
      <w:r w:rsidRPr="001B53A8">
        <w:rPr>
          <w:lang w:val="sr-Latn-BA"/>
        </w:rPr>
        <w:t>dijelova</w:t>
      </w:r>
      <w:r w:rsidR="009628CE" w:rsidRPr="001B53A8">
        <w:rPr>
          <w:lang w:val="sr-Latn-BA"/>
        </w:rPr>
        <w:t xml:space="preserve">, </w:t>
      </w:r>
      <w:r w:rsidRPr="001B53A8">
        <w:rPr>
          <w:lang w:val="sr-Latn-BA"/>
        </w:rPr>
        <w:t>kao</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stručno</w:t>
      </w:r>
      <w:r w:rsidR="009628CE" w:rsidRPr="001B53A8">
        <w:rPr>
          <w:lang w:val="sr-Latn-BA"/>
        </w:rPr>
        <w:t>-</w:t>
      </w:r>
      <w:r w:rsidRPr="001B53A8">
        <w:rPr>
          <w:lang w:val="sr-Latn-BA"/>
        </w:rPr>
        <w:t>operativne</w:t>
      </w:r>
      <w:r w:rsidR="009628CE" w:rsidRPr="001B53A8">
        <w:rPr>
          <w:lang w:val="sr-Latn-BA"/>
        </w:rPr>
        <w:t xml:space="preserve"> </w:t>
      </w:r>
      <w:r w:rsidRPr="001B53A8">
        <w:rPr>
          <w:lang w:val="sr-Latn-BA"/>
        </w:rPr>
        <w:t>poslove</w:t>
      </w:r>
      <w:r w:rsidR="009628CE" w:rsidRPr="001B53A8">
        <w:rPr>
          <w:lang w:val="sr-Latn-BA"/>
        </w:rPr>
        <w:t xml:space="preserve"> </w:t>
      </w:r>
      <w:r w:rsidRPr="001B53A8">
        <w:rPr>
          <w:lang w:val="sr-Latn-BA"/>
        </w:rPr>
        <w:t>pravne</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ekonomske</w:t>
      </w:r>
      <w:r w:rsidR="009628CE" w:rsidRPr="001B53A8">
        <w:rPr>
          <w:lang w:val="sr-Latn-BA"/>
        </w:rPr>
        <w:t xml:space="preserve"> </w:t>
      </w:r>
      <w:r w:rsidRPr="001B53A8">
        <w:rPr>
          <w:lang w:val="sr-Latn-BA"/>
        </w:rPr>
        <w:t>prirode</w:t>
      </w:r>
      <w:r w:rsidR="009628CE" w:rsidRPr="001B53A8">
        <w:rPr>
          <w:lang w:val="sr-Latn-BA"/>
        </w:rPr>
        <w:t xml:space="preserve">, </w:t>
      </w:r>
      <w:r w:rsidRPr="001B53A8">
        <w:rPr>
          <w:lang w:val="sr-Latn-BA"/>
        </w:rPr>
        <w:t>finansijsko</w:t>
      </w:r>
      <w:r w:rsidR="009628CE" w:rsidRPr="001B53A8">
        <w:rPr>
          <w:lang w:val="sr-Latn-BA"/>
        </w:rPr>
        <w:t>-</w:t>
      </w:r>
      <w:r w:rsidRPr="001B53A8">
        <w:rPr>
          <w:lang w:val="sr-Latn-BA"/>
        </w:rPr>
        <w:t>materijalne</w:t>
      </w:r>
      <w:r w:rsidR="009628CE" w:rsidRPr="001B53A8">
        <w:rPr>
          <w:lang w:val="sr-Latn-BA"/>
        </w:rPr>
        <w:t xml:space="preserve"> </w:t>
      </w:r>
      <w:r w:rsidRPr="001B53A8">
        <w:rPr>
          <w:lang w:val="sr-Latn-BA"/>
        </w:rPr>
        <w:t>poslove</w:t>
      </w:r>
      <w:r w:rsidR="009628CE" w:rsidRPr="001B53A8">
        <w:rPr>
          <w:lang w:val="sr-Latn-BA"/>
        </w:rPr>
        <w:t xml:space="preserve">, </w:t>
      </w:r>
      <w:r w:rsidRPr="001B53A8">
        <w:rPr>
          <w:lang w:val="sr-Latn-BA"/>
        </w:rPr>
        <w:t>informatičke</w:t>
      </w:r>
      <w:r w:rsidR="009628CE" w:rsidRPr="001B53A8">
        <w:rPr>
          <w:lang w:val="sr-Latn-BA"/>
        </w:rPr>
        <w:t xml:space="preserve">, </w:t>
      </w:r>
      <w:r w:rsidRPr="001B53A8">
        <w:rPr>
          <w:lang w:val="sr-Latn-BA"/>
        </w:rPr>
        <w:t>dokumentacione</w:t>
      </w:r>
      <w:r w:rsidR="009628CE" w:rsidRPr="001B53A8">
        <w:rPr>
          <w:lang w:val="sr-Latn-BA"/>
        </w:rPr>
        <w:t xml:space="preserve">, </w:t>
      </w:r>
      <w:r w:rsidRPr="001B53A8">
        <w:rPr>
          <w:lang w:val="sr-Latn-BA"/>
        </w:rPr>
        <w:t>statističko</w:t>
      </w:r>
      <w:r w:rsidR="009628CE" w:rsidRPr="001B53A8">
        <w:rPr>
          <w:lang w:val="sr-Latn-BA"/>
        </w:rPr>
        <w:t>-</w:t>
      </w:r>
      <w:r w:rsidRPr="001B53A8">
        <w:rPr>
          <w:lang w:val="sr-Latn-BA"/>
        </w:rPr>
        <w:t>evidencione</w:t>
      </w:r>
      <w:r w:rsidR="009628CE" w:rsidRPr="001B53A8">
        <w:rPr>
          <w:lang w:val="sr-Latn-BA"/>
        </w:rPr>
        <w:t xml:space="preserve">, </w:t>
      </w:r>
      <w:r w:rsidRPr="001B53A8">
        <w:rPr>
          <w:lang w:val="sr-Latn-BA"/>
        </w:rPr>
        <w:t>kancelarijske</w:t>
      </w:r>
      <w:r w:rsidR="009628CE" w:rsidRPr="001B53A8">
        <w:rPr>
          <w:lang w:val="sr-Latn-BA"/>
        </w:rPr>
        <w:t xml:space="preserve">, </w:t>
      </w:r>
      <w:r w:rsidRPr="001B53A8">
        <w:rPr>
          <w:lang w:val="sr-Latn-BA"/>
        </w:rPr>
        <w:t>birotehničke</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poslove</w:t>
      </w:r>
      <w:r w:rsidR="009628CE" w:rsidRPr="001B53A8">
        <w:rPr>
          <w:lang w:val="sr-Latn-BA"/>
        </w:rPr>
        <w:t xml:space="preserve"> </w:t>
      </w:r>
      <w:r w:rsidRPr="001B53A8">
        <w:rPr>
          <w:lang w:val="sr-Latn-BA"/>
        </w:rPr>
        <w:t>tekućeg</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investicionog</w:t>
      </w:r>
      <w:r w:rsidR="009628CE" w:rsidRPr="001B53A8">
        <w:rPr>
          <w:lang w:val="sr-Latn-BA"/>
        </w:rPr>
        <w:t xml:space="preserve"> </w:t>
      </w:r>
      <w:r w:rsidRPr="001B53A8">
        <w:rPr>
          <w:lang w:val="sr-Latn-BA"/>
        </w:rPr>
        <w:t>održavanja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obezbjeđivanja</w:t>
      </w:r>
      <w:r w:rsidR="009628CE" w:rsidRPr="001B53A8">
        <w:rPr>
          <w:lang w:val="sr-Latn-BA"/>
        </w:rPr>
        <w:t xml:space="preserve"> </w:t>
      </w:r>
      <w:r w:rsidRPr="001B53A8">
        <w:rPr>
          <w:lang w:val="sr-Latn-BA"/>
        </w:rPr>
        <w:t>drugih</w:t>
      </w:r>
      <w:r w:rsidR="009628CE" w:rsidRPr="001B53A8">
        <w:rPr>
          <w:lang w:val="sr-Latn-BA"/>
        </w:rPr>
        <w:t xml:space="preserve"> </w:t>
      </w:r>
      <w:r w:rsidRPr="001B53A8">
        <w:rPr>
          <w:lang w:val="sr-Latn-BA"/>
        </w:rPr>
        <w:t>uslova</w:t>
      </w:r>
      <w:r w:rsidR="009628CE" w:rsidRPr="001B53A8">
        <w:rPr>
          <w:lang w:val="sr-Latn-BA"/>
        </w:rPr>
        <w:t xml:space="preserve"> </w:t>
      </w:r>
      <w:r w:rsidRPr="001B53A8">
        <w:rPr>
          <w:lang w:val="sr-Latn-BA"/>
        </w:rPr>
        <w:t>rada</w:t>
      </w:r>
      <w:r w:rsidR="009628CE" w:rsidRPr="001B53A8">
        <w:rPr>
          <w:lang w:val="sr-Latn-BA"/>
        </w:rPr>
        <w:t>.</w:t>
      </w:r>
    </w:p>
    <w:p w14:paraId="511D54AF" w14:textId="77777777" w:rsidR="009628CE" w:rsidRPr="001B53A8" w:rsidRDefault="009628CE" w:rsidP="006B6E0C">
      <w:pPr>
        <w:spacing w:before="0" w:after="200" w:line="240" w:lineRule="auto"/>
        <w:ind w:firstLine="0"/>
        <w:jc w:val="left"/>
        <w:rPr>
          <w:rFonts w:eastAsiaTheme="majorEastAsia"/>
          <w:b/>
          <w:bCs/>
          <w:caps/>
          <w:color w:val="FFFFFF" w:themeColor="background1"/>
          <w:kern w:val="32"/>
          <w:sz w:val="28"/>
          <w:szCs w:val="32"/>
          <w:lang w:val="sr-Latn-BA"/>
        </w:rPr>
      </w:pPr>
      <w:bookmarkStart w:id="22" w:name="_Toc194970091"/>
      <w:bookmarkStart w:id="23" w:name="_Toc194970122"/>
      <w:r w:rsidRPr="001B53A8">
        <w:rPr>
          <w:lang w:val="sr-Latn-BA"/>
        </w:rPr>
        <w:br w:type="page"/>
      </w:r>
    </w:p>
    <w:p w14:paraId="6D46AA71" w14:textId="738ED6C8" w:rsidR="009628CE" w:rsidRPr="001B53A8" w:rsidRDefault="00003F34" w:rsidP="006B6E0C">
      <w:pPr>
        <w:pStyle w:val="Heading1"/>
        <w:shd w:val="clear" w:color="auto" w:fill="auto"/>
        <w:spacing w:before="360" w:line="240" w:lineRule="auto"/>
        <w:ind w:left="567" w:hanging="567"/>
        <w:rPr>
          <w:rFonts w:ascii="Times New Roman" w:hAnsi="Times New Roman"/>
          <w:caps w:val="0"/>
          <w:color w:val="002060"/>
          <w:lang w:val="sr-Latn-BA"/>
        </w:rPr>
      </w:pPr>
      <w:bookmarkStart w:id="24" w:name="_Toc167962107"/>
      <w:bookmarkStart w:id="25" w:name="_Toc98669715"/>
      <w:bookmarkStart w:id="26" w:name="_Toc165100103"/>
      <w:bookmarkStart w:id="27" w:name="_Toc258484689"/>
      <w:bookmarkStart w:id="28" w:name="_Toc321408889"/>
      <w:bookmarkStart w:id="29" w:name="_Toc194970093"/>
      <w:bookmarkStart w:id="30" w:name="_Toc194970124"/>
      <w:bookmarkEnd w:id="22"/>
      <w:bookmarkEnd w:id="23"/>
      <w:r w:rsidRPr="001B53A8">
        <w:rPr>
          <w:rFonts w:ascii="Times New Roman" w:hAnsi="Times New Roman"/>
          <w:caps w:val="0"/>
          <w:color w:val="002060"/>
          <w:lang w:val="sr-Latn-BA"/>
        </w:rPr>
        <w:lastRenderedPageBreak/>
        <w:t>STATISTIČKI</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PODACI</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O</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RADU</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KOMISIJE</w:t>
      </w:r>
      <w:bookmarkEnd w:id="24"/>
    </w:p>
    <w:p w14:paraId="4B05AE55" w14:textId="4346A78B" w:rsidR="009628CE" w:rsidRPr="001B53A8" w:rsidRDefault="00003F34" w:rsidP="006B6E0C">
      <w:pPr>
        <w:pStyle w:val="Heading2"/>
        <w:spacing w:before="240" w:after="120" w:line="240" w:lineRule="auto"/>
        <w:ind w:left="578" w:hanging="578"/>
        <w:rPr>
          <w:rFonts w:ascii="Times New Roman" w:hAnsi="Times New Roman"/>
          <w:sz w:val="24"/>
          <w:lang w:val="sr-Latn-BA"/>
        </w:rPr>
      </w:pPr>
      <w:bookmarkStart w:id="31" w:name="_Toc167962108"/>
      <w:r w:rsidRPr="001B53A8">
        <w:rPr>
          <w:rFonts w:ascii="Times New Roman" w:hAnsi="Times New Roman"/>
          <w:sz w:val="24"/>
          <w:lang w:val="sr-Latn-BA"/>
        </w:rPr>
        <w:t>Sjednice</w:t>
      </w:r>
      <w:r w:rsidR="009628CE" w:rsidRPr="001B53A8">
        <w:rPr>
          <w:rFonts w:ascii="Times New Roman" w:hAnsi="Times New Roman"/>
          <w:sz w:val="24"/>
          <w:lang w:val="sr-Latn-BA"/>
        </w:rPr>
        <w:t xml:space="preserve"> </w:t>
      </w:r>
      <w:r w:rsidRPr="001B53A8">
        <w:rPr>
          <w:rFonts w:ascii="Times New Roman" w:hAnsi="Times New Roman"/>
          <w:sz w:val="24"/>
          <w:lang w:val="sr-Latn-BA"/>
        </w:rPr>
        <w:t>Komisije</w:t>
      </w:r>
      <w:bookmarkEnd w:id="25"/>
      <w:bookmarkEnd w:id="26"/>
      <w:bookmarkEnd w:id="27"/>
      <w:bookmarkEnd w:id="28"/>
      <w:bookmarkEnd w:id="31"/>
    </w:p>
    <w:tbl>
      <w:tblPr>
        <w:tblStyle w:val="LightGrid-Accent11"/>
        <w:tblW w:w="0" w:type="auto"/>
        <w:jc w:val="center"/>
        <w:tblLook w:val="0420" w:firstRow="1" w:lastRow="0" w:firstColumn="0" w:lastColumn="0" w:noHBand="0" w:noVBand="1"/>
      </w:tblPr>
      <w:tblGrid>
        <w:gridCol w:w="7407"/>
        <w:gridCol w:w="1382"/>
      </w:tblGrid>
      <w:tr w:rsidR="0060565E" w:rsidRPr="001B53A8" w14:paraId="565597C9" w14:textId="77777777" w:rsidTr="00B37B23">
        <w:trPr>
          <w:cnfStyle w:val="100000000000" w:firstRow="1" w:lastRow="0" w:firstColumn="0" w:lastColumn="0" w:oddVBand="0" w:evenVBand="0" w:oddHBand="0" w:evenHBand="0" w:firstRowFirstColumn="0" w:firstRowLastColumn="0" w:lastRowFirstColumn="0" w:lastRowLastColumn="0"/>
          <w:jc w:val="center"/>
        </w:trPr>
        <w:tc>
          <w:tcPr>
            <w:tcW w:w="7407" w:type="dxa"/>
          </w:tcPr>
          <w:p w14:paraId="697D5D20" w14:textId="0C4560F3" w:rsidR="0060565E" w:rsidRPr="001B53A8" w:rsidRDefault="00003F34" w:rsidP="00FC63D2">
            <w:pPr>
              <w:pStyle w:val="Table"/>
              <w:rPr>
                <w:rFonts w:ascii="Times New Roman" w:hAnsi="Times New Roman" w:cs="Times New Roman"/>
                <w:color w:val="002060"/>
                <w:sz w:val="22"/>
                <w:szCs w:val="22"/>
                <w:lang w:val="sr-Latn-BA"/>
              </w:rPr>
            </w:pPr>
            <w:r w:rsidRPr="001B53A8">
              <w:rPr>
                <w:rFonts w:ascii="Times New Roman" w:hAnsi="Times New Roman" w:cs="Times New Roman"/>
                <w:color w:val="002060"/>
                <w:sz w:val="22"/>
                <w:szCs w:val="22"/>
                <w:lang w:val="sr-Latn-BA"/>
              </w:rPr>
              <w:t>Opis</w:t>
            </w:r>
          </w:p>
        </w:tc>
        <w:tc>
          <w:tcPr>
            <w:tcW w:w="1382" w:type="dxa"/>
          </w:tcPr>
          <w:p w14:paraId="096A83F9" w14:textId="31F15DAE" w:rsidR="0060565E" w:rsidRPr="001B53A8" w:rsidRDefault="00003F34" w:rsidP="00FC63D2">
            <w:pPr>
              <w:pStyle w:val="Table"/>
              <w:jc w:val="center"/>
              <w:rPr>
                <w:rFonts w:ascii="Times New Roman" w:hAnsi="Times New Roman" w:cs="Times New Roman"/>
                <w:color w:val="002060"/>
                <w:sz w:val="22"/>
                <w:szCs w:val="22"/>
                <w:lang w:val="sr-Latn-BA"/>
              </w:rPr>
            </w:pPr>
            <w:r w:rsidRPr="001B53A8">
              <w:rPr>
                <w:rFonts w:ascii="Times New Roman" w:hAnsi="Times New Roman" w:cs="Times New Roman"/>
                <w:color w:val="002060"/>
                <w:sz w:val="22"/>
                <w:szCs w:val="22"/>
                <w:lang w:val="sr-Latn-BA"/>
              </w:rPr>
              <w:t>Broj</w:t>
            </w:r>
          </w:p>
        </w:tc>
      </w:tr>
      <w:tr w:rsidR="0060565E" w:rsidRPr="001B53A8" w14:paraId="435BD1C1" w14:textId="77777777" w:rsidTr="00B37B23">
        <w:trPr>
          <w:cnfStyle w:val="000000100000" w:firstRow="0" w:lastRow="0" w:firstColumn="0" w:lastColumn="0" w:oddVBand="0" w:evenVBand="0" w:oddHBand="1" w:evenHBand="0" w:firstRowFirstColumn="0" w:firstRowLastColumn="0" w:lastRowFirstColumn="0" w:lastRowLastColumn="0"/>
          <w:jc w:val="center"/>
        </w:trPr>
        <w:tc>
          <w:tcPr>
            <w:tcW w:w="7407" w:type="dxa"/>
          </w:tcPr>
          <w:p w14:paraId="2CACD9EE" w14:textId="0C7D97F1" w:rsidR="0060565E" w:rsidRPr="001B53A8" w:rsidRDefault="00003F34" w:rsidP="00580CFB">
            <w:pPr>
              <w:pStyle w:val="Table"/>
              <w:numPr>
                <w:ilvl w:val="0"/>
                <w:numId w:val="45"/>
              </w:numPr>
              <w:ind w:left="459" w:hanging="283"/>
              <w:jc w:val="left"/>
              <w:rPr>
                <w:rFonts w:ascii="Times New Roman" w:hAnsi="Times New Roman" w:cs="Times New Roman"/>
                <w:sz w:val="22"/>
                <w:szCs w:val="22"/>
                <w:lang w:val="sr-Latn-BA"/>
              </w:rPr>
            </w:pPr>
            <w:r w:rsidRPr="001B53A8">
              <w:rPr>
                <w:rFonts w:ascii="Times New Roman" w:hAnsi="Times New Roman" w:cs="Times New Roman"/>
                <w:sz w:val="22"/>
                <w:szCs w:val="22"/>
                <w:lang w:val="sr-Latn-BA"/>
              </w:rPr>
              <w:t>Održane</w:t>
            </w:r>
            <w:r w:rsidR="0060565E"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sjednice</w:t>
            </w:r>
          </w:p>
        </w:tc>
        <w:tc>
          <w:tcPr>
            <w:tcW w:w="1382" w:type="dxa"/>
          </w:tcPr>
          <w:p w14:paraId="7E31461D" w14:textId="77777777" w:rsidR="0060565E" w:rsidRPr="001B53A8" w:rsidRDefault="0060565E" w:rsidP="009C0BB3">
            <w:pPr>
              <w:pStyle w:val="Table"/>
              <w:tabs>
                <w:tab w:val="decimal" w:pos="744"/>
              </w:tabs>
              <w:ind w:right="44"/>
              <w:jc w:val="left"/>
              <w:rPr>
                <w:rFonts w:ascii="Times New Roman" w:hAnsi="Times New Roman" w:cs="Times New Roman"/>
                <w:lang w:val="sr-Latn-BA"/>
              </w:rPr>
            </w:pPr>
            <w:r w:rsidRPr="001B53A8">
              <w:rPr>
                <w:rFonts w:ascii="Times New Roman" w:hAnsi="Times New Roman" w:cs="Times New Roman"/>
                <w:lang w:val="sr-Latn-BA"/>
              </w:rPr>
              <w:t>50</w:t>
            </w:r>
          </w:p>
        </w:tc>
      </w:tr>
      <w:tr w:rsidR="0060565E" w:rsidRPr="001B53A8" w14:paraId="4561A6E1" w14:textId="77777777" w:rsidTr="00B37B23">
        <w:trPr>
          <w:cnfStyle w:val="000000010000" w:firstRow="0" w:lastRow="0" w:firstColumn="0" w:lastColumn="0" w:oddVBand="0" w:evenVBand="0" w:oddHBand="0" w:evenHBand="1" w:firstRowFirstColumn="0" w:firstRowLastColumn="0" w:lastRowFirstColumn="0" w:lastRowLastColumn="0"/>
          <w:jc w:val="center"/>
        </w:trPr>
        <w:tc>
          <w:tcPr>
            <w:tcW w:w="7407" w:type="dxa"/>
          </w:tcPr>
          <w:p w14:paraId="348A9F79" w14:textId="41BF3369" w:rsidR="0060565E" w:rsidRPr="001B53A8" w:rsidRDefault="00003F34" w:rsidP="0060565E">
            <w:pPr>
              <w:pStyle w:val="Table"/>
              <w:numPr>
                <w:ilvl w:val="0"/>
                <w:numId w:val="45"/>
              </w:numPr>
              <w:ind w:left="459" w:hanging="283"/>
              <w:jc w:val="left"/>
              <w:rPr>
                <w:rFonts w:ascii="Times New Roman" w:hAnsi="Times New Roman" w:cs="Times New Roman"/>
                <w:sz w:val="22"/>
                <w:szCs w:val="22"/>
                <w:lang w:val="sr-Latn-BA"/>
              </w:rPr>
            </w:pPr>
            <w:r w:rsidRPr="001B53A8">
              <w:rPr>
                <w:rFonts w:ascii="Times New Roman" w:hAnsi="Times New Roman" w:cs="Times New Roman"/>
                <w:sz w:val="22"/>
                <w:szCs w:val="22"/>
                <w:lang w:val="sr-Latn-BA"/>
              </w:rPr>
              <w:t>Doneseni</w:t>
            </w:r>
            <w:r w:rsidR="0060565E"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akti</w:t>
            </w:r>
            <w:r w:rsidR="0060565E" w:rsidRPr="001B53A8">
              <w:rPr>
                <w:rFonts w:ascii="Times New Roman" w:hAnsi="Times New Roman" w:cs="Times New Roman"/>
                <w:sz w:val="22"/>
                <w:szCs w:val="22"/>
                <w:lang w:val="sr-Latn-BA"/>
              </w:rPr>
              <w:t>:</w:t>
            </w:r>
          </w:p>
        </w:tc>
        <w:tc>
          <w:tcPr>
            <w:tcW w:w="1382" w:type="dxa"/>
          </w:tcPr>
          <w:p w14:paraId="4514ADF0" w14:textId="77777777" w:rsidR="0060565E" w:rsidRPr="001B53A8" w:rsidRDefault="0060565E" w:rsidP="009C0BB3">
            <w:pPr>
              <w:pStyle w:val="Table"/>
              <w:tabs>
                <w:tab w:val="decimal" w:pos="744"/>
              </w:tabs>
              <w:ind w:right="44"/>
              <w:jc w:val="left"/>
              <w:rPr>
                <w:rFonts w:ascii="Times New Roman" w:hAnsi="Times New Roman" w:cs="Times New Roman"/>
                <w:lang w:val="sr-Latn-BA"/>
              </w:rPr>
            </w:pPr>
            <w:r w:rsidRPr="001B53A8">
              <w:rPr>
                <w:rFonts w:ascii="Times New Roman" w:hAnsi="Times New Roman" w:cs="Times New Roman"/>
                <w:lang w:val="sr-Latn-BA"/>
              </w:rPr>
              <w:t>308</w:t>
            </w:r>
          </w:p>
        </w:tc>
      </w:tr>
      <w:tr w:rsidR="0060565E" w:rsidRPr="001B53A8" w14:paraId="6B2ADD38" w14:textId="77777777" w:rsidTr="00B37B23">
        <w:trPr>
          <w:cnfStyle w:val="000000100000" w:firstRow="0" w:lastRow="0" w:firstColumn="0" w:lastColumn="0" w:oddVBand="0" w:evenVBand="0" w:oddHBand="1" w:evenHBand="0" w:firstRowFirstColumn="0" w:firstRowLastColumn="0" w:lastRowFirstColumn="0" w:lastRowLastColumn="0"/>
          <w:jc w:val="center"/>
        </w:trPr>
        <w:tc>
          <w:tcPr>
            <w:tcW w:w="7407" w:type="dxa"/>
          </w:tcPr>
          <w:p w14:paraId="4E4BE5A5" w14:textId="7EF83C5B" w:rsidR="0060565E" w:rsidRPr="001B53A8" w:rsidRDefault="00003F34" w:rsidP="00FC63D2">
            <w:pPr>
              <w:pStyle w:val="Table"/>
              <w:ind w:left="459"/>
              <w:rPr>
                <w:rFonts w:ascii="Times New Roman" w:hAnsi="Times New Roman" w:cs="Times New Roman"/>
                <w:sz w:val="22"/>
                <w:szCs w:val="22"/>
                <w:lang w:val="sr-Latn-BA"/>
              </w:rPr>
            </w:pPr>
            <w:r w:rsidRPr="001B53A8">
              <w:rPr>
                <w:rFonts w:ascii="Times New Roman" w:hAnsi="Times New Roman" w:cs="Times New Roman"/>
                <w:sz w:val="22"/>
                <w:szCs w:val="22"/>
                <w:lang w:val="sr-Latn-BA"/>
              </w:rPr>
              <w:t>a</w:t>
            </w:r>
            <w:r w:rsidR="0060565E"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Predsjednik</w:t>
            </w:r>
          </w:p>
        </w:tc>
        <w:tc>
          <w:tcPr>
            <w:tcW w:w="1382" w:type="dxa"/>
          </w:tcPr>
          <w:p w14:paraId="50B5D7F6" w14:textId="77777777" w:rsidR="0060565E" w:rsidRPr="001B53A8" w:rsidRDefault="0060565E" w:rsidP="009C0BB3">
            <w:pPr>
              <w:pStyle w:val="Table"/>
              <w:tabs>
                <w:tab w:val="decimal" w:pos="744"/>
              </w:tabs>
              <w:ind w:right="44"/>
              <w:jc w:val="left"/>
              <w:rPr>
                <w:rFonts w:ascii="Times New Roman" w:hAnsi="Times New Roman" w:cs="Times New Roman"/>
                <w:lang w:val="sr-Latn-BA"/>
              </w:rPr>
            </w:pPr>
            <w:r w:rsidRPr="001B53A8">
              <w:rPr>
                <w:rFonts w:ascii="Times New Roman" w:hAnsi="Times New Roman" w:cs="Times New Roman"/>
                <w:lang w:val="sr-Latn-BA"/>
              </w:rPr>
              <w:t>2</w:t>
            </w:r>
          </w:p>
        </w:tc>
      </w:tr>
      <w:tr w:rsidR="0060565E" w:rsidRPr="001B53A8" w14:paraId="04C0AC51" w14:textId="77777777" w:rsidTr="00B37B23">
        <w:trPr>
          <w:cnfStyle w:val="000000010000" w:firstRow="0" w:lastRow="0" w:firstColumn="0" w:lastColumn="0" w:oddVBand="0" w:evenVBand="0" w:oddHBand="0" w:evenHBand="1" w:firstRowFirstColumn="0" w:firstRowLastColumn="0" w:lastRowFirstColumn="0" w:lastRowLastColumn="0"/>
          <w:jc w:val="center"/>
        </w:trPr>
        <w:tc>
          <w:tcPr>
            <w:tcW w:w="7407" w:type="dxa"/>
          </w:tcPr>
          <w:p w14:paraId="667599EA" w14:textId="1F11FD7C" w:rsidR="0060565E" w:rsidRPr="001B53A8" w:rsidRDefault="00003F34" w:rsidP="00FC63D2">
            <w:pPr>
              <w:pStyle w:val="Table"/>
              <w:ind w:left="459"/>
              <w:rPr>
                <w:rFonts w:ascii="Times New Roman" w:hAnsi="Times New Roman" w:cs="Times New Roman"/>
                <w:sz w:val="22"/>
                <w:szCs w:val="22"/>
                <w:lang w:val="sr-Latn-BA"/>
              </w:rPr>
            </w:pPr>
            <w:r w:rsidRPr="001B53A8">
              <w:rPr>
                <w:rFonts w:ascii="Times New Roman" w:hAnsi="Times New Roman" w:cs="Times New Roman"/>
                <w:sz w:val="22"/>
                <w:szCs w:val="22"/>
                <w:lang w:val="sr-Latn-BA"/>
              </w:rPr>
              <w:t>b</w:t>
            </w:r>
            <w:r w:rsidR="0060565E"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Sekretarijat</w:t>
            </w:r>
          </w:p>
        </w:tc>
        <w:tc>
          <w:tcPr>
            <w:tcW w:w="1382" w:type="dxa"/>
          </w:tcPr>
          <w:p w14:paraId="489E877D" w14:textId="77777777" w:rsidR="0060565E" w:rsidRPr="001B53A8" w:rsidRDefault="0060565E" w:rsidP="009C0BB3">
            <w:pPr>
              <w:pStyle w:val="Table"/>
              <w:tabs>
                <w:tab w:val="decimal" w:pos="744"/>
              </w:tabs>
              <w:ind w:right="44"/>
              <w:jc w:val="left"/>
              <w:rPr>
                <w:rFonts w:ascii="Times New Roman" w:hAnsi="Times New Roman" w:cs="Times New Roman"/>
                <w:lang w:val="sr-Latn-BA"/>
              </w:rPr>
            </w:pPr>
            <w:r w:rsidRPr="001B53A8">
              <w:rPr>
                <w:rFonts w:ascii="Times New Roman" w:hAnsi="Times New Roman" w:cs="Times New Roman"/>
                <w:lang w:val="sr-Latn-BA"/>
              </w:rPr>
              <w:t>65</w:t>
            </w:r>
          </w:p>
        </w:tc>
      </w:tr>
      <w:tr w:rsidR="0060565E" w:rsidRPr="001B53A8" w14:paraId="12E0CDA6" w14:textId="77777777" w:rsidTr="00B37B23">
        <w:trPr>
          <w:cnfStyle w:val="000000100000" w:firstRow="0" w:lastRow="0" w:firstColumn="0" w:lastColumn="0" w:oddVBand="0" w:evenVBand="0" w:oddHBand="1" w:evenHBand="0" w:firstRowFirstColumn="0" w:firstRowLastColumn="0" w:lastRowFirstColumn="0" w:lastRowLastColumn="0"/>
          <w:jc w:val="center"/>
        </w:trPr>
        <w:tc>
          <w:tcPr>
            <w:tcW w:w="7407" w:type="dxa"/>
          </w:tcPr>
          <w:p w14:paraId="6E9F5419" w14:textId="2926F8FF" w:rsidR="0060565E" w:rsidRPr="001B53A8" w:rsidRDefault="00003F34" w:rsidP="00FC63D2">
            <w:pPr>
              <w:pStyle w:val="Table"/>
              <w:ind w:left="459"/>
              <w:rPr>
                <w:rFonts w:ascii="Times New Roman" w:hAnsi="Times New Roman" w:cs="Times New Roman"/>
                <w:sz w:val="22"/>
                <w:szCs w:val="22"/>
                <w:lang w:val="sr-Latn-BA"/>
              </w:rPr>
            </w:pPr>
            <w:r w:rsidRPr="001B53A8">
              <w:rPr>
                <w:rFonts w:ascii="Times New Roman" w:hAnsi="Times New Roman" w:cs="Times New Roman"/>
                <w:sz w:val="22"/>
                <w:szCs w:val="22"/>
                <w:lang w:val="sr-Latn-BA"/>
              </w:rPr>
              <w:t>v</w:t>
            </w:r>
            <w:r w:rsidR="0060565E"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Emisija</w:t>
            </w:r>
            <w:r w:rsidR="0060565E"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hartija</w:t>
            </w:r>
            <w:r w:rsidR="0060565E"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od</w:t>
            </w:r>
            <w:r w:rsidR="0060565E"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vrijednosti</w:t>
            </w:r>
          </w:p>
        </w:tc>
        <w:tc>
          <w:tcPr>
            <w:tcW w:w="1382" w:type="dxa"/>
          </w:tcPr>
          <w:p w14:paraId="716A3785" w14:textId="77777777" w:rsidR="0060565E" w:rsidRPr="001B53A8" w:rsidRDefault="0060565E" w:rsidP="009C0BB3">
            <w:pPr>
              <w:pStyle w:val="Table"/>
              <w:tabs>
                <w:tab w:val="decimal" w:pos="744"/>
              </w:tabs>
              <w:ind w:right="44"/>
              <w:jc w:val="left"/>
              <w:rPr>
                <w:rFonts w:ascii="Times New Roman" w:hAnsi="Times New Roman" w:cs="Times New Roman"/>
                <w:lang w:val="sr-Latn-BA"/>
              </w:rPr>
            </w:pPr>
            <w:r w:rsidRPr="001B53A8">
              <w:rPr>
                <w:rFonts w:ascii="Times New Roman" w:hAnsi="Times New Roman" w:cs="Times New Roman"/>
                <w:lang w:val="sr-Latn-BA"/>
              </w:rPr>
              <w:t>80</w:t>
            </w:r>
          </w:p>
        </w:tc>
      </w:tr>
      <w:tr w:rsidR="0060565E" w:rsidRPr="001B53A8" w14:paraId="430291A9" w14:textId="77777777" w:rsidTr="00B37B23">
        <w:trPr>
          <w:cnfStyle w:val="000000010000" w:firstRow="0" w:lastRow="0" w:firstColumn="0" w:lastColumn="0" w:oddVBand="0" w:evenVBand="0" w:oddHBand="0" w:evenHBand="1" w:firstRowFirstColumn="0" w:firstRowLastColumn="0" w:lastRowFirstColumn="0" w:lastRowLastColumn="0"/>
          <w:jc w:val="center"/>
        </w:trPr>
        <w:tc>
          <w:tcPr>
            <w:tcW w:w="7407" w:type="dxa"/>
          </w:tcPr>
          <w:p w14:paraId="553E152C" w14:textId="1265B009" w:rsidR="0060565E" w:rsidRPr="001B53A8" w:rsidRDefault="00003F34" w:rsidP="00FC63D2">
            <w:pPr>
              <w:pStyle w:val="Table"/>
              <w:ind w:left="459"/>
              <w:rPr>
                <w:rFonts w:ascii="Times New Roman" w:hAnsi="Times New Roman" w:cs="Times New Roman"/>
                <w:sz w:val="22"/>
                <w:szCs w:val="22"/>
                <w:lang w:val="sr-Latn-BA"/>
              </w:rPr>
            </w:pPr>
            <w:r w:rsidRPr="001B53A8">
              <w:rPr>
                <w:rFonts w:ascii="Times New Roman" w:hAnsi="Times New Roman" w:cs="Times New Roman"/>
                <w:sz w:val="22"/>
                <w:szCs w:val="22"/>
                <w:lang w:val="sr-Latn-BA"/>
              </w:rPr>
              <w:t>g</w:t>
            </w:r>
            <w:r w:rsidR="0060565E"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Razvoj</w:t>
            </w:r>
            <w:r w:rsidR="0060565E"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i</w:t>
            </w:r>
            <w:r w:rsidR="0060565E"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međunarodna</w:t>
            </w:r>
            <w:r w:rsidR="0060565E"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saradnja</w:t>
            </w:r>
          </w:p>
        </w:tc>
        <w:tc>
          <w:tcPr>
            <w:tcW w:w="1382" w:type="dxa"/>
          </w:tcPr>
          <w:p w14:paraId="49BF17D8" w14:textId="290FC25A" w:rsidR="0060565E" w:rsidRPr="001B53A8" w:rsidRDefault="00B37B23" w:rsidP="009C0BB3">
            <w:pPr>
              <w:pStyle w:val="Table"/>
              <w:tabs>
                <w:tab w:val="decimal" w:pos="744"/>
              </w:tabs>
              <w:ind w:right="44"/>
              <w:jc w:val="left"/>
              <w:rPr>
                <w:rFonts w:ascii="Times New Roman" w:hAnsi="Times New Roman" w:cs="Times New Roman"/>
                <w:lang w:val="sr-Latn-BA"/>
              </w:rPr>
            </w:pPr>
            <w:r w:rsidRPr="001B53A8">
              <w:rPr>
                <w:rFonts w:ascii="Times New Roman" w:hAnsi="Times New Roman" w:cs="Times New Roman"/>
                <w:lang w:val="sr-Latn-BA"/>
              </w:rPr>
              <w:t>5</w:t>
            </w:r>
          </w:p>
        </w:tc>
      </w:tr>
      <w:tr w:rsidR="0060565E" w:rsidRPr="001B53A8" w14:paraId="7DDDEFAE" w14:textId="77777777" w:rsidTr="00B37B23">
        <w:trPr>
          <w:cnfStyle w:val="000000100000" w:firstRow="0" w:lastRow="0" w:firstColumn="0" w:lastColumn="0" w:oddVBand="0" w:evenVBand="0" w:oddHBand="1" w:evenHBand="0" w:firstRowFirstColumn="0" w:firstRowLastColumn="0" w:lastRowFirstColumn="0" w:lastRowLastColumn="0"/>
          <w:jc w:val="center"/>
        </w:trPr>
        <w:tc>
          <w:tcPr>
            <w:tcW w:w="7407" w:type="dxa"/>
          </w:tcPr>
          <w:p w14:paraId="549AD237" w14:textId="5FF41BF3" w:rsidR="0060565E" w:rsidRPr="001B53A8" w:rsidRDefault="00003F34" w:rsidP="00FC63D2">
            <w:pPr>
              <w:pStyle w:val="Table"/>
              <w:ind w:left="459"/>
              <w:rPr>
                <w:rFonts w:ascii="Times New Roman" w:hAnsi="Times New Roman" w:cs="Times New Roman"/>
                <w:sz w:val="22"/>
                <w:szCs w:val="22"/>
                <w:lang w:val="sr-Latn-BA"/>
              </w:rPr>
            </w:pPr>
            <w:r w:rsidRPr="001B53A8">
              <w:rPr>
                <w:rFonts w:ascii="Times New Roman" w:hAnsi="Times New Roman" w:cs="Times New Roman"/>
                <w:sz w:val="22"/>
                <w:szCs w:val="22"/>
                <w:lang w:val="sr-Latn-BA"/>
              </w:rPr>
              <w:t>d</w:t>
            </w:r>
            <w:r w:rsidR="0060565E"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Izdavanje</w:t>
            </w:r>
            <w:r w:rsidR="0060565E"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dozvola</w:t>
            </w:r>
            <w:r w:rsidR="0060565E"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i</w:t>
            </w:r>
            <w:r w:rsidR="0060565E"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saglasnosti</w:t>
            </w:r>
            <w:r w:rsidR="0060565E"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učesnicima</w:t>
            </w:r>
            <w:r w:rsidR="0060565E"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na</w:t>
            </w:r>
            <w:r w:rsidR="0060565E"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tržištu</w:t>
            </w:r>
          </w:p>
        </w:tc>
        <w:tc>
          <w:tcPr>
            <w:tcW w:w="1382" w:type="dxa"/>
          </w:tcPr>
          <w:p w14:paraId="527F6F4E" w14:textId="57B28F3B" w:rsidR="0060565E" w:rsidRPr="001B53A8" w:rsidRDefault="00B37B23" w:rsidP="009C0BB3">
            <w:pPr>
              <w:pStyle w:val="Table"/>
              <w:tabs>
                <w:tab w:val="decimal" w:pos="744"/>
              </w:tabs>
              <w:ind w:right="44"/>
              <w:jc w:val="left"/>
              <w:rPr>
                <w:rFonts w:ascii="Times New Roman" w:hAnsi="Times New Roman" w:cs="Times New Roman"/>
                <w:lang w:val="sr-Latn-BA"/>
              </w:rPr>
            </w:pPr>
            <w:r w:rsidRPr="001B53A8">
              <w:rPr>
                <w:rFonts w:ascii="Times New Roman" w:hAnsi="Times New Roman" w:cs="Times New Roman"/>
                <w:lang w:val="sr-Latn-BA"/>
              </w:rPr>
              <w:t>92</w:t>
            </w:r>
          </w:p>
        </w:tc>
      </w:tr>
      <w:tr w:rsidR="0060565E" w:rsidRPr="001B53A8" w14:paraId="3708F76F" w14:textId="77777777" w:rsidTr="00B37B23">
        <w:trPr>
          <w:cnfStyle w:val="000000010000" w:firstRow="0" w:lastRow="0" w:firstColumn="0" w:lastColumn="0" w:oddVBand="0" w:evenVBand="0" w:oddHBand="0" w:evenHBand="1" w:firstRowFirstColumn="0" w:firstRowLastColumn="0" w:lastRowFirstColumn="0" w:lastRowLastColumn="0"/>
          <w:jc w:val="center"/>
        </w:trPr>
        <w:tc>
          <w:tcPr>
            <w:tcW w:w="7407" w:type="dxa"/>
          </w:tcPr>
          <w:p w14:paraId="4640D913" w14:textId="3F0A4F13" w:rsidR="0060565E" w:rsidRPr="001B53A8" w:rsidRDefault="00003F34" w:rsidP="00FC63D2">
            <w:pPr>
              <w:pStyle w:val="Table"/>
              <w:ind w:left="459"/>
              <w:rPr>
                <w:rFonts w:ascii="Times New Roman" w:hAnsi="Times New Roman" w:cs="Times New Roman"/>
                <w:sz w:val="22"/>
                <w:szCs w:val="22"/>
                <w:lang w:val="sr-Latn-BA"/>
              </w:rPr>
            </w:pPr>
            <w:r w:rsidRPr="001B53A8">
              <w:rPr>
                <w:rFonts w:ascii="Times New Roman" w:hAnsi="Times New Roman" w:cs="Times New Roman"/>
                <w:sz w:val="22"/>
                <w:szCs w:val="22"/>
                <w:lang w:val="sr-Latn-BA"/>
              </w:rPr>
              <w:t>đ</w:t>
            </w:r>
            <w:r w:rsidR="0060565E"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Nadzor</w:t>
            </w:r>
          </w:p>
        </w:tc>
        <w:tc>
          <w:tcPr>
            <w:tcW w:w="1382" w:type="dxa"/>
          </w:tcPr>
          <w:p w14:paraId="40D49946" w14:textId="504551EC" w:rsidR="0060565E" w:rsidRPr="001B53A8" w:rsidRDefault="00B37B23" w:rsidP="009C0BB3">
            <w:pPr>
              <w:pStyle w:val="Table"/>
              <w:tabs>
                <w:tab w:val="decimal" w:pos="744"/>
              </w:tabs>
              <w:ind w:right="44"/>
              <w:jc w:val="left"/>
              <w:rPr>
                <w:rFonts w:ascii="Times New Roman" w:hAnsi="Times New Roman" w:cs="Times New Roman"/>
                <w:lang w:val="sr-Latn-BA"/>
              </w:rPr>
            </w:pPr>
            <w:r w:rsidRPr="001B53A8">
              <w:rPr>
                <w:rFonts w:ascii="Times New Roman" w:hAnsi="Times New Roman" w:cs="Times New Roman"/>
                <w:lang w:val="sr-Latn-BA"/>
              </w:rPr>
              <w:t>64</w:t>
            </w:r>
          </w:p>
        </w:tc>
      </w:tr>
    </w:tbl>
    <w:p w14:paraId="682EEEFC" w14:textId="1E6D26BA" w:rsidR="009628CE" w:rsidRPr="001B53A8" w:rsidRDefault="00003F34" w:rsidP="006B6E0C">
      <w:pPr>
        <w:pStyle w:val="Caption"/>
        <w:tabs>
          <w:tab w:val="left" w:pos="1276"/>
        </w:tabs>
        <w:spacing w:after="120"/>
        <w:ind w:left="1276" w:hanging="1276"/>
        <w:jc w:val="both"/>
        <w:rPr>
          <w:rFonts w:ascii="Times New Roman" w:hAnsi="Times New Roman"/>
          <w:b w:val="0"/>
          <w:sz w:val="24"/>
          <w:szCs w:val="24"/>
          <w:lang w:val="sr-Latn-BA"/>
        </w:rPr>
      </w:pPr>
      <w:r w:rsidRPr="001B53A8">
        <w:rPr>
          <w:rFonts w:ascii="Times New Roman" w:hAnsi="Times New Roman"/>
          <w:sz w:val="24"/>
          <w:szCs w:val="24"/>
          <w:lang w:val="sr-Latn-BA"/>
        </w:rPr>
        <w:t>Tabela</w:t>
      </w:r>
      <w:r w:rsidR="009628CE" w:rsidRPr="001B53A8">
        <w:rPr>
          <w:rFonts w:ascii="Times New Roman" w:hAnsi="Times New Roman"/>
          <w:sz w:val="24"/>
          <w:szCs w:val="24"/>
          <w:lang w:val="sr-Latn-BA"/>
        </w:rPr>
        <w:t xml:space="preserve"> </w:t>
      </w:r>
      <w:r w:rsidR="00D3478F" w:rsidRPr="001B53A8">
        <w:rPr>
          <w:rFonts w:ascii="Times New Roman" w:hAnsi="Times New Roman"/>
          <w:sz w:val="24"/>
          <w:szCs w:val="24"/>
          <w:lang w:val="sr-Latn-BA"/>
        </w:rPr>
        <w:fldChar w:fldCharType="begin"/>
      </w:r>
      <w:r w:rsidR="009628CE" w:rsidRPr="001B53A8">
        <w:rPr>
          <w:rFonts w:ascii="Times New Roman" w:hAnsi="Times New Roman"/>
          <w:sz w:val="24"/>
          <w:szCs w:val="24"/>
          <w:lang w:val="sr-Latn-BA"/>
        </w:rPr>
        <w:instrText xml:space="preserve"> SEQ Табела \* ARABIC </w:instrText>
      </w:r>
      <w:r w:rsidR="00D3478F" w:rsidRPr="001B53A8">
        <w:rPr>
          <w:rFonts w:ascii="Times New Roman" w:hAnsi="Times New Roman"/>
          <w:sz w:val="24"/>
          <w:szCs w:val="24"/>
          <w:lang w:val="sr-Latn-BA"/>
        </w:rPr>
        <w:fldChar w:fldCharType="separate"/>
      </w:r>
      <w:r w:rsidR="00E00890" w:rsidRPr="001B53A8">
        <w:rPr>
          <w:rFonts w:ascii="Times New Roman" w:hAnsi="Times New Roman"/>
          <w:noProof/>
          <w:sz w:val="24"/>
          <w:szCs w:val="24"/>
          <w:lang w:val="sr-Latn-BA"/>
        </w:rPr>
        <w:t>1</w:t>
      </w:r>
      <w:r w:rsidR="00D3478F" w:rsidRPr="001B53A8">
        <w:rPr>
          <w:rFonts w:ascii="Times New Roman" w:hAnsi="Times New Roman"/>
          <w:sz w:val="24"/>
          <w:szCs w:val="24"/>
          <w:lang w:val="sr-Latn-BA"/>
        </w:rPr>
        <w:fldChar w:fldCharType="end"/>
      </w:r>
      <w:r w:rsidR="009628CE" w:rsidRPr="001B53A8">
        <w:rPr>
          <w:rFonts w:ascii="Times New Roman" w:hAnsi="Times New Roman"/>
          <w:sz w:val="24"/>
          <w:szCs w:val="24"/>
          <w:lang w:val="sr-Latn-BA"/>
        </w:rPr>
        <w:t>.</w:t>
      </w:r>
      <w:r w:rsidR="009628CE" w:rsidRPr="001B53A8">
        <w:rPr>
          <w:rFonts w:ascii="Times New Roman" w:hAnsi="Times New Roman"/>
          <w:sz w:val="24"/>
          <w:szCs w:val="24"/>
          <w:lang w:val="sr-Latn-BA"/>
        </w:rPr>
        <w:tab/>
      </w:r>
      <w:r w:rsidRPr="001B53A8">
        <w:rPr>
          <w:rFonts w:ascii="Times New Roman" w:hAnsi="Times New Roman"/>
          <w:b w:val="0"/>
          <w:sz w:val="24"/>
          <w:szCs w:val="24"/>
          <w:lang w:val="sr-Latn-BA"/>
        </w:rPr>
        <w:t>Pregled</w:t>
      </w:r>
      <w:r w:rsidR="009628CE" w:rsidRPr="001B53A8">
        <w:rPr>
          <w:rFonts w:ascii="Times New Roman" w:hAnsi="Times New Roman"/>
          <w:sz w:val="24"/>
          <w:szCs w:val="24"/>
          <w:lang w:val="sr-Latn-BA"/>
        </w:rPr>
        <w:t xml:space="preserve"> </w:t>
      </w:r>
      <w:r w:rsidRPr="001B53A8">
        <w:rPr>
          <w:rFonts w:ascii="Times New Roman" w:hAnsi="Times New Roman"/>
          <w:b w:val="0"/>
          <w:sz w:val="24"/>
          <w:szCs w:val="24"/>
          <w:lang w:val="sr-Latn-BA"/>
        </w:rPr>
        <w:t>održanih</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sjednica</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Komisije</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u</w:t>
      </w:r>
      <w:r w:rsidR="009628CE" w:rsidRPr="001B53A8">
        <w:rPr>
          <w:rFonts w:ascii="Times New Roman" w:hAnsi="Times New Roman"/>
          <w:b w:val="0"/>
          <w:sz w:val="24"/>
          <w:szCs w:val="24"/>
          <w:lang w:val="sr-Latn-BA"/>
        </w:rPr>
        <w:t xml:space="preserve"> </w:t>
      </w:r>
      <w:r w:rsidR="000F3F68" w:rsidRPr="001B53A8">
        <w:rPr>
          <w:rFonts w:ascii="Times New Roman" w:hAnsi="Times New Roman"/>
          <w:b w:val="0"/>
          <w:sz w:val="24"/>
          <w:szCs w:val="24"/>
          <w:lang w:val="sr-Latn-BA"/>
        </w:rPr>
        <w:t>202</w:t>
      </w:r>
      <w:r w:rsidR="0060565E" w:rsidRPr="001B53A8">
        <w:rPr>
          <w:rFonts w:ascii="Times New Roman" w:hAnsi="Times New Roman"/>
          <w:b w:val="0"/>
          <w:sz w:val="24"/>
          <w:szCs w:val="24"/>
          <w:lang w:val="sr-Latn-BA"/>
        </w:rPr>
        <w:t>3</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godini</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po</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tačkama</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dnevnog</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reda</w:t>
      </w:r>
    </w:p>
    <w:tbl>
      <w:tblPr>
        <w:tblStyle w:val="LightGrid-Accent121"/>
        <w:tblW w:w="8779" w:type="dxa"/>
        <w:jc w:val="center"/>
        <w:tblLook w:val="0460" w:firstRow="1" w:lastRow="1" w:firstColumn="0" w:lastColumn="0" w:noHBand="0" w:noVBand="1"/>
      </w:tblPr>
      <w:tblGrid>
        <w:gridCol w:w="7361"/>
        <w:gridCol w:w="1418"/>
      </w:tblGrid>
      <w:tr w:rsidR="0060565E" w:rsidRPr="001B53A8" w14:paraId="711075C5" w14:textId="77777777" w:rsidTr="00FC63D2">
        <w:trPr>
          <w:cnfStyle w:val="100000000000" w:firstRow="1" w:lastRow="0" w:firstColumn="0" w:lastColumn="0" w:oddVBand="0" w:evenVBand="0" w:oddHBand="0" w:evenHBand="0" w:firstRowFirstColumn="0" w:firstRowLastColumn="0" w:lastRowFirstColumn="0" w:lastRowLastColumn="0"/>
          <w:trHeight w:val="300"/>
          <w:jc w:val="center"/>
        </w:trPr>
        <w:tc>
          <w:tcPr>
            <w:tcW w:w="7361" w:type="dxa"/>
            <w:noWrap/>
            <w:hideMark/>
          </w:tcPr>
          <w:p w14:paraId="18D26BB0" w14:textId="3F46CF7B" w:rsidR="0060565E" w:rsidRPr="001B53A8" w:rsidRDefault="00003F34" w:rsidP="0060565E">
            <w:pPr>
              <w:pStyle w:val="Table"/>
              <w:rPr>
                <w:rFonts w:ascii="Times New Roman" w:hAnsi="Times New Roman"/>
                <w:color w:val="000000"/>
                <w:sz w:val="24"/>
                <w:szCs w:val="24"/>
                <w:lang w:val="sr-Latn-BA"/>
              </w:rPr>
            </w:pPr>
            <w:r w:rsidRPr="001B53A8">
              <w:rPr>
                <w:rFonts w:ascii="Times New Roman" w:hAnsi="Times New Roman"/>
                <w:color w:val="002060"/>
                <w:sz w:val="22"/>
                <w:szCs w:val="22"/>
                <w:lang w:val="sr-Latn-BA"/>
              </w:rPr>
              <w:t>Opis</w:t>
            </w:r>
          </w:p>
        </w:tc>
        <w:tc>
          <w:tcPr>
            <w:tcW w:w="1418" w:type="dxa"/>
            <w:noWrap/>
            <w:hideMark/>
          </w:tcPr>
          <w:p w14:paraId="5B79F748" w14:textId="5FB593B0" w:rsidR="0060565E" w:rsidRPr="001B53A8" w:rsidRDefault="00003F34" w:rsidP="0060565E">
            <w:pPr>
              <w:pStyle w:val="Table"/>
              <w:jc w:val="center"/>
              <w:rPr>
                <w:rFonts w:ascii="Times New Roman" w:hAnsi="Times New Roman"/>
                <w:color w:val="000000"/>
                <w:sz w:val="24"/>
                <w:szCs w:val="24"/>
                <w:lang w:val="sr-Latn-BA"/>
              </w:rPr>
            </w:pPr>
            <w:r w:rsidRPr="001B53A8">
              <w:rPr>
                <w:rFonts w:ascii="Times New Roman" w:hAnsi="Times New Roman"/>
                <w:color w:val="002060"/>
                <w:sz w:val="22"/>
                <w:szCs w:val="22"/>
                <w:lang w:val="sr-Latn-BA"/>
              </w:rPr>
              <w:t>Broj</w:t>
            </w:r>
          </w:p>
        </w:tc>
      </w:tr>
      <w:tr w:rsidR="0060565E" w:rsidRPr="001B53A8" w14:paraId="00884BF8" w14:textId="77777777" w:rsidTr="00FC63D2">
        <w:trPr>
          <w:cnfStyle w:val="000000100000" w:firstRow="0" w:lastRow="0" w:firstColumn="0" w:lastColumn="0" w:oddVBand="0" w:evenVBand="0" w:oddHBand="1" w:evenHBand="0" w:firstRowFirstColumn="0" w:firstRowLastColumn="0" w:lastRowFirstColumn="0" w:lastRowLastColumn="0"/>
          <w:trHeight w:val="127"/>
          <w:jc w:val="center"/>
        </w:trPr>
        <w:tc>
          <w:tcPr>
            <w:tcW w:w="7361" w:type="dxa"/>
            <w:noWrap/>
            <w:hideMark/>
          </w:tcPr>
          <w:p w14:paraId="1F8306FF" w14:textId="02E6C38F"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Pravilnici</w:t>
            </w:r>
          </w:p>
        </w:tc>
        <w:tc>
          <w:tcPr>
            <w:tcW w:w="1418" w:type="dxa"/>
            <w:noWrap/>
          </w:tcPr>
          <w:p w14:paraId="00B02501" w14:textId="77777777" w:rsidR="0060565E" w:rsidRPr="001B53A8" w:rsidRDefault="0060565E" w:rsidP="0060565E">
            <w:pPr>
              <w:pStyle w:val="Table"/>
              <w:tabs>
                <w:tab w:val="decimal" w:pos="744"/>
              </w:tabs>
              <w:ind w:right="44"/>
              <w:jc w:val="left"/>
              <w:rPr>
                <w:rFonts w:ascii="Times New Roman" w:eastAsia="Calibri" w:hAnsi="Times New Roman"/>
                <w:sz w:val="22"/>
                <w:szCs w:val="22"/>
                <w:lang w:val="sr-Latn-BA"/>
              </w:rPr>
            </w:pPr>
            <w:r w:rsidRPr="001B53A8">
              <w:rPr>
                <w:lang w:val="sr-Latn-BA"/>
              </w:rPr>
              <w:t>17</w:t>
            </w:r>
          </w:p>
        </w:tc>
      </w:tr>
      <w:tr w:rsidR="0060565E" w:rsidRPr="001B53A8" w14:paraId="49B581FF" w14:textId="77777777" w:rsidTr="00FC63D2">
        <w:trPr>
          <w:cnfStyle w:val="000000010000" w:firstRow="0" w:lastRow="0" w:firstColumn="0" w:lastColumn="0" w:oddVBand="0" w:evenVBand="0" w:oddHBand="0" w:evenHBand="1" w:firstRowFirstColumn="0" w:firstRowLastColumn="0" w:lastRowFirstColumn="0" w:lastRowLastColumn="0"/>
          <w:trHeight w:val="100"/>
          <w:jc w:val="center"/>
        </w:trPr>
        <w:tc>
          <w:tcPr>
            <w:tcW w:w="7361" w:type="dxa"/>
            <w:noWrap/>
            <w:hideMark/>
          </w:tcPr>
          <w:p w14:paraId="07D709D8" w14:textId="12141BED"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Odluke</w:t>
            </w:r>
          </w:p>
        </w:tc>
        <w:tc>
          <w:tcPr>
            <w:tcW w:w="1418" w:type="dxa"/>
            <w:noWrap/>
          </w:tcPr>
          <w:p w14:paraId="5FA14A8A" w14:textId="77777777" w:rsidR="0060565E" w:rsidRPr="001B53A8" w:rsidRDefault="0060565E" w:rsidP="0060565E">
            <w:pPr>
              <w:pStyle w:val="Table"/>
              <w:tabs>
                <w:tab w:val="decimal" w:pos="744"/>
              </w:tabs>
              <w:ind w:right="44"/>
              <w:jc w:val="left"/>
              <w:rPr>
                <w:lang w:val="sr-Latn-BA"/>
              </w:rPr>
            </w:pPr>
            <w:r w:rsidRPr="001B53A8">
              <w:rPr>
                <w:lang w:val="sr-Latn-BA"/>
              </w:rPr>
              <w:t>9</w:t>
            </w:r>
          </w:p>
        </w:tc>
      </w:tr>
      <w:tr w:rsidR="0060565E" w:rsidRPr="001B53A8" w14:paraId="2968FB3E" w14:textId="77777777" w:rsidTr="00FC63D2">
        <w:trPr>
          <w:cnfStyle w:val="000000100000" w:firstRow="0" w:lastRow="0" w:firstColumn="0" w:lastColumn="0" w:oddVBand="0" w:evenVBand="0" w:oddHBand="1" w:evenHBand="0" w:firstRowFirstColumn="0" w:firstRowLastColumn="0" w:lastRowFirstColumn="0" w:lastRowLastColumn="0"/>
          <w:trHeight w:val="204"/>
          <w:jc w:val="center"/>
        </w:trPr>
        <w:tc>
          <w:tcPr>
            <w:tcW w:w="7361" w:type="dxa"/>
            <w:noWrap/>
            <w:hideMark/>
          </w:tcPr>
          <w:p w14:paraId="5348E9A7" w14:textId="02283ABC"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Rješenja</w:t>
            </w:r>
          </w:p>
        </w:tc>
        <w:tc>
          <w:tcPr>
            <w:tcW w:w="1418" w:type="dxa"/>
            <w:noWrap/>
          </w:tcPr>
          <w:p w14:paraId="2F389997" w14:textId="77777777" w:rsidR="0060565E" w:rsidRPr="001B53A8" w:rsidRDefault="0060565E" w:rsidP="0060565E">
            <w:pPr>
              <w:pStyle w:val="Table"/>
              <w:tabs>
                <w:tab w:val="decimal" w:pos="744"/>
              </w:tabs>
              <w:ind w:right="44"/>
              <w:jc w:val="left"/>
              <w:rPr>
                <w:lang w:val="sr-Latn-BA"/>
              </w:rPr>
            </w:pPr>
            <w:r w:rsidRPr="001B53A8">
              <w:rPr>
                <w:lang w:val="sr-Latn-BA"/>
              </w:rPr>
              <w:t>129</w:t>
            </w:r>
          </w:p>
        </w:tc>
      </w:tr>
      <w:tr w:rsidR="0060565E" w:rsidRPr="001B53A8" w14:paraId="7CD212B8" w14:textId="77777777" w:rsidTr="00FC63D2">
        <w:trPr>
          <w:cnfStyle w:val="000000010000" w:firstRow="0" w:lastRow="0" w:firstColumn="0" w:lastColumn="0" w:oddVBand="0" w:evenVBand="0" w:oddHBand="0" w:evenHBand="1" w:firstRowFirstColumn="0" w:firstRowLastColumn="0" w:lastRowFirstColumn="0" w:lastRowLastColumn="0"/>
          <w:trHeight w:val="166"/>
          <w:jc w:val="center"/>
        </w:trPr>
        <w:tc>
          <w:tcPr>
            <w:tcW w:w="7361" w:type="dxa"/>
            <w:noWrap/>
            <w:hideMark/>
          </w:tcPr>
          <w:p w14:paraId="3B7B34A4" w14:textId="59D51783" w:rsidR="0060565E" w:rsidRPr="001B53A8" w:rsidRDefault="0060565E" w:rsidP="0060565E">
            <w:pPr>
              <w:spacing w:after="0" w:line="240" w:lineRule="auto"/>
              <w:ind w:left="746" w:hanging="425"/>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 xml:space="preserve">a) </w:t>
            </w:r>
            <w:r w:rsidR="00003F34" w:rsidRPr="001B53A8">
              <w:rPr>
                <w:rFonts w:ascii="Times New Roman" w:eastAsia="Calibri" w:hAnsi="Times New Roman"/>
                <w:color w:val="000000"/>
                <w:sz w:val="22"/>
                <w:szCs w:val="22"/>
                <w:lang w:val="sr-Latn-BA"/>
              </w:rPr>
              <w:t>Sektor</w:t>
            </w:r>
            <w:r w:rsidRPr="001B53A8">
              <w:rPr>
                <w:rFonts w:ascii="Times New Roman" w:eastAsia="Calibri" w:hAnsi="Times New Roman"/>
                <w:color w:val="000000"/>
                <w:sz w:val="22"/>
                <w:szCs w:val="22"/>
                <w:lang w:val="sr-Latn-BA"/>
              </w:rPr>
              <w:t xml:space="preserve"> </w:t>
            </w:r>
            <w:r w:rsidR="00003F34" w:rsidRPr="001B53A8">
              <w:rPr>
                <w:rFonts w:ascii="Times New Roman" w:eastAsia="Calibri" w:hAnsi="Times New Roman"/>
                <w:color w:val="000000"/>
                <w:sz w:val="22"/>
                <w:szCs w:val="22"/>
                <w:lang w:val="sr-Latn-BA"/>
              </w:rPr>
              <w:t>za</w:t>
            </w:r>
            <w:r w:rsidRPr="001B53A8">
              <w:rPr>
                <w:rFonts w:ascii="Times New Roman" w:eastAsia="Calibri" w:hAnsi="Times New Roman"/>
                <w:color w:val="000000"/>
                <w:sz w:val="22"/>
                <w:szCs w:val="22"/>
                <w:lang w:val="sr-Latn-BA"/>
              </w:rPr>
              <w:t xml:space="preserve"> </w:t>
            </w:r>
            <w:r w:rsidR="00003F34" w:rsidRPr="001B53A8">
              <w:rPr>
                <w:rFonts w:ascii="Times New Roman" w:eastAsia="Calibri" w:hAnsi="Times New Roman"/>
                <w:color w:val="000000"/>
                <w:sz w:val="22"/>
                <w:szCs w:val="22"/>
                <w:lang w:val="sr-Latn-BA"/>
              </w:rPr>
              <w:t>emisiju</w:t>
            </w:r>
            <w:r w:rsidRPr="001B53A8">
              <w:rPr>
                <w:rFonts w:ascii="Times New Roman" w:eastAsia="Calibri" w:hAnsi="Times New Roman"/>
                <w:color w:val="000000"/>
                <w:sz w:val="22"/>
                <w:szCs w:val="22"/>
                <w:lang w:val="sr-Latn-BA"/>
              </w:rPr>
              <w:t xml:space="preserve"> </w:t>
            </w:r>
            <w:r w:rsidR="00003F34" w:rsidRPr="001B53A8">
              <w:rPr>
                <w:rFonts w:ascii="Times New Roman" w:eastAsia="Calibri" w:hAnsi="Times New Roman"/>
                <w:color w:val="000000"/>
                <w:sz w:val="22"/>
                <w:szCs w:val="22"/>
                <w:lang w:val="sr-Latn-BA"/>
              </w:rPr>
              <w:t>hartija</w:t>
            </w:r>
            <w:r w:rsidRPr="001B53A8">
              <w:rPr>
                <w:rFonts w:ascii="Times New Roman" w:eastAsia="Calibri" w:hAnsi="Times New Roman"/>
                <w:color w:val="000000"/>
                <w:sz w:val="22"/>
                <w:szCs w:val="22"/>
                <w:lang w:val="sr-Latn-BA"/>
              </w:rPr>
              <w:t xml:space="preserve"> </w:t>
            </w:r>
            <w:r w:rsidR="00003F34" w:rsidRPr="001B53A8">
              <w:rPr>
                <w:rFonts w:ascii="Times New Roman" w:eastAsia="Calibri" w:hAnsi="Times New Roman"/>
                <w:color w:val="000000"/>
                <w:sz w:val="22"/>
                <w:szCs w:val="22"/>
                <w:lang w:val="sr-Latn-BA"/>
              </w:rPr>
              <w:t>od</w:t>
            </w:r>
            <w:r w:rsidRPr="001B53A8">
              <w:rPr>
                <w:rFonts w:ascii="Times New Roman" w:eastAsia="Calibri" w:hAnsi="Times New Roman"/>
                <w:color w:val="000000"/>
                <w:sz w:val="22"/>
                <w:szCs w:val="22"/>
                <w:lang w:val="sr-Latn-BA"/>
              </w:rPr>
              <w:t xml:space="preserve"> </w:t>
            </w:r>
            <w:r w:rsidR="00003F34" w:rsidRPr="001B53A8">
              <w:rPr>
                <w:rFonts w:ascii="Times New Roman" w:eastAsia="Calibri" w:hAnsi="Times New Roman"/>
                <w:color w:val="000000"/>
                <w:sz w:val="22"/>
                <w:szCs w:val="22"/>
                <w:lang w:val="sr-Latn-BA"/>
              </w:rPr>
              <w:t>vrijednosti</w:t>
            </w:r>
          </w:p>
        </w:tc>
        <w:tc>
          <w:tcPr>
            <w:tcW w:w="1418" w:type="dxa"/>
            <w:noWrap/>
          </w:tcPr>
          <w:p w14:paraId="009F5D7C" w14:textId="77777777" w:rsidR="0060565E" w:rsidRPr="001B53A8" w:rsidRDefault="0060565E" w:rsidP="0060565E">
            <w:pPr>
              <w:pStyle w:val="Table"/>
              <w:tabs>
                <w:tab w:val="decimal" w:pos="744"/>
              </w:tabs>
              <w:ind w:right="44"/>
              <w:jc w:val="left"/>
              <w:rPr>
                <w:lang w:val="sr-Latn-BA"/>
              </w:rPr>
            </w:pPr>
            <w:r w:rsidRPr="001B53A8">
              <w:rPr>
                <w:lang w:val="sr-Latn-BA"/>
              </w:rPr>
              <w:t>53</w:t>
            </w:r>
          </w:p>
        </w:tc>
      </w:tr>
      <w:tr w:rsidR="0060565E" w:rsidRPr="001B53A8" w14:paraId="53E9F28B" w14:textId="77777777" w:rsidTr="00FC63D2">
        <w:trPr>
          <w:cnfStyle w:val="000000100000" w:firstRow="0" w:lastRow="0" w:firstColumn="0" w:lastColumn="0" w:oddVBand="0" w:evenVBand="0" w:oddHBand="1" w:evenHBand="0" w:firstRowFirstColumn="0" w:firstRowLastColumn="0" w:lastRowFirstColumn="0" w:lastRowLastColumn="0"/>
          <w:trHeight w:val="128"/>
          <w:jc w:val="center"/>
        </w:trPr>
        <w:tc>
          <w:tcPr>
            <w:tcW w:w="7361" w:type="dxa"/>
            <w:noWrap/>
            <w:hideMark/>
          </w:tcPr>
          <w:p w14:paraId="22251149" w14:textId="34B5E868" w:rsidR="0060565E" w:rsidRPr="001B53A8" w:rsidRDefault="00003F34" w:rsidP="0060565E">
            <w:pPr>
              <w:spacing w:after="0" w:line="240" w:lineRule="auto"/>
              <w:ind w:left="888" w:hanging="567"/>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b</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Sektor</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za</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izdavanje</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dozvola</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i</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saglasnosti</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učesnicima</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na</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tržištu</w:t>
            </w:r>
          </w:p>
        </w:tc>
        <w:tc>
          <w:tcPr>
            <w:tcW w:w="1418" w:type="dxa"/>
            <w:noWrap/>
          </w:tcPr>
          <w:p w14:paraId="0314E6E1" w14:textId="77777777" w:rsidR="0060565E" w:rsidRPr="001B53A8" w:rsidRDefault="0060565E" w:rsidP="0060565E">
            <w:pPr>
              <w:pStyle w:val="Table"/>
              <w:tabs>
                <w:tab w:val="decimal" w:pos="744"/>
              </w:tabs>
              <w:ind w:right="44"/>
              <w:jc w:val="left"/>
              <w:rPr>
                <w:lang w:val="sr-Latn-BA"/>
              </w:rPr>
            </w:pPr>
            <w:r w:rsidRPr="001B53A8">
              <w:rPr>
                <w:lang w:val="sr-Latn-BA"/>
              </w:rPr>
              <w:t>72</w:t>
            </w:r>
          </w:p>
        </w:tc>
      </w:tr>
      <w:tr w:rsidR="0060565E" w:rsidRPr="001B53A8" w14:paraId="1EB1A7ED" w14:textId="77777777" w:rsidTr="00FC63D2">
        <w:trPr>
          <w:cnfStyle w:val="000000010000" w:firstRow="0" w:lastRow="0" w:firstColumn="0" w:lastColumn="0" w:oddVBand="0" w:evenVBand="0" w:oddHBand="0" w:evenHBand="1" w:firstRowFirstColumn="0" w:firstRowLastColumn="0" w:lastRowFirstColumn="0" w:lastRowLastColumn="0"/>
          <w:trHeight w:val="46"/>
          <w:jc w:val="center"/>
        </w:trPr>
        <w:tc>
          <w:tcPr>
            <w:tcW w:w="7361" w:type="dxa"/>
            <w:noWrap/>
            <w:hideMark/>
          </w:tcPr>
          <w:p w14:paraId="510AB02A" w14:textId="3D10F6E9" w:rsidR="0060565E" w:rsidRPr="001B53A8" w:rsidRDefault="00003F34" w:rsidP="0060565E">
            <w:pPr>
              <w:spacing w:after="0" w:line="240" w:lineRule="auto"/>
              <w:ind w:left="746" w:hanging="425"/>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v</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Sektor</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za</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nadzor</w:t>
            </w:r>
          </w:p>
        </w:tc>
        <w:tc>
          <w:tcPr>
            <w:tcW w:w="1418" w:type="dxa"/>
            <w:noWrap/>
          </w:tcPr>
          <w:p w14:paraId="22151ACB" w14:textId="77777777" w:rsidR="0060565E" w:rsidRPr="001B53A8" w:rsidRDefault="0060565E" w:rsidP="0060565E">
            <w:pPr>
              <w:pStyle w:val="Table"/>
              <w:tabs>
                <w:tab w:val="decimal" w:pos="744"/>
              </w:tabs>
              <w:ind w:right="44"/>
              <w:jc w:val="left"/>
              <w:rPr>
                <w:lang w:val="sr-Latn-BA"/>
              </w:rPr>
            </w:pPr>
            <w:r w:rsidRPr="001B53A8">
              <w:rPr>
                <w:lang w:val="sr-Latn-BA"/>
              </w:rPr>
              <w:t>4</w:t>
            </w:r>
          </w:p>
        </w:tc>
      </w:tr>
      <w:tr w:rsidR="0060565E" w:rsidRPr="001B53A8" w14:paraId="6E678726" w14:textId="77777777" w:rsidTr="00FC63D2">
        <w:trPr>
          <w:cnfStyle w:val="000000100000" w:firstRow="0" w:lastRow="0" w:firstColumn="0" w:lastColumn="0" w:oddVBand="0" w:evenVBand="0" w:oddHBand="1" w:evenHBand="0" w:firstRowFirstColumn="0" w:firstRowLastColumn="0" w:lastRowFirstColumn="0" w:lastRowLastColumn="0"/>
          <w:trHeight w:val="62"/>
          <w:jc w:val="center"/>
        </w:trPr>
        <w:tc>
          <w:tcPr>
            <w:tcW w:w="7361" w:type="dxa"/>
            <w:noWrap/>
            <w:hideMark/>
          </w:tcPr>
          <w:p w14:paraId="20840232" w14:textId="2E79BCE4"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Zaklјučci</w:t>
            </w:r>
          </w:p>
        </w:tc>
        <w:tc>
          <w:tcPr>
            <w:tcW w:w="1418" w:type="dxa"/>
            <w:noWrap/>
          </w:tcPr>
          <w:p w14:paraId="0354FC81" w14:textId="77777777" w:rsidR="0060565E" w:rsidRPr="001B53A8" w:rsidRDefault="0060565E" w:rsidP="0060565E">
            <w:pPr>
              <w:pStyle w:val="Table"/>
              <w:tabs>
                <w:tab w:val="decimal" w:pos="744"/>
              </w:tabs>
              <w:ind w:right="44"/>
              <w:jc w:val="left"/>
              <w:rPr>
                <w:lang w:val="sr-Latn-BA"/>
              </w:rPr>
            </w:pPr>
            <w:r w:rsidRPr="001B53A8">
              <w:rPr>
                <w:lang w:val="sr-Latn-BA"/>
              </w:rPr>
              <w:t>3</w:t>
            </w:r>
          </w:p>
        </w:tc>
      </w:tr>
      <w:tr w:rsidR="0060565E" w:rsidRPr="001B53A8" w14:paraId="00CA4DC9" w14:textId="77777777" w:rsidTr="00FC63D2">
        <w:trPr>
          <w:cnfStyle w:val="000000010000" w:firstRow="0" w:lastRow="0" w:firstColumn="0" w:lastColumn="0" w:oddVBand="0" w:evenVBand="0" w:oddHBand="0" w:evenHBand="1" w:firstRowFirstColumn="0" w:firstRowLastColumn="0" w:lastRowFirstColumn="0" w:lastRowLastColumn="0"/>
          <w:trHeight w:val="46"/>
          <w:jc w:val="center"/>
        </w:trPr>
        <w:tc>
          <w:tcPr>
            <w:tcW w:w="7361" w:type="dxa"/>
            <w:noWrap/>
            <w:hideMark/>
          </w:tcPr>
          <w:p w14:paraId="14B8B60B" w14:textId="738AB5CF"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Dopisi</w:t>
            </w:r>
            <w:r w:rsidR="0060565E" w:rsidRPr="001B53A8">
              <w:rPr>
                <w:rFonts w:ascii="Times New Roman" w:eastAsia="Calibri" w:hAnsi="Times New Roman"/>
                <w:color w:val="000000"/>
                <w:sz w:val="22"/>
                <w:szCs w:val="22"/>
                <w:lang w:val="sr-Latn-BA"/>
              </w:rPr>
              <w:t xml:space="preserve"> </w:t>
            </w:r>
          </w:p>
        </w:tc>
        <w:tc>
          <w:tcPr>
            <w:tcW w:w="1418" w:type="dxa"/>
            <w:noWrap/>
          </w:tcPr>
          <w:p w14:paraId="0D2C8A82" w14:textId="77777777" w:rsidR="0060565E" w:rsidRPr="001B53A8" w:rsidRDefault="0060565E" w:rsidP="0060565E">
            <w:pPr>
              <w:pStyle w:val="Table"/>
              <w:tabs>
                <w:tab w:val="decimal" w:pos="744"/>
              </w:tabs>
              <w:ind w:right="44"/>
              <w:jc w:val="left"/>
              <w:rPr>
                <w:lang w:val="sr-Latn-BA"/>
              </w:rPr>
            </w:pPr>
            <w:r w:rsidRPr="001B53A8">
              <w:rPr>
                <w:lang w:val="sr-Latn-BA"/>
              </w:rPr>
              <w:t>4</w:t>
            </w:r>
          </w:p>
        </w:tc>
      </w:tr>
      <w:tr w:rsidR="0060565E" w:rsidRPr="001B53A8" w14:paraId="5CE942BF" w14:textId="77777777" w:rsidTr="00FC63D2">
        <w:trPr>
          <w:cnfStyle w:val="000000100000" w:firstRow="0" w:lastRow="0" w:firstColumn="0" w:lastColumn="0" w:oddVBand="0" w:evenVBand="0" w:oddHBand="1" w:evenHBand="0" w:firstRowFirstColumn="0" w:firstRowLastColumn="0" w:lastRowFirstColumn="0" w:lastRowLastColumn="0"/>
          <w:trHeight w:val="228"/>
          <w:jc w:val="center"/>
        </w:trPr>
        <w:tc>
          <w:tcPr>
            <w:tcW w:w="7361" w:type="dxa"/>
            <w:noWrap/>
            <w:hideMark/>
          </w:tcPr>
          <w:p w14:paraId="6C16C01B" w14:textId="1E957851"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Zapisnici</w:t>
            </w:r>
          </w:p>
        </w:tc>
        <w:tc>
          <w:tcPr>
            <w:tcW w:w="1418" w:type="dxa"/>
            <w:noWrap/>
          </w:tcPr>
          <w:p w14:paraId="3FD4AC78" w14:textId="77777777" w:rsidR="0060565E" w:rsidRPr="001B53A8" w:rsidRDefault="0060565E" w:rsidP="0060565E">
            <w:pPr>
              <w:pStyle w:val="Table"/>
              <w:tabs>
                <w:tab w:val="decimal" w:pos="744"/>
              </w:tabs>
              <w:ind w:right="44"/>
              <w:jc w:val="left"/>
              <w:rPr>
                <w:lang w:val="sr-Latn-BA"/>
              </w:rPr>
            </w:pPr>
            <w:r w:rsidRPr="001B53A8">
              <w:rPr>
                <w:lang w:val="sr-Latn-BA"/>
              </w:rPr>
              <w:t>50</w:t>
            </w:r>
          </w:p>
        </w:tc>
      </w:tr>
      <w:tr w:rsidR="0060565E" w:rsidRPr="001B53A8" w14:paraId="3A6A231A" w14:textId="77777777" w:rsidTr="00FC63D2">
        <w:trPr>
          <w:cnfStyle w:val="000000010000" w:firstRow="0" w:lastRow="0" w:firstColumn="0" w:lastColumn="0" w:oddVBand="0" w:evenVBand="0" w:oddHBand="0" w:evenHBand="1" w:firstRowFirstColumn="0" w:firstRowLastColumn="0" w:lastRowFirstColumn="0" w:lastRowLastColumn="0"/>
          <w:trHeight w:val="48"/>
          <w:jc w:val="center"/>
        </w:trPr>
        <w:tc>
          <w:tcPr>
            <w:tcW w:w="7361" w:type="dxa"/>
            <w:noWrap/>
            <w:hideMark/>
          </w:tcPr>
          <w:p w14:paraId="7BB27A57" w14:textId="0AF7628C"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Informacije</w:t>
            </w:r>
          </w:p>
        </w:tc>
        <w:tc>
          <w:tcPr>
            <w:tcW w:w="1418" w:type="dxa"/>
            <w:noWrap/>
          </w:tcPr>
          <w:p w14:paraId="090C5D76" w14:textId="77777777" w:rsidR="0060565E" w:rsidRPr="001B53A8" w:rsidRDefault="0060565E" w:rsidP="0060565E">
            <w:pPr>
              <w:pStyle w:val="Table"/>
              <w:tabs>
                <w:tab w:val="decimal" w:pos="744"/>
              </w:tabs>
              <w:ind w:right="44"/>
              <w:jc w:val="left"/>
              <w:rPr>
                <w:lang w:val="sr-Latn-BA"/>
              </w:rPr>
            </w:pPr>
            <w:r w:rsidRPr="001B53A8">
              <w:rPr>
                <w:lang w:val="sr-Latn-BA"/>
              </w:rPr>
              <w:t>16</w:t>
            </w:r>
          </w:p>
        </w:tc>
      </w:tr>
      <w:tr w:rsidR="0060565E" w:rsidRPr="001B53A8" w14:paraId="5ADA5E03" w14:textId="77777777" w:rsidTr="00FC63D2">
        <w:trPr>
          <w:cnfStyle w:val="000000100000" w:firstRow="0" w:lastRow="0" w:firstColumn="0" w:lastColumn="0" w:oddVBand="0" w:evenVBand="0" w:oddHBand="1" w:evenHBand="0" w:firstRowFirstColumn="0" w:firstRowLastColumn="0" w:lastRowFirstColumn="0" w:lastRowLastColumn="0"/>
          <w:trHeight w:val="152"/>
          <w:jc w:val="center"/>
        </w:trPr>
        <w:tc>
          <w:tcPr>
            <w:tcW w:w="7361" w:type="dxa"/>
            <w:noWrap/>
            <w:hideMark/>
          </w:tcPr>
          <w:p w14:paraId="14D16EDF" w14:textId="72AF7035"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Izvještaji</w:t>
            </w:r>
          </w:p>
        </w:tc>
        <w:tc>
          <w:tcPr>
            <w:tcW w:w="1418" w:type="dxa"/>
            <w:noWrap/>
          </w:tcPr>
          <w:p w14:paraId="41970CFF" w14:textId="77777777" w:rsidR="0060565E" w:rsidRPr="001B53A8" w:rsidRDefault="0060565E" w:rsidP="0060565E">
            <w:pPr>
              <w:pStyle w:val="Table"/>
              <w:tabs>
                <w:tab w:val="decimal" w:pos="744"/>
              </w:tabs>
              <w:ind w:right="44"/>
              <w:jc w:val="left"/>
              <w:rPr>
                <w:lang w:val="sr-Latn-BA"/>
              </w:rPr>
            </w:pPr>
            <w:r w:rsidRPr="001B53A8">
              <w:rPr>
                <w:lang w:val="sr-Latn-BA"/>
              </w:rPr>
              <w:t>31</w:t>
            </w:r>
          </w:p>
        </w:tc>
      </w:tr>
      <w:tr w:rsidR="0060565E" w:rsidRPr="001B53A8" w14:paraId="653632D9" w14:textId="77777777" w:rsidTr="00FC63D2">
        <w:trPr>
          <w:cnfStyle w:val="000000010000" w:firstRow="0" w:lastRow="0" w:firstColumn="0" w:lastColumn="0" w:oddVBand="0" w:evenVBand="0" w:oddHBand="0" w:evenHBand="1" w:firstRowFirstColumn="0" w:firstRowLastColumn="0" w:lastRowFirstColumn="0" w:lastRowLastColumn="0"/>
          <w:trHeight w:val="46"/>
          <w:jc w:val="center"/>
        </w:trPr>
        <w:tc>
          <w:tcPr>
            <w:tcW w:w="7361" w:type="dxa"/>
            <w:noWrap/>
            <w:hideMark/>
          </w:tcPr>
          <w:p w14:paraId="06558EF5" w14:textId="4C5EE128"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Zahtjevi</w:t>
            </w:r>
          </w:p>
        </w:tc>
        <w:tc>
          <w:tcPr>
            <w:tcW w:w="1418" w:type="dxa"/>
            <w:noWrap/>
          </w:tcPr>
          <w:p w14:paraId="1B59F5C4" w14:textId="77777777" w:rsidR="0060565E" w:rsidRPr="001B53A8" w:rsidRDefault="0060565E" w:rsidP="0060565E">
            <w:pPr>
              <w:pStyle w:val="Table"/>
              <w:tabs>
                <w:tab w:val="decimal" w:pos="744"/>
              </w:tabs>
              <w:ind w:right="44"/>
              <w:jc w:val="left"/>
              <w:rPr>
                <w:lang w:val="sr-Latn-BA"/>
              </w:rPr>
            </w:pPr>
            <w:r w:rsidRPr="001B53A8">
              <w:rPr>
                <w:lang w:val="sr-Latn-BA"/>
              </w:rPr>
              <w:t>1</w:t>
            </w:r>
          </w:p>
        </w:tc>
      </w:tr>
      <w:tr w:rsidR="0060565E" w:rsidRPr="001B53A8" w14:paraId="4C07E26D" w14:textId="77777777" w:rsidTr="00FC63D2">
        <w:trPr>
          <w:cnfStyle w:val="000000100000" w:firstRow="0" w:lastRow="0" w:firstColumn="0" w:lastColumn="0" w:oddVBand="0" w:evenVBand="0" w:oddHBand="1" w:evenHBand="0" w:firstRowFirstColumn="0" w:firstRowLastColumn="0" w:lastRowFirstColumn="0" w:lastRowLastColumn="0"/>
          <w:trHeight w:val="128"/>
          <w:jc w:val="center"/>
        </w:trPr>
        <w:tc>
          <w:tcPr>
            <w:tcW w:w="7361" w:type="dxa"/>
            <w:noWrap/>
            <w:hideMark/>
          </w:tcPr>
          <w:p w14:paraId="6B499615" w14:textId="15261946"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Interni</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akti</w:t>
            </w:r>
          </w:p>
        </w:tc>
        <w:tc>
          <w:tcPr>
            <w:tcW w:w="1418" w:type="dxa"/>
            <w:noWrap/>
          </w:tcPr>
          <w:p w14:paraId="010F8903" w14:textId="77777777" w:rsidR="0060565E" w:rsidRPr="001B53A8" w:rsidRDefault="0060565E" w:rsidP="0060565E">
            <w:pPr>
              <w:pStyle w:val="Table"/>
              <w:tabs>
                <w:tab w:val="decimal" w:pos="744"/>
              </w:tabs>
              <w:ind w:right="44"/>
              <w:jc w:val="left"/>
              <w:rPr>
                <w:lang w:val="sr-Latn-BA"/>
              </w:rPr>
            </w:pPr>
            <w:r w:rsidRPr="001B53A8">
              <w:rPr>
                <w:lang w:val="sr-Latn-BA"/>
              </w:rPr>
              <w:t>1</w:t>
            </w:r>
          </w:p>
        </w:tc>
      </w:tr>
      <w:tr w:rsidR="0060565E" w:rsidRPr="001B53A8" w14:paraId="663AB0E8" w14:textId="77777777" w:rsidTr="00FC63D2">
        <w:trPr>
          <w:cnfStyle w:val="000000010000" w:firstRow="0" w:lastRow="0" w:firstColumn="0" w:lastColumn="0" w:oddVBand="0" w:evenVBand="0" w:oddHBand="0" w:evenHBand="1" w:firstRowFirstColumn="0" w:firstRowLastColumn="0" w:lastRowFirstColumn="0" w:lastRowLastColumn="0"/>
          <w:trHeight w:val="89"/>
          <w:jc w:val="center"/>
        </w:trPr>
        <w:tc>
          <w:tcPr>
            <w:tcW w:w="7361" w:type="dxa"/>
            <w:noWrap/>
            <w:hideMark/>
          </w:tcPr>
          <w:p w14:paraId="65863B20" w14:textId="530AC510"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Inicijative</w:t>
            </w:r>
          </w:p>
        </w:tc>
        <w:tc>
          <w:tcPr>
            <w:tcW w:w="1418" w:type="dxa"/>
            <w:noWrap/>
          </w:tcPr>
          <w:p w14:paraId="69972386" w14:textId="77777777" w:rsidR="0060565E" w:rsidRPr="001B53A8" w:rsidRDefault="0060565E" w:rsidP="0060565E">
            <w:pPr>
              <w:pStyle w:val="Table"/>
              <w:tabs>
                <w:tab w:val="decimal" w:pos="744"/>
              </w:tabs>
              <w:ind w:right="44"/>
              <w:jc w:val="left"/>
              <w:rPr>
                <w:lang w:val="sr-Latn-BA"/>
              </w:rPr>
            </w:pPr>
            <w:r w:rsidRPr="001B53A8">
              <w:rPr>
                <w:lang w:val="sr-Latn-BA"/>
              </w:rPr>
              <w:t>1</w:t>
            </w:r>
          </w:p>
        </w:tc>
      </w:tr>
      <w:tr w:rsidR="0060565E" w:rsidRPr="001B53A8" w14:paraId="4490FE18" w14:textId="77777777" w:rsidTr="00FC63D2">
        <w:trPr>
          <w:cnfStyle w:val="000000100000" w:firstRow="0" w:lastRow="0" w:firstColumn="0" w:lastColumn="0" w:oddVBand="0" w:evenVBand="0" w:oddHBand="1" w:evenHBand="0" w:firstRowFirstColumn="0" w:firstRowLastColumn="0" w:lastRowFirstColumn="0" w:lastRowLastColumn="0"/>
          <w:trHeight w:val="46"/>
          <w:jc w:val="center"/>
        </w:trPr>
        <w:tc>
          <w:tcPr>
            <w:tcW w:w="7361" w:type="dxa"/>
            <w:noWrap/>
            <w:hideMark/>
          </w:tcPr>
          <w:p w14:paraId="74A19D54" w14:textId="0F6BFD7A"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Uvjerenja</w:t>
            </w:r>
          </w:p>
        </w:tc>
        <w:tc>
          <w:tcPr>
            <w:tcW w:w="1418" w:type="dxa"/>
            <w:noWrap/>
          </w:tcPr>
          <w:p w14:paraId="771D92AD" w14:textId="77777777" w:rsidR="0060565E" w:rsidRPr="001B53A8" w:rsidRDefault="0060565E" w:rsidP="0060565E">
            <w:pPr>
              <w:pStyle w:val="Table"/>
              <w:tabs>
                <w:tab w:val="decimal" w:pos="744"/>
              </w:tabs>
              <w:ind w:right="44"/>
              <w:jc w:val="left"/>
              <w:rPr>
                <w:lang w:val="sr-Latn-BA"/>
              </w:rPr>
            </w:pPr>
            <w:r w:rsidRPr="001B53A8">
              <w:rPr>
                <w:lang w:val="sr-Latn-BA"/>
              </w:rPr>
              <w:t>2</w:t>
            </w:r>
          </w:p>
        </w:tc>
      </w:tr>
      <w:tr w:rsidR="0060565E" w:rsidRPr="001B53A8" w14:paraId="4E0713CE" w14:textId="77777777" w:rsidTr="00FC63D2">
        <w:trPr>
          <w:cnfStyle w:val="000000010000" w:firstRow="0" w:lastRow="0" w:firstColumn="0" w:lastColumn="0" w:oddVBand="0" w:evenVBand="0" w:oddHBand="0" w:evenHBand="1" w:firstRowFirstColumn="0" w:firstRowLastColumn="0" w:lastRowFirstColumn="0" w:lastRowLastColumn="0"/>
          <w:trHeight w:val="141"/>
          <w:jc w:val="center"/>
        </w:trPr>
        <w:tc>
          <w:tcPr>
            <w:tcW w:w="7361" w:type="dxa"/>
            <w:noWrap/>
            <w:hideMark/>
          </w:tcPr>
          <w:p w14:paraId="0970B351" w14:textId="79120C77"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Odgovori</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na</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upit</w:t>
            </w:r>
          </w:p>
        </w:tc>
        <w:tc>
          <w:tcPr>
            <w:tcW w:w="1418" w:type="dxa"/>
            <w:noWrap/>
          </w:tcPr>
          <w:p w14:paraId="439BE0AD" w14:textId="77777777" w:rsidR="0060565E" w:rsidRPr="001B53A8" w:rsidRDefault="0060565E" w:rsidP="0060565E">
            <w:pPr>
              <w:pStyle w:val="Table"/>
              <w:tabs>
                <w:tab w:val="decimal" w:pos="744"/>
              </w:tabs>
              <w:ind w:right="44"/>
              <w:jc w:val="left"/>
              <w:rPr>
                <w:lang w:val="sr-Latn-BA"/>
              </w:rPr>
            </w:pPr>
            <w:r w:rsidRPr="001B53A8">
              <w:rPr>
                <w:lang w:val="sr-Latn-BA"/>
              </w:rPr>
              <w:t>24</w:t>
            </w:r>
          </w:p>
        </w:tc>
      </w:tr>
      <w:tr w:rsidR="0060565E" w:rsidRPr="001B53A8" w14:paraId="567B89F1" w14:textId="77777777" w:rsidTr="00FC63D2">
        <w:trPr>
          <w:cnfStyle w:val="000000100000" w:firstRow="0" w:lastRow="0" w:firstColumn="0" w:lastColumn="0" w:oddVBand="0" w:evenVBand="0" w:oddHBand="1" w:evenHBand="0" w:firstRowFirstColumn="0" w:firstRowLastColumn="0" w:lastRowFirstColumn="0" w:lastRowLastColumn="0"/>
          <w:trHeight w:val="46"/>
          <w:jc w:val="center"/>
        </w:trPr>
        <w:tc>
          <w:tcPr>
            <w:tcW w:w="7361" w:type="dxa"/>
            <w:noWrap/>
            <w:hideMark/>
          </w:tcPr>
          <w:p w14:paraId="008FA034" w14:textId="2765F593"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Odgovori</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na</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tužbu</w:t>
            </w:r>
          </w:p>
        </w:tc>
        <w:tc>
          <w:tcPr>
            <w:tcW w:w="1418" w:type="dxa"/>
            <w:noWrap/>
          </w:tcPr>
          <w:p w14:paraId="2101A09E" w14:textId="77777777" w:rsidR="0060565E" w:rsidRPr="001B53A8" w:rsidRDefault="0060565E" w:rsidP="0060565E">
            <w:pPr>
              <w:pStyle w:val="Table"/>
              <w:tabs>
                <w:tab w:val="decimal" w:pos="744"/>
              </w:tabs>
              <w:ind w:right="44"/>
              <w:jc w:val="left"/>
              <w:rPr>
                <w:lang w:val="sr-Latn-BA"/>
              </w:rPr>
            </w:pPr>
            <w:r w:rsidRPr="001B53A8">
              <w:rPr>
                <w:lang w:val="sr-Latn-BA"/>
              </w:rPr>
              <w:t>1</w:t>
            </w:r>
          </w:p>
        </w:tc>
      </w:tr>
      <w:tr w:rsidR="0060565E" w:rsidRPr="001B53A8" w14:paraId="6A3196A9" w14:textId="77777777" w:rsidTr="00FC63D2">
        <w:trPr>
          <w:cnfStyle w:val="000000010000" w:firstRow="0" w:lastRow="0" w:firstColumn="0" w:lastColumn="0" w:oddVBand="0" w:evenVBand="0" w:oddHBand="0" w:evenHBand="1" w:firstRowFirstColumn="0" w:firstRowLastColumn="0" w:lastRowFirstColumn="0" w:lastRowLastColumn="0"/>
          <w:trHeight w:val="46"/>
          <w:jc w:val="center"/>
        </w:trPr>
        <w:tc>
          <w:tcPr>
            <w:tcW w:w="7361" w:type="dxa"/>
            <w:noWrap/>
          </w:tcPr>
          <w:p w14:paraId="5C67BEE6" w14:textId="2075BFF8"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Odgovori</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na</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žalbu</w:t>
            </w:r>
          </w:p>
        </w:tc>
        <w:tc>
          <w:tcPr>
            <w:tcW w:w="1418" w:type="dxa"/>
            <w:noWrap/>
          </w:tcPr>
          <w:p w14:paraId="131365B5" w14:textId="77777777" w:rsidR="0060565E" w:rsidRPr="001B53A8" w:rsidRDefault="0060565E" w:rsidP="0060565E">
            <w:pPr>
              <w:pStyle w:val="Table"/>
              <w:tabs>
                <w:tab w:val="decimal" w:pos="744"/>
              </w:tabs>
              <w:ind w:right="44"/>
              <w:jc w:val="left"/>
              <w:rPr>
                <w:lang w:val="sr-Latn-BA"/>
              </w:rPr>
            </w:pPr>
            <w:r w:rsidRPr="001B53A8">
              <w:rPr>
                <w:lang w:val="sr-Latn-BA"/>
              </w:rPr>
              <w:t>1</w:t>
            </w:r>
          </w:p>
        </w:tc>
      </w:tr>
      <w:tr w:rsidR="0060565E" w:rsidRPr="001B53A8" w14:paraId="0468FAA3" w14:textId="77777777" w:rsidTr="00FC63D2">
        <w:trPr>
          <w:cnfStyle w:val="000000100000" w:firstRow="0" w:lastRow="0" w:firstColumn="0" w:lastColumn="0" w:oddVBand="0" w:evenVBand="0" w:oddHBand="1" w:evenHBand="0" w:firstRowFirstColumn="0" w:firstRowLastColumn="0" w:lastRowFirstColumn="0" w:lastRowLastColumn="0"/>
          <w:trHeight w:val="46"/>
          <w:jc w:val="center"/>
        </w:trPr>
        <w:tc>
          <w:tcPr>
            <w:tcW w:w="7361" w:type="dxa"/>
            <w:noWrap/>
          </w:tcPr>
          <w:p w14:paraId="0B6DBD4B" w14:textId="2F78D10B"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Polugodišnja</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informacija</w:t>
            </w:r>
          </w:p>
        </w:tc>
        <w:tc>
          <w:tcPr>
            <w:tcW w:w="1418" w:type="dxa"/>
            <w:noWrap/>
          </w:tcPr>
          <w:p w14:paraId="0C03AF4E" w14:textId="77777777" w:rsidR="0060565E" w:rsidRPr="001B53A8" w:rsidRDefault="0060565E" w:rsidP="0060565E">
            <w:pPr>
              <w:pStyle w:val="Table"/>
              <w:tabs>
                <w:tab w:val="decimal" w:pos="744"/>
              </w:tabs>
              <w:ind w:right="44"/>
              <w:jc w:val="left"/>
              <w:rPr>
                <w:lang w:val="sr-Latn-BA"/>
              </w:rPr>
            </w:pPr>
            <w:r w:rsidRPr="001B53A8">
              <w:rPr>
                <w:lang w:val="sr-Latn-BA"/>
              </w:rPr>
              <w:t>1</w:t>
            </w:r>
          </w:p>
        </w:tc>
      </w:tr>
      <w:tr w:rsidR="0060565E" w:rsidRPr="001B53A8" w14:paraId="42B08801" w14:textId="77777777" w:rsidTr="00FC63D2">
        <w:trPr>
          <w:cnfStyle w:val="000000010000" w:firstRow="0" w:lastRow="0" w:firstColumn="0" w:lastColumn="0" w:oddVBand="0" w:evenVBand="0" w:oddHBand="0" w:evenHBand="1" w:firstRowFirstColumn="0" w:firstRowLastColumn="0" w:lastRowFirstColumn="0" w:lastRowLastColumn="0"/>
          <w:trHeight w:val="46"/>
          <w:jc w:val="center"/>
        </w:trPr>
        <w:tc>
          <w:tcPr>
            <w:tcW w:w="7361" w:type="dxa"/>
            <w:noWrap/>
          </w:tcPr>
          <w:p w14:paraId="4A63F4A3" w14:textId="2A5EB055"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Memorandumi</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Bilateralni</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sporazumi</w:t>
            </w:r>
          </w:p>
        </w:tc>
        <w:tc>
          <w:tcPr>
            <w:tcW w:w="1418" w:type="dxa"/>
            <w:noWrap/>
          </w:tcPr>
          <w:p w14:paraId="77ACFE9B" w14:textId="77777777" w:rsidR="0060565E" w:rsidRPr="001B53A8" w:rsidRDefault="0060565E" w:rsidP="0060565E">
            <w:pPr>
              <w:pStyle w:val="Table"/>
              <w:tabs>
                <w:tab w:val="decimal" w:pos="744"/>
              </w:tabs>
              <w:ind w:right="44"/>
              <w:jc w:val="left"/>
              <w:rPr>
                <w:lang w:val="sr-Latn-BA"/>
              </w:rPr>
            </w:pPr>
            <w:r w:rsidRPr="001B53A8">
              <w:rPr>
                <w:lang w:val="sr-Latn-BA"/>
              </w:rPr>
              <w:t>1</w:t>
            </w:r>
          </w:p>
        </w:tc>
      </w:tr>
      <w:tr w:rsidR="0060565E" w:rsidRPr="001B53A8" w14:paraId="5014D453" w14:textId="77777777" w:rsidTr="00FC63D2">
        <w:trPr>
          <w:cnfStyle w:val="000000100000" w:firstRow="0" w:lastRow="0" w:firstColumn="0" w:lastColumn="0" w:oddVBand="0" w:evenVBand="0" w:oddHBand="1" w:evenHBand="0" w:firstRowFirstColumn="0" w:firstRowLastColumn="0" w:lastRowFirstColumn="0" w:lastRowLastColumn="0"/>
          <w:trHeight w:val="46"/>
          <w:jc w:val="center"/>
        </w:trPr>
        <w:tc>
          <w:tcPr>
            <w:tcW w:w="7361" w:type="dxa"/>
            <w:noWrap/>
          </w:tcPr>
          <w:p w14:paraId="095E6668" w14:textId="794557C3"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Program</w:t>
            </w:r>
            <w:r w:rsidR="0060565E" w:rsidRPr="001B53A8">
              <w:rPr>
                <w:rFonts w:ascii="Times New Roman" w:eastAsia="Calibri" w:hAnsi="Times New Roman"/>
                <w:color w:val="000000"/>
                <w:sz w:val="22"/>
                <w:szCs w:val="22"/>
                <w:lang w:val="sr-Latn-BA"/>
              </w:rPr>
              <w:t xml:space="preserve"> </w:t>
            </w:r>
            <w:r w:rsidRPr="001B53A8">
              <w:rPr>
                <w:rFonts w:ascii="Times New Roman" w:eastAsia="Calibri" w:hAnsi="Times New Roman"/>
                <w:color w:val="000000"/>
                <w:sz w:val="22"/>
                <w:szCs w:val="22"/>
                <w:lang w:val="sr-Latn-BA"/>
              </w:rPr>
              <w:t>rada</w:t>
            </w:r>
          </w:p>
        </w:tc>
        <w:tc>
          <w:tcPr>
            <w:tcW w:w="1418" w:type="dxa"/>
            <w:noWrap/>
          </w:tcPr>
          <w:p w14:paraId="058B67AC" w14:textId="77777777" w:rsidR="0060565E" w:rsidRPr="001B53A8" w:rsidRDefault="0060565E" w:rsidP="0060565E">
            <w:pPr>
              <w:pStyle w:val="Table"/>
              <w:tabs>
                <w:tab w:val="decimal" w:pos="744"/>
              </w:tabs>
              <w:ind w:right="44"/>
              <w:jc w:val="left"/>
              <w:rPr>
                <w:lang w:val="sr-Latn-BA"/>
              </w:rPr>
            </w:pPr>
            <w:r w:rsidRPr="001B53A8">
              <w:rPr>
                <w:lang w:val="sr-Latn-BA"/>
              </w:rPr>
              <w:t>1</w:t>
            </w:r>
          </w:p>
        </w:tc>
      </w:tr>
      <w:tr w:rsidR="0060565E" w:rsidRPr="001B53A8" w14:paraId="1C0A5765" w14:textId="77777777" w:rsidTr="00FC63D2">
        <w:trPr>
          <w:cnfStyle w:val="000000010000" w:firstRow="0" w:lastRow="0" w:firstColumn="0" w:lastColumn="0" w:oddVBand="0" w:evenVBand="0" w:oddHBand="0" w:evenHBand="1" w:firstRowFirstColumn="0" w:firstRowLastColumn="0" w:lastRowFirstColumn="0" w:lastRowLastColumn="0"/>
          <w:trHeight w:val="46"/>
          <w:jc w:val="center"/>
        </w:trPr>
        <w:tc>
          <w:tcPr>
            <w:tcW w:w="7361" w:type="dxa"/>
            <w:noWrap/>
          </w:tcPr>
          <w:p w14:paraId="4A225FC0" w14:textId="381D7F43"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Uputstva</w:t>
            </w:r>
          </w:p>
        </w:tc>
        <w:tc>
          <w:tcPr>
            <w:tcW w:w="1418" w:type="dxa"/>
            <w:noWrap/>
          </w:tcPr>
          <w:p w14:paraId="23C01C4C" w14:textId="77777777" w:rsidR="0060565E" w:rsidRPr="001B53A8" w:rsidRDefault="0060565E" w:rsidP="0060565E">
            <w:pPr>
              <w:pStyle w:val="Table"/>
              <w:tabs>
                <w:tab w:val="decimal" w:pos="744"/>
              </w:tabs>
              <w:ind w:right="44"/>
              <w:jc w:val="left"/>
              <w:rPr>
                <w:lang w:val="sr-Latn-BA"/>
              </w:rPr>
            </w:pPr>
            <w:r w:rsidRPr="001B53A8">
              <w:rPr>
                <w:lang w:val="sr-Latn-BA"/>
              </w:rPr>
              <w:t>1</w:t>
            </w:r>
          </w:p>
        </w:tc>
      </w:tr>
      <w:tr w:rsidR="0060565E" w:rsidRPr="001B53A8" w14:paraId="37B4A1FB" w14:textId="77777777" w:rsidTr="00FC63D2">
        <w:trPr>
          <w:cnfStyle w:val="000000100000" w:firstRow="0" w:lastRow="0" w:firstColumn="0" w:lastColumn="0" w:oddVBand="0" w:evenVBand="0" w:oddHBand="1" w:evenHBand="0" w:firstRowFirstColumn="0" w:firstRowLastColumn="0" w:lastRowFirstColumn="0" w:lastRowLastColumn="0"/>
          <w:trHeight w:val="46"/>
          <w:jc w:val="center"/>
        </w:trPr>
        <w:tc>
          <w:tcPr>
            <w:tcW w:w="7361" w:type="dxa"/>
            <w:noWrap/>
          </w:tcPr>
          <w:p w14:paraId="53C7719E" w14:textId="7D883E81"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Obavještenja</w:t>
            </w:r>
          </w:p>
        </w:tc>
        <w:tc>
          <w:tcPr>
            <w:tcW w:w="1418" w:type="dxa"/>
            <w:noWrap/>
          </w:tcPr>
          <w:p w14:paraId="255E8F85" w14:textId="77777777" w:rsidR="0060565E" w:rsidRPr="001B53A8" w:rsidRDefault="0060565E" w:rsidP="0060565E">
            <w:pPr>
              <w:pStyle w:val="Table"/>
              <w:tabs>
                <w:tab w:val="decimal" w:pos="744"/>
              </w:tabs>
              <w:ind w:right="44"/>
              <w:jc w:val="left"/>
              <w:rPr>
                <w:lang w:val="sr-Latn-BA"/>
              </w:rPr>
            </w:pPr>
            <w:r w:rsidRPr="001B53A8">
              <w:rPr>
                <w:lang w:val="sr-Latn-BA"/>
              </w:rPr>
              <w:t>5</w:t>
            </w:r>
          </w:p>
        </w:tc>
      </w:tr>
      <w:tr w:rsidR="0060565E" w:rsidRPr="001B53A8" w14:paraId="6CBADF40" w14:textId="77777777" w:rsidTr="00FC63D2">
        <w:trPr>
          <w:cnfStyle w:val="000000010000" w:firstRow="0" w:lastRow="0" w:firstColumn="0" w:lastColumn="0" w:oddVBand="0" w:evenVBand="0" w:oddHBand="0" w:evenHBand="1" w:firstRowFirstColumn="0" w:firstRowLastColumn="0" w:lastRowFirstColumn="0" w:lastRowLastColumn="0"/>
          <w:trHeight w:val="46"/>
          <w:jc w:val="center"/>
        </w:trPr>
        <w:tc>
          <w:tcPr>
            <w:tcW w:w="7361" w:type="dxa"/>
            <w:noWrap/>
          </w:tcPr>
          <w:p w14:paraId="27B6EAA9" w14:textId="77C5F161" w:rsidR="0060565E" w:rsidRPr="001B53A8" w:rsidRDefault="00003F34" w:rsidP="0060565E">
            <w:pPr>
              <w:numPr>
                <w:ilvl w:val="0"/>
                <w:numId w:val="16"/>
              </w:numPr>
              <w:spacing w:after="0" w:line="240" w:lineRule="auto"/>
              <w:ind w:left="318" w:hanging="318"/>
              <w:jc w:val="left"/>
              <w:rPr>
                <w:rFonts w:ascii="Times New Roman" w:eastAsia="Calibri" w:hAnsi="Times New Roman"/>
                <w:color w:val="000000"/>
                <w:sz w:val="22"/>
                <w:szCs w:val="22"/>
                <w:lang w:val="sr-Latn-BA"/>
              </w:rPr>
            </w:pPr>
            <w:r w:rsidRPr="001B53A8">
              <w:rPr>
                <w:rFonts w:ascii="Times New Roman" w:eastAsia="Calibri" w:hAnsi="Times New Roman"/>
                <w:color w:val="000000"/>
                <w:sz w:val="22"/>
                <w:szCs w:val="22"/>
                <w:lang w:val="sr-Latn-BA"/>
              </w:rPr>
              <w:t>Ostalo</w:t>
            </w:r>
          </w:p>
        </w:tc>
        <w:tc>
          <w:tcPr>
            <w:tcW w:w="1418" w:type="dxa"/>
            <w:noWrap/>
          </w:tcPr>
          <w:p w14:paraId="2F550C05" w14:textId="77777777" w:rsidR="0060565E" w:rsidRPr="001B53A8" w:rsidRDefault="0060565E" w:rsidP="0060565E">
            <w:pPr>
              <w:pStyle w:val="Table"/>
              <w:tabs>
                <w:tab w:val="decimal" w:pos="744"/>
              </w:tabs>
              <w:ind w:right="44"/>
              <w:jc w:val="left"/>
              <w:rPr>
                <w:lang w:val="sr-Latn-BA"/>
              </w:rPr>
            </w:pPr>
            <w:r w:rsidRPr="001B53A8">
              <w:rPr>
                <w:lang w:val="sr-Latn-BA"/>
              </w:rPr>
              <w:t>9</w:t>
            </w:r>
          </w:p>
        </w:tc>
      </w:tr>
      <w:tr w:rsidR="0060565E" w:rsidRPr="001B53A8" w14:paraId="05187B21" w14:textId="77777777" w:rsidTr="00FC63D2">
        <w:trPr>
          <w:cnfStyle w:val="010000000000" w:firstRow="0" w:lastRow="1" w:firstColumn="0" w:lastColumn="0" w:oddVBand="0" w:evenVBand="0" w:oddHBand="0" w:evenHBand="0" w:firstRowFirstColumn="0" w:firstRowLastColumn="0" w:lastRowFirstColumn="0" w:lastRowLastColumn="0"/>
          <w:trHeight w:val="21"/>
          <w:jc w:val="center"/>
        </w:trPr>
        <w:tc>
          <w:tcPr>
            <w:tcW w:w="7361" w:type="dxa"/>
            <w:noWrap/>
            <w:hideMark/>
          </w:tcPr>
          <w:p w14:paraId="5813865F" w14:textId="12C67339" w:rsidR="0060565E" w:rsidRPr="001B53A8" w:rsidRDefault="00003F34" w:rsidP="0060565E">
            <w:pPr>
              <w:spacing w:after="0" w:line="240" w:lineRule="auto"/>
              <w:ind w:firstLine="30"/>
              <w:rPr>
                <w:rFonts w:ascii="Times New Roman" w:hAnsi="Times New Roman"/>
                <w:color w:val="000000"/>
                <w:lang w:val="sr-Latn-BA"/>
              </w:rPr>
            </w:pPr>
            <w:r w:rsidRPr="001B53A8">
              <w:rPr>
                <w:rFonts w:ascii="Times New Roman" w:hAnsi="Times New Roman"/>
                <w:color w:val="000000"/>
                <w:lang w:val="sr-Latn-BA"/>
              </w:rPr>
              <w:t>UKUPNO</w:t>
            </w:r>
          </w:p>
        </w:tc>
        <w:tc>
          <w:tcPr>
            <w:tcW w:w="1418" w:type="dxa"/>
            <w:noWrap/>
          </w:tcPr>
          <w:p w14:paraId="0016C88D" w14:textId="77777777" w:rsidR="0060565E" w:rsidRPr="001B53A8" w:rsidRDefault="0060565E" w:rsidP="0060565E">
            <w:pPr>
              <w:pStyle w:val="Table"/>
              <w:tabs>
                <w:tab w:val="decimal" w:pos="744"/>
              </w:tabs>
              <w:ind w:right="44"/>
              <w:jc w:val="left"/>
              <w:rPr>
                <w:rFonts w:ascii="Times New Roman" w:hAnsi="Times New Roman"/>
                <w:color w:val="000000"/>
                <w:sz w:val="24"/>
                <w:szCs w:val="24"/>
                <w:lang w:val="sr-Latn-BA"/>
              </w:rPr>
            </w:pPr>
            <w:r w:rsidRPr="001B53A8">
              <w:rPr>
                <w:rFonts w:ascii="Cambria" w:eastAsiaTheme="minorHAnsi" w:hAnsi="Cambria" w:cstheme="minorBidi"/>
                <w:lang w:val="sr-Latn-BA"/>
              </w:rPr>
              <w:t>308</w:t>
            </w:r>
          </w:p>
        </w:tc>
      </w:tr>
    </w:tbl>
    <w:p w14:paraId="1E9C9042" w14:textId="2045BC2D" w:rsidR="009628CE" w:rsidRPr="001B53A8" w:rsidRDefault="00003F34" w:rsidP="006B6E0C">
      <w:pPr>
        <w:pStyle w:val="Caption"/>
        <w:tabs>
          <w:tab w:val="left" w:pos="1276"/>
        </w:tabs>
        <w:spacing w:after="0"/>
        <w:ind w:left="1276" w:hanging="1276"/>
        <w:jc w:val="both"/>
        <w:rPr>
          <w:rFonts w:ascii="Times New Roman" w:hAnsi="Times New Roman"/>
          <w:b w:val="0"/>
          <w:sz w:val="24"/>
          <w:szCs w:val="24"/>
          <w:lang w:val="sr-Latn-BA"/>
        </w:rPr>
      </w:pPr>
      <w:r w:rsidRPr="001B53A8">
        <w:rPr>
          <w:rFonts w:ascii="Times New Roman" w:hAnsi="Times New Roman"/>
          <w:sz w:val="24"/>
          <w:szCs w:val="24"/>
          <w:lang w:val="sr-Latn-BA"/>
        </w:rPr>
        <w:t>Tabela</w:t>
      </w:r>
      <w:r w:rsidR="009628CE" w:rsidRPr="001B53A8">
        <w:rPr>
          <w:rFonts w:ascii="Times New Roman" w:hAnsi="Times New Roman"/>
          <w:sz w:val="24"/>
          <w:szCs w:val="24"/>
          <w:lang w:val="sr-Latn-BA"/>
        </w:rPr>
        <w:t xml:space="preserve"> </w:t>
      </w:r>
      <w:r w:rsidR="00D3478F" w:rsidRPr="001B53A8">
        <w:rPr>
          <w:rFonts w:ascii="Times New Roman" w:hAnsi="Times New Roman"/>
          <w:sz w:val="24"/>
          <w:szCs w:val="24"/>
          <w:lang w:val="sr-Latn-BA"/>
        </w:rPr>
        <w:fldChar w:fldCharType="begin"/>
      </w:r>
      <w:r w:rsidR="009628CE" w:rsidRPr="001B53A8">
        <w:rPr>
          <w:rFonts w:ascii="Times New Roman" w:hAnsi="Times New Roman"/>
          <w:sz w:val="24"/>
          <w:szCs w:val="24"/>
          <w:lang w:val="sr-Latn-BA"/>
        </w:rPr>
        <w:instrText xml:space="preserve"> SEQ Табела \* ARABIC </w:instrText>
      </w:r>
      <w:r w:rsidR="00D3478F" w:rsidRPr="001B53A8">
        <w:rPr>
          <w:rFonts w:ascii="Times New Roman" w:hAnsi="Times New Roman"/>
          <w:sz w:val="24"/>
          <w:szCs w:val="24"/>
          <w:lang w:val="sr-Latn-BA"/>
        </w:rPr>
        <w:fldChar w:fldCharType="separate"/>
      </w:r>
      <w:r w:rsidR="00E00890" w:rsidRPr="001B53A8">
        <w:rPr>
          <w:rFonts w:ascii="Times New Roman" w:hAnsi="Times New Roman"/>
          <w:noProof/>
          <w:sz w:val="24"/>
          <w:szCs w:val="24"/>
          <w:lang w:val="sr-Latn-BA"/>
        </w:rPr>
        <w:t>2</w:t>
      </w:r>
      <w:r w:rsidR="00D3478F" w:rsidRPr="001B53A8">
        <w:rPr>
          <w:rFonts w:ascii="Times New Roman" w:hAnsi="Times New Roman"/>
          <w:sz w:val="24"/>
          <w:szCs w:val="24"/>
          <w:lang w:val="sr-Latn-BA"/>
        </w:rPr>
        <w:fldChar w:fldCharType="end"/>
      </w:r>
      <w:r w:rsidR="009628CE" w:rsidRPr="001B53A8">
        <w:rPr>
          <w:rFonts w:ascii="Times New Roman" w:hAnsi="Times New Roman"/>
          <w:sz w:val="24"/>
          <w:szCs w:val="24"/>
          <w:lang w:val="sr-Latn-BA"/>
        </w:rPr>
        <w:t>.</w:t>
      </w:r>
      <w:r w:rsidR="009628CE" w:rsidRPr="001B53A8">
        <w:rPr>
          <w:rFonts w:ascii="Times New Roman" w:hAnsi="Times New Roman"/>
          <w:sz w:val="24"/>
          <w:szCs w:val="24"/>
          <w:lang w:val="sr-Latn-BA"/>
        </w:rPr>
        <w:tab/>
      </w:r>
      <w:r w:rsidRPr="001B53A8">
        <w:rPr>
          <w:rFonts w:ascii="Times New Roman" w:hAnsi="Times New Roman"/>
          <w:b w:val="0"/>
          <w:sz w:val="24"/>
          <w:szCs w:val="24"/>
          <w:lang w:val="sr-Latn-BA"/>
        </w:rPr>
        <w:t>Struktura</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i</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broj</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donesenih</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akata</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u</w:t>
      </w:r>
      <w:r w:rsidR="009628CE" w:rsidRPr="001B53A8">
        <w:rPr>
          <w:rFonts w:ascii="Times New Roman" w:hAnsi="Times New Roman"/>
          <w:b w:val="0"/>
          <w:sz w:val="24"/>
          <w:szCs w:val="24"/>
          <w:lang w:val="sr-Latn-BA"/>
        </w:rPr>
        <w:t xml:space="preserve"> </w:t>
      </w:r>
      <w:r w:rsidR="000F3F68" w:rsidRPr="001B53A8">
        <w:rPr>
          <w:rFonts w:ascii="Times New Roman" w:hAnsi="Times New Roman"/>
          <w:b w:val="0"/>
          <w:sz w:val="24"/>
          <w:szCs w:val="24"/>
          <w:lang w:val="sr-Latn-BA"/>
        </w:rPr>
        <w:t>202</w:t>
      </w:r>
      <w:r w:rsidR="0060565E" w:rsidRPr="001B53A8">
        <w:rPr>
          <w:rFonts w:ascii="Times New Roman" w:hAnsi="Times New Roman"/>
          <w:b w:val="0"/>
          <w:sz w:val="24"/>
          <w:szCs w:val="24"/>
          <w:lang w:val="sr-Latn-BA"/>
        </w:rPr>
        <w:t>3</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godini</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iz</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nadležnosti</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Komisije</w:t>
      </w:r>
    </w:p>
    <w:p w14:paraId="6D862340" w14:textId="41A6EF5E" w:rsidR="00022543" w:rsidRPr="001B53A8" w:rsidRDefault="00003F34" w:rsidP="006B6E0C">
      <w:pPr>
        <w:spacing w:line="240" w:lineRule="auto"/>
        <w:rPr>
          <w:lang w:val="sr-Latn-BA" w:eastAsia="sr-Latn-CS"/>
        </w:rPr>
      </w:pPr>
      <w:bookmarkStart w:id="32" w:name="_Toc194970109"/>
      <w:bookmarkStart w:id="33" w:name="_Toc194970162"/>
      <w:bookmarkStart w:id="34" w:name="_Toc321408913"/>
      <w:r w:rsidRPr="001B53A8">
        <w:rPr>
          <w:lang w:val="sr-Latn-BA" w:eastAsia="sr-Latn-CS"/>
        </w:rPr>
        <w:t>Iz</w:t>
      </w:r>
      <w:r w:rsidR="0060565E" w:rsidRPr="001B53A8">
        <w:rPr>
          <w:lang w:val="sr-Latn-BA" w:eastAsia="sr-Latn-CS"/>
        </w:rPr>
        <w:t xml:space="preserve"> </w:t>
      </w:r>
      <w:r w:rsidRPr="001B53A8">
        <w:rPr>
          <w:lang w:val="sr-Latn-BA" w:eastAsia="sr-Latn-CS"/>
        </w:rPr>
        <w:t>prikazanih</w:t>
      </w:r>
      <w:r w:rsidR="0060565E" w:rsidRPr="001B53A8">
        <w:rPr>
          <w:lang w:val="sr-Latn-BA" w:eastAsia="sr-Latn-CS"/>
        </w:rPr>
        <w:t xml:space="preserve"> </w:t>
      </w:r>
      <w:r w:rsidRPr="001B53A8">
        <w:rPr>
          <w:lang w:val="sr-Latn-BA" w:eastAsia="sr-Latn-CS"/>
        </w:rPr>
        <w:t>tabela</w:t>
      </w:r>
      <w:r w:rsidR="0060565E" w:rsidRPr="001B53A8">
        <w:rPr>
          <w:lang w:val="sr-Latn-BA" w:eastAsia="sr-Latn-CS"/>
        </w:rPr>
        <w:t xml:space="preserve"> </w:t>
      </w:r>
      <w:r w:rsidRPr="001B53A8">
        <w:rPr>
          <w:lang w:val="sr-Latn-BA" w:eastAsia="sr-Latn-CS"/>
        </w:rPr>
        <w:t>vidlјivo</w:t>
      </w:r>
      <w:r w:rsidR="0060565E" w:rsidRPr="001B53A8">
        <w:rPr>
          <w:lang w:val="sr-Latn-BA" w:eastAsia="sr-Latn-CS"/>
        </w:rPr>
        <w:t xml:space="preserve"> </w:t>
      </w:r>
      <w:r w:rsidRPr="001B53A8">
        <w:rPr>
          <w:lang w:val="sr-Latn-BA" w:eastAsia="sr-Latn-CS"/>
        </w:rPr>
        <w:t>je</w:t>
      </w:r>
      <w:r w:rsidR="0060565E" w:rsidRPr="001B53A8">
        <w:rPr>
          <w:lang w:val="sr-Latn-BA" w:eastAsia="sr-Latn-CS"/>
        </w:rPr>
        <w:t xml:space="preserve"> </w:t>
      </w:r>
      <w:r w:rsidRPr="001B53A8">
        <w:rPr>
          <w:lang w:val="sr-Latn-BA" w:eastAsia="sr-Latn-CS"/>
        </w:rPr>
        <w:t>da</w:t>
      </w:r>
      <w:r w:rsidR="0060565E" w:rsidRPr="001B53A8">
        <w:rPr>
          <w:lang w:val="sr-Latn-BA" w:eastAsia="sr-Latn-CS"/>
        </w:rPr>
        <w:t xml:space="preserve"> </w:t>
      </w:r>
      <w:r w:rsidRPr="001B53A8">
        <w:rPr>
          <w:lang w:val="sr-Latn-BA" w:eastAsia="sr-Latn-CS"/>
        </w:rPr>
        <w:t>je</w:t>
      </w:r>
      <w:r w:rsidR="0060565E" w:rsidRPr="001B53A8">
        <w:rPr>
          <w:lang w:val="sr-Latn-BA" w:eastAsia="sr-Latn-CS"/>
        </w:rPr>
        <w:t xml:space="preserve"> </w:t>
      </w:r>
      <w:r w:rsidRPr="001B53A8">
        <w:rPr>
          <w:lang w:val="sr-Latn-BA" w:eastAsia="sr-Latn-CS"/>
        </w:rPr>
        <w:t>u</w:t>
      </w:r>
      <w:r w:rsidR="0060565E" w:rsidRPr="001B53A8">
        <w:rPr>
          <w:lang w:val="sr-Latn-BA" w:eastAsia="sr-Latn-CS"/>
        </w:rPr>
        <w:t xml:space="preserve"> </w:t>
      </w:r>
      <w:r w:rsidRPr="001B53A8">
        <w:rPr>
          <w:lang w:val="sr-Latn-BA" w:eastAsia="sr-Latn-CS"/>
        </w:rPr>
        <w:t>toku</w:t>
      </w:r>
      <w:r w:rsidR="0060565E" w:rsidRPr="001B53A8">
        <w:rPr>
          <w:lang w:val="sr-Latn-BA" w:eastAsia="sr-Latn-CS"/>
        </w:rPr>
        <w:t xml:space="preserve"> 2023. </w:t>
      </w:r>
      <w:r w:rsidRPr="001B53A8">
        <w:rPr>
          <w:lang w:val="sr-Latn-BA" w:eastAsia="sr-Latn-CS"/>
        </w:rPr>
        <w:t>godine</w:t>
      </w:r>
      <w:r w:rsidR="0060565E" w:rsidRPr="001B53A8">
        <w:rPr>
          <w:lang w:val="sr-Latn-BA" w:eastAsia="sr-Latn-CS"/>
        </w:rPr>
        <w:t xml:space="preserve"> </w:t>
      </w:r>
      <w:r w:rsidRPr="001B53A8">
        <w:rPr>
          <w:lang w:val="sr-Latn-BA" w:eastAsia="sr-Latn-CS"/>
        </w:rPr>
        <w:t>održan</w:t>
      </w:r>
      <w:r w:rsidR="0060565E" w:rsidRPr="001B53A8">
        <w:rPr>
          <w:lang w:val="sr-Latn-BA" w:eastAsia="sr-Latn-CS"/>
        </w:rPr>
        <w:t xml:space="preserve">o 50 </w:t>
      </w:r>
      <w:r w:rsidRPr="001B53A8">
        <w:rPr>
          <w:lang w:val="sr-Latn-BA" w:eastAsia="sr-Latn-CS"/>
        </w:rPr>
        <w:t>sjednic</w:t>
      </w:r>
      <w:r w:rsidR="0060565E" w:rsidRPr="001B53A8">
        <w:rPr>
          <w:lang w:val="sr-Latn-BA" w:eastAsia="sr-Latn-CS"/>
        </w:rPr>
        <w:t xml:space="preserve">a </w:t>
      </w:r>
      <w:r w:rsidRPr="001B53A8">
        <w:rPr>
          <w:lang w:val="sr-Latn-BA" w:eastAsia="sr-Latn-CS"/>
        </w:rPr>
        <w:t>na</w:t>
      </w:r>
      <w:r w:rsidR="0060565E" w:rsidRPr="001B53A8">
        <w:rPr>
          <w:lang w:val="sr-Latn-BA" w:eastAsia="sr-Latn-CS"/>
        </w:rPr>
        <w:t xml:space="preserve"> </w:t>
      </w:r>
      <w:r w:rsidRPr="001B53A8">
        <w:rPr>
          <w:lang w:val="sr-Latn-BA" w:eastAsia="sr-Latn-CS"/>
        </w:rPr>
        <w:t>kojima</w:t>
      </w:r>
      <w:r w:rsidR="0060565E" w:rsidRPr="001B53A8">
        <w:rPr>
          <w:lang w:val="sr-Latn-BA" w:eastAsia="sr-Latn-CS"/>
        </w:rPr>
        <w:t xml:space="preserve"> </w:t>
      </w:r>
      <w:r w:rsidRPr="001B53A8">
        <w:rPr>
          <w:lang w:val="sr-Latn-BA" w:eastAsia="sr-Latn-CS"/>
        </w:rPr>
        <w:t>je</w:t>
      </w:r>
      <w:r w:rsidR="0060565E" w:rsidRPr="001B53A8">
        <w:rPr>
          <w:lang w:val="sr-Latn-BA" w:eastAsia="sr-Latn-CS"/>
        </w:rPr>
        <w:t xml:space="preserve"> </w:t>
      </w:r>
      <w:r w:rsidRPr="001B53A8">
        <w:rPr>
          <w:lang w:val="sr-Latn-BA" w:eastAsia="sr-Latn-CS"/>
        </w:rPr>
        <w:t>doneseno</w:t>
      </w:r>
      <w:r w:rsidR="0060565E" w:rsidRPr="001B53A8">
        <w:rPr>
          <w:lang w:val="sr-Latn-BA" w:eastAsia="sr-Latn-CS"/>
        </w:rPr>
        <w:t xml:space="preserve"> 308 </w:t>
      </w:r>
      <w:r w:rsidRPr="001B53A8">
        <w:rPr>
          <w:lang w:val="sr-Latn-BA" w:eastAsia="sr-Latn-CS"/>
        </w:rPr>
        <w:t>akata</w:t>
      </w:r>
      <w:r w:rsidR="0060565E" w:rsidRPr="001B53A8">
        <w:rPr>
          <w:lang w:val="sr-Latn-BA" w:eastAsia="sr-Latn-CS"/>
        </w:rPr>
        <w:t xml:space="preserve">. </w:t>
      </w:r>
      <w:r w:rsidRPr="001B53A8">
        <w:rPr>
          <w:lang w:val="sr-Latn-BA" w:eastAsia="sr-Latn-CS"/>
        </w:rPr>
        <w:t>Takođe</w:t>
      </w:r>
      <w:r w:rsidR="0060565E" w:rsidRPr="001B53A8">
        <w:rPr>
          <w:lang w:val="sr-Latn-BA" w:eastAsia="sr-Latn-CS"/>
        </w:rPr>
        <w:t xml:space="preserve"> </w:t>
      </w:r>
      <w:r w:rsidRPr="001B53A8">
        <w:rPr>
          <w:lang w:val="sr-Latn-BA" w:eastAsia="sr-Latn-CS"/>
        </w:rPr>
        <w:t>je</w:t>
      </w:r>
      <w:r w:rsidR="0060565E" w:rsidRPr="001B53A8">
        <w:rPr>
          <w:lang w:val="sr-Latn-BA" w:eastAsia="sr-Latn-CS"/>
        </w:rPr>
        <w:t xml:space="preserve"> </w:t>
      </w:r>
      <w:r w:rsidRPr="001B53A8">
        <w:rPr>
          <w:lang w:val="sr-Latn-BA" w:eastAsia="sr-Latn-CS"/>
        </w:rPr>
        <w:t>važno</w:t>
      </w:r>
      <w:r w:rsidR="0060565E" w:rsidRPr="001B53A8">
        <w:rPr>
          <w:lang w:val="sr-Latn-BA" w:eastAsia="sr-Latn-CS"/>
        </w:rPr>
        <w:t xml:space="preserve"> </w:t>
      </w:r>
      <w:r w:rsidRPr="001B53A8">
        <w:rPr>
          <w:lang w:val="sr-Latn-BA" w:eastAsia="sr-Latn-CS"/>
        </w:rPr>
        <w:t>istaknuti</w:t>
      </w:r>
      <w:r w:rsidR="0060565E" w:rsidRPr="001B53A8">
        <w:rPr>
          <w:lang w:val="sr-Latn-BA" w:eastAsia="sr-Latn-CS"/>
        </w:rPr>
        <w:t xml:space="preserve"> </w:t>
      </w:r>
      <w:r w:rsidRPr="001B53A8">
        <w:rPr>
          <w:lang w:val="sr-Latn-BA" w:eastAsia="sr-Latn-CS"/>
        </w:rPr>
        <w:t>da</w:t>
      </w:r>
      <w:r w:rsidR="0060565E" w:rsidRPr="001B53A8">
        <w:rPr>
          <w:lang w:val="sr-Latn-BA" w:eastAsia="sr-Latn-CS"/>
        </w:rPr>
        <w:t xml:space="preserve"> </w:t>
      </w:r>
      <w:r w:rsidRPr="001B53A8">
        <w:rPr>
          <w:lang w:val="sr-Latn-BA" w:eastAsia="sr-Latn-CS"/>
        </w:rPr>
        <w:t>podatak</w:t>
      </w:r>
      <w:r w:rsidR="0060565E" w:rsidRPr="001B53A8">
        <w:rPr>
          <w:lang w:val="sr-Latn-BA" w:eastAsia="sr-Latn-CS"/>
        </w:rPr>
        <w:t xml:space="preserve"> </w:t>
      </w:r>
      <w:r w:rsidRPr="001B53A8">
        <w:rPr>
          <w:lang w:val="sr-Latn-BA" w:eastAsia="sr-Latn-CS"/>
        </w:rPr>
        <w:t>o</w:t>
      </w:r>
      <w:r w:rsidR="0060565E" w:rsidRPr="001B53A8">
        <w:rPr>
          <w:lang w:val="sr-Latn-BA" w:eastAsia="sr-Latn-CS"/>
        </w:rPr>
        <w:t xml:space="preserve"> 129 </w:t>
      </w:r>
      <w:r w:rsidRPr="001B53A8">
        <w:rPr>
          <w:lang w:val="sr-Latn-BA" w:eastAsia="sr-Latn-CS"/>
        </w:rPr>
        <w:t>donesenih</w:t>
      </w:r>
      <w:r w:rsidR="0060565E" w:rsidRPr="001B53A8">
        <w:rPr>
          <w:lang w:val="sr-Latn-BA" w:eastAsia="sr-Latn-CS"/>
        </w:rPr>
        <w:t xml:space="preserve"> </w:t>
      </w:r>
      <w:r w:rsidRPr="001B53A8">
        <w:rPr>
          <w:lang w:val="sr-Latn-BA" w:eastAsia="sr-Latn-CS"/>
        </w:rPr>
        <w:t>rješenja</w:t>
      </w:r>
      <w:r w:rsidR="0060565E" w:rsidRPr="001B53A8">
        <w:rPr>
          <w:lang w:val="sr-Latn-BA" w:eastAsia="sr-Latn-CS"/>
        </w:rPr>
        <w:t xml:space="preserve"> </w:t>
      </w:r>
      <w:r w:rsidRPr="001B53A8">
        <w:rPr>
          <w:lang w:val="sr-Latn-BA" w:eastAsia="sr-Latn-CS"/>
        </w:rPr>
        <w:t>ukazuje</w:t>
      </w:r>
      <w:r w:rsidR="0060565E" w:rsidRPr="001B53A8">
        <w:rPr>
          <w:lang w:val="sr-Latn-BA" w:eastAsia="sr-Latn-CS"/>
        </w:rPr>
        <w:t xml:space="preserve"> </w:t>
      </w:r>
      <w:r w:rsidRPr="001B53A8">
        <w:rPr>
          <w:lang w:val="sr-Latn-BA" w:eastAsia="sr-Latn-CS"/>
        </w:rPr>
        <w:t>na</w:t>
      </w:r>
      <w:r w:rsidR="0060565E" w:rsidRPr="001B53A8">
        <w:rPr>
          <w:lang w:val="sr-Latn-BA" w:eastAsia="sr-Latn-CS"/>
        </w:rPr>
        <w:t xml:space="preserve"> </w:t>
      </w:r>
      <w:r w:rsidRPr="001B53A8">
        <w:rPr>
          <w:lang w:val="sr-Latn-BA" w:eastAsia="sr-Latn-CS"/>
        </w:rPr>
        <w:t>visok</w:t>
      </w:r>
      <w:r w:rsidR="0060565E" w:rsidRPr="001B53A8">
        <w:rPr>
          <w:lang w:val="sr-Latn-BA" w:eastAsia="sr-Latn-CS"/>
        </w:rPr>
        <w:t xml:space="preserve"> </w:t>
      </w:r>
      <w:r w:rsidRPr="001B53A8">
        <w:rPr>
          <w:lang w:val="sr-Latn-BA" w:eastAsia="sr-Latn-CS"/>
        </w:rPr>
        <w:t>stepen</w:t>
      </w:r>
      <w:r w:rsidR="0060565E" w:rsidRPr="001B53A8">
        <w:rPr>
          <w:lang w:val="sr-Latn-BA" w:eastAsia="sr-Latn-CS"/>
        </w:rPr>
        <w:t xml:space="preserve"> </w:t>
      </w:r>
      <w:r w:rsidRPr="001B53A8">
        <w:rPr>
          <w:lang w:val="sr-Latn-BA" w:eastAsia="sr-Latn-CS"/>
        </w:rPr>
        <w:t>aktivnosti</w:t>
      </w:r>
      <w:r w:rsidR="0060565E" w:rsidRPr="001B53A8">
        <w:rPr>
          <w:lang w:val="sr-Latn-BA" w:eastAsia="sr-Latn-CS"/>
        </w:rPr>
        <w:t xml:space="preserve"> </w:t>
      </w:r>
      <w:r w:rsidRPr="001B53A8">
        <w:rPr>
          <w:lang w:val="sr-Latn-BA" w:eastAsia="sr-Latn-CS"/>
        </w:rPr>
        <w:t>Komisije</w:t>
      </w:r>
      <w:r w:rsidR="0060565E" w:rsidRPr="001B53A8">
        <w:rPr>
          <w:lang w:val="sr-Latn-BA" w:eastAsia="sr-Latn-CS"/>
        </w:rPr>
        <w:t xml:space="preserve"> </w:t>
      </w:r>
      <w:r w:rsidRPr="001B53A8">
        <w:rPr>
          <w:lang w:val="sr-Latn-BA" w:eastAsia="sr-Latn-CS"/>
        </w:rPr>
        <w:t>o</w:t>
      </w:r>
      <w:r w:rsidR="0060565E" w:rsidRPr="001B53A8">
        <w:rPr>
          <w:lang w:val="sr-Latn-BA" w:eastAsia="sr-Latn-CS"/>
        </w:rPr>
        <w:t xml:space="preserve"> </w:t>
      </w:r>
      <w:r w:rsidRPr="001B53A8">
        <w:rPr>
          <w:lang w:val="sr-Latn-BA" w:eastAsia="sr-Latn-CS"/>
        </w:rPr>
        <w:t>pitanju</w:t>
      </w:r>
      <w:r w:rsidR="0060565E" w:rsidRPr="001B53A8">
        <w:rPr>
          <w:lang w:val="sr-Latn-BA" w:eastAsia="sr-Latn-CS"/>
        </w:rPr>
        <w:t xml:space="preserve"> </w:t>
      </w:r>
      <w:r w:rsidRPr="001B53A8">
        <w:rPr>
          <w:lang w:val="sr-Latn-BA" w:eastAsia="sr-Latn-CS"/>
        </w:rPr>
        <w:t>rješavanja</w:t>
      </w:r>
      <w:r w:rsidR="0060565E" w:rsidRPr="001B53A8">
        <w:rPr>
          <w:lang w:val="sr-Latn-BA" w:eastAsia="sr-Latn-CS"/>
        </w:rPr>
        <w:t xml:space="preserve"> </w:t>
      </w:r>
      <w:r w:rsidRPr="001B53A8">
        <w:rPr>
          <w:lang w:val="sr-Latn-BA" w:eastAsia="sr-Latn-CS"/>
        </w:rPr>
        <w:t>pojedinačnih</w:t>
      </w:r>
      <w:r w:rsidR="0060565E" w:rsidRPr="001B53A8">
        <w:rPr>
          <w:lang w:val="sr-Latn-BA" w:eastAsia="sr-Latn-CS"/>
        </w:rPr>
        <w:t xml:space="preserve"> </w:t>
      </w:r>
      <w:r w:rsidRPr="001B53A8">
        <w:rPr>
          <w:lang w:val="sr-Latn-BA" w:eastAsia="sr-Latn-CS"/>
        </w:rPr>
        <w:t>slučajeva</w:t>
      </w:r>
      <w:r w:rsidR="0060565E" w:rsidRPr="001B53A8">
        <w:rPr>
          <w:lang w:val="sr-Latn-BA" w:eastAsia="sr-Latn-CS"/>
        </w:rPr>
        <w:t xml:space="preserve"> </w:t>
      </w:r>
      <w:r w:rsidRPr="001B53A8">
        <w:rPr>
          <w:lang w:val="sr-Latn-BA" w:eastAsia="sr-Latn-CS"/>
        </w:rPr>
        <w:t>iz</w:t>
      </w:r>
      <w:r w:rsidR="0060565E" w:rsidRPr="001B53A8">
        <w:rPr>
          <w:lang w:val="sr-Latn-BA" w:eastAsia="sr-Latn-CS"/>
        </w:rPr>
        <w:t xml:space="preserve"> </w:t>
      </w:r>
      <w:r w:rsidRPr="001B53A8">
        <w:rPr>
          <w:lang w:val="sr-Latn-BA" w:eastAsia="sr-Latn-CS"/>
        </w:rPr>
        <w:t>oblasti</w:t>
      </w:r>
      <w:r w:rsidR="0060565E" w:rsidRPr="001B53A8">
        <w:rPr>
          <w:lang w:val="sr-Latn-BA" w:eastAsia="sr-Latn-CS"/>
        </w:rPr>
        <w:t xml:space="preserve"> </w:t>
      </w:r>
      <w:r w:rsidRPr="001B53A8">
        <w:rPr>
          <w:lang w:val="sr-Latn-BA" w:eastAsia="sr-Latn-CS"/>
        </w:rPr>
        <w:t>izdavanja</w:t>
      </w:r>
      <w:r w:rsidR="0060565E" w:rsidRPr="001B53A8">
        <w:rPr>
          <w:lang w:val="sr-Latn-BA" w:eastAsia="sr-Latn-CS"/>
        </w:rPr>
        <w:t xml:space="preserve"> </w:t>
      </w:r>
      <w:r w:rsidRPr="001B53A8">
        <w:rPr>
          <w:lang w:val="sr-Latn-BA" w:eastAsia="sr-Latn-CS"/>
        </w:rPr>
        <w:t>dozvola</w:t>
      </w:r>
      <w:r w:rsidR="0060565E" w:rsidRPr="001B53A8">
        <w:rPr>
          <w:lang w:val="sr-Latn-BA" w:eastAsia="sr-Latn-CS"/>
        </w:rPr>
        <w:t xml:space="preserve"> </w:t>
      </w:r>
      <w:r w:rsidRPr="001B53A8">
        <w:rPr>
          <w:lang w:val="sr-Latn-BA" w:eastAsia="sr-Latn-CS"/>
        </w:rPr>
        <w:t>i</w:t>
      </w:r>
      <w:r w:rsidR="0060565E" w:rsidRPr="001B53A8">
        <w:rPr>
          <w:lang w:val="sr-Latn-BA" w:eastAsia="sr-Latn-CS"/>
        </w:rPr>
        <w:t xml:space="preserve"> </w:t>
      </w:r>
      <w:r w:rsidRPr="001B53A8">
        <w:rPr>
          <w:lang w:val="sr-Latn-BA" w:eastAsia="sr-Latn-CS"/>
        </w:rPr>
        <w:t>saglasnosti</w:t>
      </w:r>
      <w:r w:rsidR="0060565E" w:rsidRPr="001B53A8">
        <w:rPr>
          <w:lang w:val="sr-Latn-BA" w:eastAsia="sr-Latn-CS"/>
        </w:rPr>
        <w:t xml:space="preserve"> </w:t>
      </w:r>
      <w:r w:rsidRPr="001B53A8">
        <w:rPr>
          <w:lang w:val="sr-Latn-BA" w:eastAsia="sr-Latn-CS"/>
        </w:rPr>
        <w:t>učesnicima</w:t>
      </w:r>
      <w:r w:rsidR="0060565E" w:rsidRPr="001B53A8">
        <w:rPr>
          <w:lang w:val="sr-Latn-BA" w:eastAsia="sr-Latn-CS"/>
        </w:rPr>
        <w:t xml:space="preserve"> </w:t>
      </w:r>
      <w:r w:rsidRPr="001B53A8">
        <w:rPr>
          <w:lang w:val="sr-Latn-BA" w:eastAsia="sr-Latn-CS"/>
        </w:rPr>
        <w:t>na</w:t>
      </w:r>
      <w:r w:rsidR="0060565E" w:rsidRPr="001B53A8">
        <w:rPr>
          <w:lang w:val="sr-Latn-BA" w:eastAsia="sr-Latn-CS"/>
        </w:rPr>
        <w:t xml:space="preserve"> </w:t>
      </w:r>
      <w:r w:rsidRPr="001B53A8">
        <w:rPr>
          <w:lang w:val="sr-Latn-BA" w:eastAsia="sr-Latn-CS"/>
        </w:rPr>
        <w:t>tržištu</w:t>
      </w:r>
      <w:r w:rsidR="0060565E" w:rsidRPr="001B53A8">
        <w:rPr>
          <w:lang w:val="sr-Latn-BA" w:eastAsia="sr-Latn-CS"/>
        </w:rPr>
        <w:t xml:space="preserve">, </w:t>
      </w:r>
      <w:r w:rsidRPr="001B53A8">
        <w:rPr>
          <w:lang w:val="sr-Latn-BA" w:eastAsia="sr-Latn-CS"/>
        </w:rPr>
        <w:t>emisije</w:t>
      </w:r>
      <w:r w:rsidR="0060565E" w:rsidRPr="001B53A8">
        <w:rPr>
          <w:lang w:val="sr-Latn-BA" w:eastAsia="sr-Latn-CS"/>
        </w:rPr>
        <w:t xml:space="preserve"> </w:t>
      </w:r>
      <w:r w:rsidRPr="001B53A8">
        <w:rPr>
          <w:lang w:val="sr-Latn-BA" w:eastAsia="sr-Latn-CS"/>
        </w:rPr>
        <w:t>hartija</w:t>
      </w:r>
      <w:r w:rsidR="0060565E" w:rsidRPr="001B53A8">
        <w:rPr>
          <w:lang w:val="sr-Latn-BA" w:eastAsia="sr-Latn-CS"/>
        </w:rPr>
        <w:t xml:space="preserve"> </w:t>
      </w:r>
      <w:r w:rsidRPr="001B53A8">
        <w:rPr>
          <w:lang w:val="sr-Latn-BA" w:eastAsia="sr-Latn-CS"/>
        </w:rPr>
        <w:t>od</w:t>
      </w:r>
      <w:r w:rsidR="0060565E" w:rsidRPr="001B53A8">
        <w:rPr>
          <w:lang w:val="sr-Latn-BA" w:eastAsia="sr-Latn-CS"/>
        </w:rPr>
        <w:t xml:space="preserve"> </w:t>
      </w:r>
      <w:r w:rsidRPr="001B53A8">
        <w:rPr>
          <w:lang w:val="sr-Latn-BA" w:eastAsia="sr-Latn-CS"/>
        </w:rPr>
        <w:t>vrijednosti</w:t>
      </w:r>
      <w:r w:rsidR="0060565E" w:rsidRPr="001B53A8">
        <w:rPr>
          <w:lang w:val="sr-Latn-BA" w:eastAsia="sr-Latn-CS"/>
        </w:rPr>
        <w:t xml:space="preserve"> </w:t>
      </w:r>
      <w:r w:rsidRPr="001B53A8">
        <w:rPr>
          <w:lang w:val="sr-Latn-BA" w:eastAsia="sr-Latn-CS"/>
        </w:rPr>
        <w:t>i</w:t>
      </w:r>
      <w:r w:rsidR="0060565E" w:rsidRPr="001B53A8">
        <w:rPr>
          <w:lang w:val="sr-Latn-BA" w:eastAsia="sr-Latn-CS"/>
        </w:rPr>
        <w:t xml:space="preserve"> </w:t>
      </w:r>
      <w:r w:rsidRPr="001B53A8">
        <w:rPr>
          <w:lang w:val="sr-Latn-BA" w:eastAsia="sr-Latn-CS"/>
        </w:rPr>
        <w:t>nadzora</w:t>
      </w:r>
      <w:r w:rsidR="00022543" w:rsidRPr="001B53A8">
        <w:rPr>
          <w:lang w:val="sr-Latn-BA" w:eastAsia="sr-Latn-CS"/>
        </w:rPr>
        <w:t>.</w:t>
      </w:r>
    </w:p>
    <w:p w14:paraId="7A779E35" w14:textId="77777777" w:rsidR="00523120" w:rsidRPr="001B53A8" w:rsidRDefault="00523120" w:rsidP="006B6E0C">
      <w:pPr>
        <w:spacing w:line="240" w:lineRule="auto"/>
        <w:rPr>
          <w:lang w:val="sr-Latn-BA" w:eastAsia="sr-Latn-CS"/>
        </w:rPr>
      </w:pPr>
    </w:p>
    <w:p w14:paraId="7D81481C" w14:textId="7FAB64B7" w:rsidR="009628CE" w:rsidRPr="001B53A8" w:rsidRDefault="00003F34" w:rsidP="006B6E0C">
      <w:pPr>
        <w:pStyle w:val="Heading2"/>
        <w:spacing w:before="240" w:after="0" w:line="240" w:lineRule="auto"/>
        <w:ind w:left="578" w:hanging="578"/>
        <w:rPr>
          <w:rFonts w:ascii="Times New Roman" w:hAnsi="Times New Roman"/>
          <w:sz w:val="24"/>
          <w:lang w:val="sr-Latn-BA"/>
        </w:rPr>
      </w:pPr>
      <w:bookmarkStart w:id="35" w:name="_Toc167962109"/>
      <w:r w:rsidRPr="001B53A8">
        <w:rPr>
          <w:rFonts w:ascii="Times New Roman" w:hAnsi="Times New Roman"/>
          <w:sz w:val="24"/>
          <w:lang w:val="sr-Latn-BA"/>
        </w:rPr>
        <w:lastRenderedPageBreak/>
        <w:t>Registri</w:t>
      </w:r>
      <w:r w:rsidR="009628CE" w:rsidRPr="001B53A8">
        <w:rPr>
          <w:rFonts w:ascii="Times New Roman" w:hAnsi="Times New Roman"/>
          <w:sz w:val="24"/>
          <w:lang w:val="sr-Latn-BA"/>
        </w:rPr>
        <w:t xml:space="preserve"> </w:t>
      </w:r>
      <w:r w:rsidRPr="001B53A8">
        <w:rPr>
          <w:rFonts w:ascii="Times New Roman" w:hAnsi="Times New Roman"/>
          <w:sz w:val="24"/>
          <w:lang w:val="sr-Latn-BA"/>
        </w:rPr>
        <w:t>i</w:t>
      </w:r>
      <w:r w:rsidR="009628CE" w:rsidRPr="001B53A8">
        <w:rPr>
          <w:rFonts w:ascii="Times New Roman" w:hAnsi="Times New Roman"/>
          <w:sz w:val="24"/>
          <w:lang w:val="sr-Latn-BA"/>
        </w:rPr>
        <w:t xml:space="preserve"> </w:t>
      </w:r>
      <w:r w:rsidRPr="001B53A8">
        <w:rPr>
          <w:rFonts w:ascii="Times New Roman" w:hAnsi="Times New Roman"/>
          <w:sz w:val="24"/>
          <w:lang w:val="sr-Latn-BA"/>
        </w:rPr>
        <w:t>evidencije</w:t>
      </w:r>
      <w:r w:rsidR="009628CE" w:rsidRPr="001B53A8">
        <w:rPr>
          <w:rFonts w:ascii="Times New Roman" w:hAnsi="Times New Roman"/>
          <w:sz w:val="24"/>
          <w:lang w:val="sr-Latn-BA"/>
        </w:rPr>
        <w:t xml:space="preserve"> </w:t>
      </w:r>
      <w:bookmarkEnd w:id="32"/>
      <w:bookmarkEnd w:id="33"/>
      <w:bookmarkEnd w:id="34"/>
      <w:r w:rsidRPr="001B53A8">
        <w:rPr>
          <w:rFonts w:ascii="Times New Roman" w:hAnsi="Times New Roman"/>
          <w:sz w:val="24"/>
          <w:lang w:val="sr-Latn-BA"/>
        </w:rPr>
        <w:t>Komisije</w:t>
      </w:r>
      <w:bookmarkEnd w:id="35"/>
    </w:p>
    <w:p w14:paraId="63B8617E" w14:textId="0DBE03D0" w:rsidR="009628CE" w:rsidRPr="001B53A8" w:rsidRDefault="00003F34" w:rsidP="006B6E0C">
      <w:pPr>
        <w:spacing w:after="0" w:line="240" w:lineRule="auto"/>
        <w:ind w:firstLine="567"/>
        <w:rPr>
          <w:lang w:val="sr-Latn-BA"/>
        </w:rPr>
      </w:pPr>
      <w:r w:rsidRPr="001B53A8">
        <w:rPr>
          <w:lang w:val="sr-Latn-BA"/>
        </w:rPr>
        <w:t>Komisija</w:t>
      </w:r>
      <w:r w:rsidR="009628CE" w:rsidRPr="001B53A8">
        <w:rPr>
          <w:lang w:val="sr-Latn-BA"/>
        </w:rPr>
        <w:t xml:space="preserve"> </w:t>
      </w:r>
      <w:r w:rsidRPr="001B53A8">
        <w:rPr>
          <w:lang w:val="sr-Latn-BA"/>
        </w:rPr>
        <w:t>vodi</w:t>
      </w:r>
      <w:r w:rsidR="009628CE" w:rsidRPr="001B53A8">
        <w:rPr>
          <w:lang w:val="sr-Latn-BA"/>
        </w:rPr>
        <w:t xml:space="preserve"> </w:t>
      </w:r>
      <w:r w:rsidRPr="001B53A8">
        <w:rPr>
          <w:lang w:val="sr-Latn-BA"/>
        </w:rPr>
        <w:t>odgovarajuće</w:t>
      </w:r>
      <w:r w:rsidR="00552C7C" w:rsidRPr="001B53A8">
        <w:rPr>
          <w:lang w:val="sr-Latn-BA"/>
        </w:rPr>
        <w:t xml:space="preserve"> </w:t>
      </w:r>
      <w:r w:rsidRPr="001B53A8">
        <w:rPr>
          <w:lang w:val="sr-Latn-BA"/>
        </w:rPr>
        <w:t>registre</w:t>
      </w:r>
      <w:r w:rsidR="009628CE" w:rsidRPr="001B53A8">
        <w:rPr>
          <w:lang w:val="sr-Latn-BA"/>
        </w:rPr>
        <w:t xml:space="preserve"> </w:t>
      </w:r>
      <w:r w:rsidRPr="001B53A8">
        <w:rPr>
          <w:lang w:val="sr-Latn-BA"/>
        </w:rPr>
        <w:t>učesnika</w:t>
      </w:r>
      <w:r w:rsidR="009628CE" w:rsidRPr="001B53A8">
        <w:rPr>
          <w:lang w:val="sr-Latn-BA"/>
        </w:rPr>
        <w:t xml:space="preserve"> </w:t>
      </w:r>
      <w:r w:rsidRPr="001B53A8">
        <w:rPr>
          <w:lang w:val="sr-Latn-BA"/>
        </w:rPr>
        <w:t>na</w:t>
      </w:r>
      <w:r w:rsidR="009628CE" w:rsidRPr="001B53A8">
        <w:rPr>
          <w:lang w:val="sr-Latn-BA"/>
        </w:rPr>
        <w:t xml:space="preserve"> </w:t>
      </w:r>
      <w:r w:rsidRPr="001B53A8">
        <w:rPr>
          <w:lang w:val="sr-Latn-BA"/>
        </w:rPr>
        <w:t>tržištu</w:t>
      </w:r>
      <w:r w:rsidR="00552C7C" w:rsidRPr="001B53A8">
        <w:rPr>
          <w:lang w:val="sr-Latn-BA"/>
        </w:rPr>
        <w:t xml:space="preserve">, </w:t>
      </w:r>
      <w:r w:rsidRPr="001B53A8">
        <w:rPr>
          <w:lang w:val="sr-Latn-BA"/>
        </w:rPr>
        <w:t>i</w:t>
      </w:r>
      <w:r w:rsidR="00552C7C" w:rsidRPr="001B53A8">
        <w:rPr>
          <w:lang w:val="sr-Latn-BA"/>
        </w:rPr>
        <w:t xml:space="preserve"> </w:t>
      </w:r>
      <w:r w:rsidRPr="001B53A8">
        <w:rPr>
          <w:lang w:val="sr-Latn-BA"/>
        </w:rPr>
        <w:t>to</w:t>
      </w:r>
      <w:r w:rsidR="009628CE" w:rsidRPr="001B53A8">
        <w:rPr>
          <w:lang w:val="sr-Latn-BA"/>
        </w:rPr>
        <w:t>:</w:t>
      </w:r>
    </w:p>
    <w:p w14:paraId="3380FA69" w14:textId="56A0CB14" w:rsidR="009628CE" w:rsidRPr="001B53A8" w:rsidRDefault="00003F34" w:rsidP="006B6E0C">
      <w:pPr>
        <w:pStyle w:val="ListParagraph"/>
        <w:numPr>
          <w:ilvl w:val="0"/>
          <w:numId w:val="1"/>
        </w:numPr>
        <w:spacing w:before="0" w:after="0" w:line="240" w:lineRule="auto"/>
        <w:contextualSpacing w:val="0"/>
        <w:rPr>
          <w:lang w:val="sr-Latn-BA"/>
        </w:rPr>
      </w:pPr>
      <w:r w:rsidRPr="001B53A8">
        <w:rPr>
          <w:lang w:val="sr-Latn-BA"/>
        </w:rPr>
        <w:t>Registar</w:t>
      </w:r>
      <w:r w:rsidR="00E51166" w:rsidRPr="001B53A8">
        <w:rPr>
          <w:lang w:val="sr-Latn-BA"/>
        </w:rPr>
        <w:t xml:space="preserve"> </w:t>
      </w:r>
      <w:r w:rsidRPr="001B53A8">
        <w:rPr>
          <w:lang w:val="sr-Latn-BA"/>
        </w:rPr>
        <w:t>emitenata</w:t>
      </w:r>
      <w:r w:rsidR="00E51166" w:rsidRPr="001B53A8">
        <w:rPr>
          <w:lang w:val="sr-Latn-BA"/>
        </w:rPr>
        <w:t>,</w:t>
      </w:r>
    </w:p>
    <w:p w14:paraId="76136D9A" w14:textId="548CEFD4" w:rsidR="009628CE" w:rsidRPr="001B53A8" w:rsidRDefault="00003F34" w:rsidP="006B6E0C">
      <w:pPr>
        <w:pStyle w:val="ListParagraph"/>
        <w:numPr>
          <w:ilvl w:val="0"/>
          <w:numId w:val="1"/>
        </w:numPr>
        <w:spacing w:before="0" w:after="0" w:line="240" w:lineRule="auto"/>
        <w:contextualSpacing w:val="0"/>
        <w:rPr>
          <w:lang w:val="sr-Latn-BA"/>
        </w:rPr>
      </w:pPr>
      <w:r w:rsidRPr="001B53A8">
        <w:rPr>
          <w:lang w:val="sr-Latn-BA"/>
        </w:rPr>
        <w:t>Registar</w:t>
      </w:r>
      <w:r w:rsidR="009628CE" w:rsidRPr="001B53A8">
        <w:rPr>
          <w:lang w:val="sr-Latn-BA"/>
        </w:rPr>
        <w:t xml:space="preserve"> </w:t>
      </w:r>
      <w:r w:rsidRPr="001B53A8">
        <w:rPr>
          <w:lang w:val="sr-Latn-BA"/>
        </w:rPr>
        <w:t>kvalifikovanih</w:t>
      </w:r>
      <w:r w:rsidR="009628CE" w:rsidRPr="001B53A8">
        <w:rPr>
          <w:lang w:val="sr-Latn-BA"/>
        </w:rPr>
        <w:t xml:space="preserve"> </w:t>
      </w:r>
      <w:r w:rsidRPr="001B53A8">
        <w:rPr>
          <w:lang w:val="sr-Latn-BA"/>
        </w:rPr>
        <w:t>investitora</w:t>
      </w:r>
      <w:r w:rsidR="009628CE" w:rsidRPr="001B53A8">
        <w:rPr>
          <w:lang w:val="sr-Latn-BA"/>
        </w:rPr>
        <w:t>,</w:t>
      </w:r>
    </w:p>
    <w:p w14:paraId="62609684" w14:textId="4B603C3D" w:rsidR="009628CE" w:rsidRPr="001B53A8" w:rsidRDefault="00003F34" w:rsidP="006B6E0C">
      <w:pPr>
        <w:pStyle w:val="ListParagraph"/>
        <w:numPr>
          <w:ilvl w:val="0"/>
          <w:numId w:val="1"/>
        </w:numPr>
        <w:spacing w:before="0" w:after="0" w:line="240" w:lineRule="auto"/>
        <w:contextualSpacing w:val="0"/>
        <w:rPr>
          <w:lang w:val="sr-Latn-BA"/>
        </w:rPr>
      </w:pPr>
      <w:r w:rsidRPr="001B53A8">
        <w:rPr>
          <w:lang w:val="sr-Latn-BA"/>
        </w:rPr>
        <w:t>Registar</w:t>
      </w:r>
      <w:r w:rsidR="009628CE" w:rsidRPr="001B53A8">
        <w:rPr>
          <w:lang w:val="sr-Latn-BA"/>
        </w:rPr>
        <w:t xml:space="preserve"> </w:t>
      </w:r>
      <w:r w:rsidRPr="001B53A8">
        <w:rPr>
          <w:lang w:val="sr-Latn-BA"/>
        </w:rPr>
        <w:t>investicionih</w:t>
      </w:r>
      <w:r w:rsidR="009628CE" w:rsidRPr="001B53A8">
        <w:rPr>
          <w:lang w:val="sr-Latn-BA"/>
        </w:rPr>
        <w:t xml:space="preserve"> </w:t>
      </w:r>
      <w:r w:rsidRPr="001B53A8">
        <w:rPr>
          <w:lang w:val="sr-Latn-BA"/>
        </w:rPr>
        <w:t>fondova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društava</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upravlјanje</w:t>
      </w:r>
      <w:r w:rsidR="009628CE" w:rsidRPr="001B53A8">
        <w:rPr>
          <w:lang w:val="sr-Latn-BA"/>
        </w:rPr>
        <w:t>,</w:t>
      </w:r>
    </w:p>
    <w:p w14:paraId="2E7B439C" w14:textId="330C8585" w:rsidR="009628CE" w:rsidRPr="001B53A8" w:rsidRDefault="00003F34" w:rsidP="006B6E0C">
      <w:pPr>
        <w:pStyle w:val="ListParagraph"/>
        <w:numPr>
          <w:ilvl w:val="0"/>
          <w:numId w:val="1"/>
        </w:numPr>
        <w:spacing w:before="0" w:after="0" w:line="240" w:lineRule="auto"/>
        <w:contextualSpacing w:val="0"/>
        <w:rPr>
          <w:lang w:val="sr-Latn-BA"/>
        </w:rPr>
      </w:pPr>
      <w:r w:rsidRPr="001B53A8">
        <w:rPr>
          <w:lang w:val="sr-Latn-BA"/>
        </w:rPr>
        <w:t>Registar</w:t>
      </w:r>
      <w:r w:rsidR="009628CE" w:rsidRPr="001B53A8">
        <w:rPr>
          <w:lang w:val="sr-Latn-BA"/>
        </w:rPr>
        <w:t xml:space="preserve"> </w:t>
      </w:r>
      <w:r w:rsidRPr="001B53A8">
        <w:rPr>
          <w:lang w:val="sr-Latn-BA"/>
        </w:rPr>
        <w:t>ovlašćenih</w:t>
      </w:r>
      <w:r w:rsidR="009628CE" w:rsidRPr="001B53A8">
        <w:rPr>
          <w:lang w:val="sr-Latn-BA"/>
        </w:rPr>
        <w:t xml:space="preserve"> </w:t>
      </w:r>
      <w:r w:rsidRPr="001B53A8">
        <w:rPr>
          <w:lang w:val="sr-Latn-BA"/>
        </w:rPr>
        <w:t>učesnika</w:t>
      </w:r>
      <w:r w:rsidR="009628CE" w:rsidRPr="001B53A8">
        <w:rPr>
          <w:lang w:val="sr-Latn-BA"/>
        </w:rPr>
        <w:t xml:space="preserve">, </w:t>
      </w:r>
      <w:r w:rsidRPr="001B53A8">
        <w:rPr>
          <w:lang w:val="sr-Latn-BA"/>
        </w:rPr>
        <w:t>odnosno</w:t>
      </w:r>
      <w:r w:rsidR="009628CE" w:rsidRPr="001B53A8">
        <w:rPr>
          <w:lang w:val="sr-Latn-BA"/>
        </w:rPr>
        <w:t xml:space="preserve"> </w:t>
      </w:r>
      <w:r w:rsidRPr="001B53A8">
        <w:rPr>
          <w:lang w:val="sr-Latn-BA"/>
        </w:rPr>
        <w:t>berzanskih</w:t>
      </w:r>
      <w:r w:rsidR="009628CE" w:rsidRPr="001B53A8">
        <w:rPr>
          <w:lang w:val="sr-Latn-BA"/>
        </w:rPr>
        <w:t xml:space="preserve"> </w:t>
      </w:r>
      <w:r w:rsidRPr="001B53A8">
        <w:rPr>
          <w:lang w:val="sr-Latn-BA"/>
        </w:rPr>
        <w:t>posrednika</w:t>
      </w:r>
      <w:r w:rsidR="009628CE" w:rsidRPr="001B53A8">
        <w:rPr>
          <w:lang w:val="sr-Latn-BA"/>
        </w:rPr>
        <w:t xml:space="preserve">, </w:t>
      </w:r>
      <w:r w:rsidRPr="001B53A8">
        <w:rPr>
          <w:lang w:val="sr-Latn-BA"/>
        </w:rPr>
        <w:t>kastodi</w:t>
      </w:r>
      <w:r w:rsidR="009628CE" w:rsidRPr="001B53A8">
        <w:rPr>
          <w:lang w:val="sr-Latn-BA"/>
        </w:rPr>
        <w:t xml:space="preserve"> </w:t>
      </w:r>
      <w:r w:rsidRPr="001B53A8">
        <w:rPr>
          <w:lang w:val="sr-Latn-BA"/>
        </w:rPr>
        <w:t>banaka</w:t>
      </w:r>
      <w:r w:rsidR="009628CE" w:rsidRPr="001B53A8">
        <w:rPr>
          <w:lang w:val="sr-Latn-BA"/>
        </w:rPr>
        <w:t xml:space="preserve">, </w:t>
      </w:r>
      <w:r w:rsidRPr="001B53A8">
        <w:rPr>
          <w:lang w:val="sr-Latn-BA"/>
        </w:rPr>
        <w:t>brokera</w:t>
      </w:r>
      <w:r w:rsidR="009628CE" w:rsidRPr="001B53A8">
        <w:rPr>
          <w:lang w:val="sr-Latn-BA"/>
        </w:rPr>
        <w:t xml:space="preserve">, </w:t>
      </w:r>
      <w:r w:rsidRPr="001B53A8">
        <w:rPr>
          <w:lang w:val="sr-Latn-BA"/>
        </w:rPr>
        <w:t>investicionih</w:t>
      </w:r>
      <w:r w:rsidR="009628CE" w:rsidRPr="001B53A8">
        <w:rPr>
          <w:lang w:val="sr-Latn-BA"/>
        </w:rPr>
        <w:t xml:space="preserve"> </w:t>
      </w:r>
      <w:r w:rsidRPr="001B53A8">
        <w:rPr>
          <w:lang w:val="sr-Latn-BA"/>
        </w:rPr>
        <w:t>savjetnika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investicionih</w:t>
      </w:r>
      <w:r w:rsidR="009628CE" w:rsidRPr="001B53A8">
        <w:rPr>
          <w:lang w:val="sr-Latn-BA"/>
        </w:rPr>
        <w:t xml:space="preserve"> </w:t>
      </w:r>
      <w:r w:rsidRPr="001B53A8">
        <w:rPr>
          <w:lang w:val="sr-Latn-BA"/>
        </w:rPr>
        <w:t>menadžera</w:t>
      </w:r>
      <w:r w:rsidR="009628CE" w:rsidRPr="001B53A8">
        <w:rPr>
          <w:lang w:val="sr-Latn-BA"/>
        </w:rPr>
        <w:t>.</w:t>
      </w:r>
    </w:p>
    <w:p w14:paraId="49070823" w14:textId="609CF19E" w:rsidR="0066171A" w:rsidRPr="001B53A8" w:rsidRDefault="00003F34" w:rsidP="006B6E0C">
      <w:pPr>
        <w:pStyle w:val="ListParagraph"/>
        <w:numPr>
          <w:ilvl w:val="0"/>
          <w:numId w:val="1"/>
        </w:numPr>
        <w:spacing w:before="0" w:after="0" w:line="240" w:lineRule="auto"/>
        <w:contextualSpacing w:val="0"/>
        <w:rPr>
          <w:lang w:val="sr-Latn-BA"/>
        </w:rPr>
      </w:pPr>
      <w:r w:rsidRPr="001B53A8">
        <w:rPr>
          <w:lang w:val="sr-Latn-BA"/>
        </w:rPr>
        <w:t>Registar</w:t>
      </w:r>
      <w:r w:rsidR="0066171A" w:rsidRPr="001B53A8">
        <w:rPr>
          <w:lang w:val="sr-Latn-BA"/>
        </w:rPr>
        <w:t xml:space="preserve"> </w:t>
      </w:r>
      <w:r w:rsidRPr="001B53A8">
        <w:rPr>
          <w:lang w:val="sr-Latn-BA"/>
        </w:rPr>
        <w:t>društava</w:t>
      </w:r>
      <w:r w:rsidR="0066171A" w:rsidRPr="001B53A8">
        <w:rPr>
          <w:lang w:val="sr-Latn-BA"/>
        </w:rPr>
        <w:t xml:space="preserve"> </w:t>
      </w:r>
      <w:r w:rsidRPr="001B53A8">
        <w:rPr>
          <w:lang w:val="sr-Latn-BA"/>
        </w:rPr>
        <w:t>za</w:t>
      </w:r>
      <w:r w:rsidR="0066171A" w:rsidRPr="001B53A8">
        <w:rPr>
          <w:lang w:val="sr-Latn-BA"/>
        </w:rPr>
        <w:t xml:space="preserve"> </w:t>
      </w:r>
      <w:r w:rsidRPr="001B53A8">
        <w:rPr>
          <w:lang w:val="sr-Latn-BA"/>
        </w:rPr>
        <w:t>faktoring</w:t>
      </w:r>
      <w:r w:rsidR="0066171A" w:rsidRPr="001B53A8">
        <w:rPr>
          <w:lang w:val="sr-Latn-BA"/>
        </w:rPr>
        <w:t>.</w:t>
      </w:r>
    </w:p>
    <w:p w14:paraId="49DD829A" w14:textId="5410BD72" w:rsidR="009628CE" w:rsidRPr="001B53A8" w:rsidRDefault="00003F34" w:rsidP="006B6E0C">
      <w:pPr>
        <w:spacing w:line="240" w:lineRule="auto"/>
        <w:ind w:firstLine="567"/>
        <w:rPr>
          <w:lang w:val="sr-Latn-BA"/>
        </w:rPr>
      </w:pPr>
      <w:r w:rsidRPr="001B53A8">
        <w:rPr>
          <w:lang w:val="sr-Latn-BA"/>
        </w:rPr>
        <w:t>Upisi</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registre</w:t>
      </w:r>
      <w:r w:rsidR="009628CE" w:rsidRPr="001B53A8">
        <w:rPr>
          <w:lang w:val="sr-Latn-BA"/>
        </w:rPr>
        <w:t xml:space="preserve"> </w:t>
      </w:r>
      <w:r w:rsidRPr="001B53A8">
        <w:rPr>
          <w:lang w:val="sr-Latn-BA"/>
        </w:rPr>
        <w:t>vrše</w:t>
      </w:r>
      <w:r w:rsidR="009628CE" w:rsidRPr="001B53A8">
        <w:rPr>
          <w:lang w:val="sr-Latn-BA"/>
        </w:rPr>
        <w:t xml:space="preserve"> </w:t>
      </w:r>
      <w:r w:rsidRPr="001B53A8">
        <w:rPr>
          <w:lang w:val="sr-Latn-BA"/>
        </w:rPr>
        <w:t>se</w:t>
      </w:r>
      <w:r w:rsidR="009628CE" w:rsidRPr="001B53A8">
        <w:rPr>
          <w:lang w:val="sr-Latn-BA"/>
        </w:rPr>
        <w:t xml:space="preserve"> </w:t>
      </w:r>
      <w:r w:rsidRPr="001B53A8">
        <w:rPr>
          <w:lang w:val="sr-Latn-BA"/>
        </w:rPr>
        <w:t>na</w:t>
      </w:r>
      <w:r w:rsidR="009628CE" w:rsidRPr="001B53A8">
        <w:rPr>
          <w:lang w:val="sr-Latn-BA"/>
        </w:rPr>
        <w:t xml:space="preserve"> </w:t>
      </w:r>
      <w:r w:rsidRPr="001B53A8">
        <w:rPr>
          <w:lang w:val="sr-Latn-BA"/>
        </w:rPr>
        <w:t>osnovu</w:t>
      </w:r>
      <w:r w:rsidR="009628CE" w:rsidRPr="001B53A8">
        <w:rPr>
          <w:lang w:val="sr-Latn-BA"/>
        </w:rPr>
        <w:t xml:space="preserve"> </w:t>
      </w:r>
      <w:r w:rsidRPr="001B53A8">
        <w:rPr>
          <w:lang w:val="sr-Latn-BA"/>
        </w:rPr>
        <w:t>riješenih</w:t>
      </w:r>
      <w:r w:rsidR="009628CE" w:rsidRPr="001B53A8">
        <w:rPr>
          <w:lang w:val="sr-Latn-BA"/>
        </w:rPr>
        <w:t xml:space="preserve"> </w:t>
      </w:r>
      <w:r w:rsidRPr="001B53A8">
        <w:rPr>
          <w:lang w:val="sr-Latn-BA"/>
        </w:rPr>
        <w:t>zahtjeva</w:t>
      </w:r>
      <w:r w:rsidR="009628CE" w:rsidRPr="001B53A8">
        <w:rPr>
          <w:lang w:val="sr-Latn-BA"/>
        </w:rPr>
        <w:t xml:space="preserve">, </w:t>
      </w:r>
      <w:r w:rsidRPr="001B53A8">
        <w:rPr>
          <w:lang w:val="sr-Latn-BA"/>
        </w:rPr>
        <w:t>kao</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obavještenja</w:t>
      </w:r>
      <w:r w:rsidR="009628CE" w:rsidRPr="001B53A8">
        <w:rPr>
          <w:lang w:val="sr-Latn-BA"/>
        </w:rPr>
        <w:t xml:space="preserve"> </w:t>
      </w:r>
      <w:r w:rsidRPr="001B53A8">
        <w:rPr>
          <w:lang w:val="sr-Latn-BA"/>
        </w:rPr>
        <w:t>koja</w:t>
      </w:r>
      <w:r w:rsidR="009628CE" w:rsidRPr="001B53A8">
        <w:rPr>
          <w:lang w:val="sr-Latn-BA"/>
        </w:rPr>
        <w:t xml:space="preserve"> </w:t>
      </w:r>
      <w:r w:rsidRPr="001B53A8">
        <w:rPr>
          <w:lang w:val="sr-Latn-BA"/>
        </w:rPr>
        <w:t>su</w:t>
      </w:r>
      <w:r w:rsidR="009628CE" w:rsidRPr="001B53A8">
        <w:rPr>
          <w:lang w:val="sr-Latn-BA"/>
        </w:rPr>
        <w:t xml:space="preserve"> </w:t>
      </w:r>
      <w:r w:rsidRPr="001B53A8">
        <w:rPr>
          <w:lang w:val="sr-Latn-BA"/>
        </w:rPr>
        <w:t>učesnici</w:t>
      </w:r>
      <w:r w:rsidR="009628CE" w:rsidRPr="001B53A8">
        <w:rPr>
          <w:lang w:val="sr-Latn-BA"/>
        </w:rPr>
        <w:t xml:space="preserve"> </w:t>
      </w:r>
      <w:r w:rsidRPr="001B53A8">
        <w:rPr>
          <w:lang w:val="sr-Latn-BA"/>
        </w:rPr>
        <w:t>obavezni</w:t>
      </w:r>
      <w:r w:rsidR="009628CE" w:rsidRPr="001B53A8">
        <w:rPr>
          <w:lang w:val="sr-Latn-BA"/>
        </w:rPr>
        <w:t xml:space="preserve"> </w:t>
      </w:r>
      <w:r w:rsidRPr="001B53A8">
        <w:rPr>
          <w:lang w:val="sr-Latn-BA"/>
        </w:rPr>
        <w:t>da</w:t>
      </w:r>
      <w:r w:rsidR="009628CE" w:rsidRPr="001B53A8">
        <w:rPr>
          <w:lang w:val="sr-Latn-BA"/>
        </w:rPr>
        <w:t xml:space="preserve"> </w:t>
      </w:r>
      <w:r w:rsidRPr="001B53A8">
        <w:rPr>
          <w:lang w:val="sr-Latn-BA"/>
        </w:rPr>
        <w:t>blagovremeno</w:t>
      </w:r>
      <w:r w:rsidR="009628CE" w:rsidRPr="001B53A8">
        <w:rPr>
          <w:lang w:val="sr-Latn-BA"/>
        </w:rPr>
        <w:t xml:space="preserve"> </w:t>
      </w:r>
      <w:r w:rsidRPr="001B53A8">
        <w:rPr>
          <w:lang w:val="sr-Latn-BA"/>
        </w:rPr>
        <w:t>dostavlјaju</w:t>
      </w:r>
      <w:r w:rsidR="009628CE" w:rsidRPr="001B53A8">
        <w:rPr>
          <w:lang w:val="sr-Latn-BA"/>
        </w:rPr>
        <w:t xml:space="preserve"> </w:t>
      </w:r>
      <w:r w:rsidRPr="001B53A8">
        <w:rPr>
          <w:lang w:val="sr-Latn-BA"/>
        </w:rPr>
        <w:t>Komisiji</w:t>
      </w:r>
      <w:r w:rsidR="009628CE" w:rsidRPr="001B53A8">
        <w:rPr>
          <w:lang w:val="sr-Latn-BA"/>
        </w:rPr>
        <w:t>.</w:t>
      </w:r>
    </w:p>
    <w:tbl>
      <w:tblPr>
        <w:tblStyle w:val="LightGrid-Accent11"/>
        <w:tblW w:w="4948" w:type="pct"/>
        <w:tblInd w:w="-10" w:type="dxa"/>
        <w:tblLayout w:type="fixed"/>
        <w:tblLook w:val="0420" w:firstRow="1" w:lastRow="0" w:firstColumn="0" w:lastColumn="0" w:noHBand="0" w:noVBand="1"/>
      </w:tblPr>
      <w:tblGrid>
        <w:gridCol w:w="6979"/>
        <w:gridCol w:w="937"/>
        <w:gridCol w:w="1274"/>
      </w:tblGrid>
      <w:tr w:rsidR="00AF7B11" w:rsidRPr="001B53A8" w14:paraId="2F733D04" w14:textId="77777777" w:rsidTr="00003F34">
        <w:trPr>
          <w:cnfStyle w:val="100000000000" w:firstRow="1" w:lastRow="0" w:firstColumn="0" w:lastColumn="0" w:oddVBand="0" w:evenVBand="0" w:oddHBand="0" w:evenHBand="0" w:firstRowFirstColumn="0" w:firstRowLastColumn="0" w:lastRowFirstColumn="0" w:lastRowLastColumn="0"/>
        </w:trPr>
        <w:tc>
          <w:tcPr>
            <w:tcW w:w="3797" w:type="pct"/>
            <w:vMerge w:val="restart"/>
            <w:vAlign w:val="center"/>
          </w:tcPr>
          <w:p w14:paraId="6898470E" w14:textId="0B861769" w:rsidR="00AF7B11" w:rsidRPr="001B53A8" w:rsidRDefault="00003F34" w:rsidP="00003F34">
            <w:pPr>
              <w:pStyle w:val="Table"/>
              <w:rPr>
                <w:rFonts w:ascii="Times New Roman" w:hAnsi="Times New Roman"/>
                <w:b w:val="0"/>
                <w:color w:val="002060"/>
                <w:lang w:val="sr-Latn-BA"/>
              </w:rPr>
            </w:pPr>
            <w:bookmarkStart w:id="36" w:name="_Hlk133233685"/>
            <w:r w:rsidRPr="001B53A8">
              <w:rPr>
                <w:rFonts w:ascii="Times New Roman" w:hAnsi="Times New Roman"/>
                <w:color w:val="002060"/>
                <w:lang w:val="sr-Latn-BA"/>
              </w:rPr>
              <w:t>Naziv</w:t>
            </w:r>
            <w:r w:rsidR="00AF7B11" w:rsidRPr="001B53A8">
              <w:rPr>
                <w:rFonts w:ascii="Times New Roman" w:hAnsi="Times New Roman"/>
                <w:color w:val="002060"/>
                <w:lang w:val="sr-Latn-BA"/>
              </w:rPr>
              <w:t xml:space="preserve"> </w:t>
            </w:r>
            <w:r w:rsidRPr="001B53A8">
              <w:rPr>
                <w:rFonts w:ascii="Times New Roman" w:hAnsi="Times New Roman"/>
                <w:color w:val="002060"/>
                <w:lang w:val="sr-Latn-BA"/>
              </w:rPr>
              <w:t>registra</w:t>
            </w:r>
          </w:p>
        </w:tc>
        <w:tc>
          <w:tcPr>
            <w:tcW w:w="1203" w:type="pct"/>
            <w:gridSpan w:val="2"/>
            <w:tcBorders>
              <w:bottom w:val="single" w:sz="2" w:space="0" w:color="4F81BD" w:themeColor="accent1"/>
            </w:tcBorders>
          </w:tcPr>
          <w:p w14:paraId="34EAD17B" w14:textId="1EA23E5E" w:rsidR="00AF7B11" w:rsidRPr="001B53A8" w:rsidRDefault="00003F34" w:rsidP="00003F34">
            <w:pPr>
              <w:pStyle w:val="Table"/>
              <w:jc w:val="center"/>
              <w:rPr>
                <w:rFonts w:ascii="Times New Roman" w:hAnsi="Times New Roman"/>
                <w:b w:val="0"/>
                <w:color w:val="002060"/>
                <w:lang w:val="sr-Latn-BA"/>
              </w:rPr>
            </w:pPr>
            <w:r w:rsidRPr="001B53A8">
              <w:rPr>
                <w:rFonts w:ascii="Times New Roman" w:hAnsi="Times New Roman"/>
                <w:color w:val="002060"/>
                <w:lang w:val="sr-Latn-BA"/>
              </w:rPr>
              <w:t>Broj</w:t>
            </w:r>
            <w:r w:rsidR="00AF7B11" w:rsidRPr="001B53A8">
              <w:rPr>
                <w:rFonts w:ascii="Times New Roman" w:hAnsi="Times New Roman"/>
                <w:color w:val="002060"/>
                <w:lang w:val="sr-Latn-BA"/>
              </w:rPr>
              <w:t xml:space="preserve"> </w:t>
            </w:r>
            <w:r w:rsidRPr="001B53A8">
              <w:rPr>
                <w:rFonts w:ascii="Times New Roman" w:hAnsi="Times New Roman"/>
                <w:color w:val="002060"/>
                <w:lang w:val="sr-Latn-BA"/>
              </w:rPr>
              <w:t>upisa</w:t>
            </w:r>
          </w:p>
        </w:tc>
      </w:tr>
      <w:tr w:rsidR="00AF7B11" w:rsidRPr="001B53A8" w14:paraId="5282EBDE" w14:textId="77777777" w:rsidTr="00003F34">
        <w:trPr>
          <w:cnfStyle w:val="000000100000" w:firstRow="0" w:lastRow="0" w:firstColumn="0" w:lastColumn="0" w:oddVBand="0" w:evenVBand="0" w:oddHBand="1" w:evenHBand="0" w:firstRowFirstColumn="0" w:firstRowLastColumn="0" w:lastRowFirstColumn="0" w:lastRowLastColumn="0"/>
        </w:trPr>
        <w:tc>
          <w:tcPr>
            <w:tcW w:w="3797" w:type="pct"/>
            <w:vMerge/>
            <w:tcBorders>
              <w:bottom w:val="single" w:sz="18" w:space="0" w:color="4F81BD" w:themeColor="accent1"/>
            </w:tcBorders>
          </w:tcPr>
          <w:p w14:paraId="72F89A6B" w14:textId="77777777" w:rsidR="00AF7B11" w:rsidRPr="001B53A8" w:rsidRDefault="00AF7B11" w:rsidP="00003F34">
            <w:pPr>
              <w:pStyle w:val="Table"/>
              <w:jc w:val="center"/>
              <w:rPr>
                <w:rFonts w:ascii="Times New Roman" w:hAnsi="Times New Roman"/>
                <w:color w:val="002060"/>
                <w:highlight w:val="yellow"/>
                <w:lang w:val="sr-Latn-BA"/>
              </w:rPr>
            </w:pPr>
          </w:p>
        </w:tc>
        <w:tc>
          <w:tcPr>
            <w:tcW w:w="510" w:type="pct"/>
            <w:tcBorders>
              <w:top w:val="single" w:sz="2" w:space="0" w:color="4F81BD" w:themeColor="accent1"/>
              <w:bottom w:val="single" w:sz="18" w:space="0" w:color="4F81BD" w:themeColor="accent1"/>
            </w:tcBorders>
            <w:shd w:val="clear" w:color="auto" w:fill="auto"/>
          </w:tcPr>
          <w:p w14:paraId="4648DE27" w14:textId="77777777" w:rsidR="00AF7B11" w:rsidRPr="001B53A8" w:rsidRDefault="00AF7B11" w:rsidP="00003F34">
            <w:pPr>
              <w:pStyle w:val="Table"/>
              <w:jc w:val="center"/>
              <w:rPr>
                <w:rFonts w:ascii="Times New Roman" w:hAnsi="Times New Roman"/>
                <w:b/>
                <w:bCs/>
                <w:color w:val="002060"/>
                <w:lang w:val="sr-Latn-BA"/>
              </w:rPr>
            </w:pPr>
            <w:r w:rsidRPr="001B53A8">
              <w:rPr>
                <w:rFonts w:ascii="Times New Roman" w:hAnsi="Times New Roman"/>
                <w:b/>
                <w:bCs/>
                <w:color w:val="002060"/>
                <w:lang w:val="sr-Latn-BA"/>
              </w:rPr>
              <w:t>2023.</w:t>
            </w:r>
          </w:p>
        </w:tc>
        <w:tc>
          <w:tcPr>
            <w:tcW w:w="693" w:type="pct"/>
            <w:tcBorders>
              <w:top w:val="single" w:sz="2" w:space="0" w:color="4F81BD" w:themeColor="accent1"/>
              <w:bottom w:val="single" w:sz="18" w:space="0" w:color="4F81BD" w:themeColor="accent1"/>
            </w:tcBorders>
            <w:shd w:val="clear" w:color="auto" w:fill="auto"/>
            <w:vAlign w:val="center"/>
          </w:tcPr>
          <w:p w14:paraId="747F4B91" w14:textId="4C6CAA96" w:rsidR="00AF7B11" w:rsidRPr="001B53A8" w:rsidRDefault="00AF7B11" w:rsidP="00003F34">
            <w:pPr>
              <w:pStyle w:val="Table"/>
              <w:jc w:val="center"/>
              <w:rPr>
                <w:rFonts w:ascii="Times New Roman" w:hAnsi="Times New Roman"/>
                <w:b/>
                <w:bCs/>
                <w:color w:val="002060"/>
                <w:lang w:val="sr-Latn-BA"/>
              </w:rPr>
            </w:pPr>
            <w:r w:rsidRPr="001B53A8">
              <w:rPr>
                <w:rFonts w:ascii="Times New Roman" w:hAnsi="Times New Roman"/>
                <w:b/>
                <w:bCs/>
                <w:color w:val="002060"/>
                <w:lang w:val="sr-Latn-BA"/>
              </w:rPr>
              <w:t>2001 - 202</w:t>
            </w:r>
            <w:r w:rsidR="002C66E2" w:rsidRPr="001B53A8">
              <w:rPr>
                <w:rFonts w:ascii="Times New Roman" w:hAnsi="Times New Roman"/>
                <w:b/>
                <w:bCs/>
                <w:color w:val="002060"/>
                <w:lang w:val="sr-Latn-BA"/>
              </w:rPr>
              <w:t>3</w:t>
            </w:r>
            <w:r w:rsidRPr="001B53A8">
              <w:rPr>
                <w:rFonts w:ascii="Times New Roman" w:hAnsi="Times New Roman"/>
                <w:b/>
                <w:bCs/>
                <w:color w:val="002060"/>
                <w:lang w:val="sr-Latn-BA"/>
              </w:rPr>
              <w:t>.</w:t>
            </w:r>
          </w:p>
        </w:tc>
      </w:tr>
      <w:tr w:rsidR="00AF7B11" w:rsidRPr="001B53A8" w14:paraId="1CEE8464" w14:textId="77777777" w:rsidTr="00003F34">
        <w:trPr>
          <w:cnfStyle w:val="000000010000" w:firstRow="0" w:lastRow="0" w:firstColumn="0" w:lastColumn="0" w:oddVBand="0" w:evenVBand="0" w:oddHBand="0" w:evenHBand="1" w:firstRowFirstColumn="0" w:firstRowLastColumn="0" w:lastRowFirstColumn="0" w:lastRowLastColumn="0"/>
          <w:trHeight w:val="223"/>
        </w:trPr>
        <w:tc>
          <w:tcPr>
            <w:tcW w:w="3797" w:type="pct"/>
            <w:tcBorders>
              <w:top w:val="single" w:sz="18" w:space="0" w:color="4F81BD" w:themeColor="accent1"/>
            </w:tcBorders>
          </w:tcPr>
          <w:p w14:paraId="039F7699" w14:textId="51BFAA82" w:rsidR="00AF7B11" w:rsidRPr="001B53A8" w:rsidRDefault="00003F34" w:rsidP="00003F34">
            <w:pPr>
              <w:pStyle w:val="Table"/>
              <w:rPr>
                <w:rFonts w:ascii="Times New Roman" w:hAnsi="Times New Roman"/>
                <w:highlight w:val="yellow"/>
                <w:lang w:val="sr-Latn-BA"/>
              </w:rPr>
            </w:pPr>
            <w:r w:rsidRPr="001B53A8">
              <w:rPr>
                <w:rFonts w:ascii="Times New Roman" w:hAnsi="Times New Roman"/>
                <w:lang w:val="sr-Latn-BA"/>
              </w:rPr>
              <w:t>Registar</w:t>
            </w:r>
            <w:r w:rsidR="00AF7B11" w:rsidRPr="001B53A8">
              <w:rPr>
                <w:rFonts w:ascii="Times New Roman" w:hAnsi="Times New Roman"/>
                <w:lang w:val="sr-Latn-BA"/>
              </w:rPr>
              <w:t xml:space="preserve"> </w:t>
            </w:r>
            <w:r w:rsidRPr="001B53A8">
              <w:rPr>
                <w:rFonts w:ascii="Times New Roman" w:hAnsi="Times New Roman"/>
                <w:lang w:val="sr-Latn-BA"/>
              </w:rPr>
              <w:t>emitenata</w:t>
            </w:r>
          </w:p>
        </w:tc>
        <w:tc>
          <w:tcPr>
            <w:tcW w:w="510" w:type="pct"/>
            <w:tcBorders>
              <w:top w:val="single" w:sz="18" w:space="0" w:color="4F81BD" w:themeColor="accent1"/>
            </w:tcBorders>
          </w:tcPr>
          <w:p w14:paraId="179581FC" w14:textId="77777777" w:rsidR="00AF7B11" w:rsidRPr="001B53A8" w:rsidRDefault="00AF7B11" w:rsidP="00003F34">
            <w:pPr>
              <w:tabs>
                <w:tab w:val="decimal" w:pos="394"/>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sz w:val="20"/>
                <w:szCs w:val="20"/>
                <w:lang w:val="sr-Latn-BA"/>
              </w:rPr>
              <w:t>2</w:t>
            </w:r>
          </w:p>
        </w:tc>
        <w:tc>
          <w:tcPr>
            <w:tcW w:w="693" w:type="pct"/>
            <w:tcBorders>
              <w:top w:val="single" w:sz="18" w:space="0" w:color="4F81BD" w:themeColor="accent1"/>
            </w:tcBorders>
          </w:tcPr>
          <w:p w14:paraId="5DA84F13" w14:textId="77777777" w:rsidR="00AF7B11" w:rsidRPr="001B53A8" w:rsidRDefault="00AF7B11" w:rsidP="00003F34">
            <w:pPr>
              <w:tabs>
                <w:tab w:val="decimal" w:pos="720"/>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color w:val="000000"/>
                <w:sz w:val="20"/>
                <w:szCs w:val="20"/>
                <w:lang w:val="sr-Latn-BA"/>
              </w:rPr>
              <w:t>1.056</w:t>
            </w:r>
          </w:p>
        </w:tc>
      </w:tr>
      <w:tr w:rsidR="00AF7B11" w:rsidRPr="001B53A8" w14:paraId="279CE6BC" w14:textId="77777777" w:rsidTr="00003F34">
        <w:trPr>
          <w:cnfStyle w:val="000000100000" w:firstRow="0" w:lastRow="0" w:firstColumn="0" w:lastColumn="0" w:oddVBand="0" w:evenVBand="0" w:oddHBand="1" w:evenHBand="0" w:firstRowFirstColumn="0" w:firstRowLastColumn="0" w:lastRowFirstColumn="0" w:lastRowLastColumn="0"/>
        </w:trPr>
        <w:tc>
          <w:tcPr>
            <w:tcW w:w="3797" w:type="pct"/>
          </w:tcPr>
          <w:p w14:paraId="0559A6CE" w14:textId="32EB9C61" w:rsidR="00AF7B11" w:rsidRPr="001B53A8" w:rsidRDefault="00003F34" w:rsidP="00003F34">
            <w:pPr>
              <w:pStyle w:val="Table"/>
              <w:rPr>
                <w:rFonts w:ascii="Times New Roman" w:hAnsi="Times New Roman"/>
                <w:highlight w:val="yellow"/>
                <w:lang w:val="sr-Latn-BA"/>
              </w:rPr>
            </w:pPr>
            <w:r w:rsidRPr="001B53A8">
              <w:rPr>
                <w:rFonts w:ascii="Times New Roman" w:hAnsi="Times New Roman"/>
                <w:lang w:val="sr-Latn-BA"/>
              </w:rPr>
              <w:t>Promjena</w:t>
            </w:r>
            <w:r w:rsidR="00AF7B11" w:rsidRPr="001B53A8">
              <w:rPr>
                <w:rFonts w:ascii="Times New Roman" w:hAnsi="Times New Roman"/>
                <w:lang w:val="sr-Latn-BA"/>
              </w:rPr>
              <w:t xml:space="preserve"> </w:t>
            </w:r>
            <w:r w:rsidRPr="001B53A8">
              <w:rPr>
                <w:rFonts w:ascii="Times New Roman" w:hAnsi="Times New Roman"/>
                <w:lang w:val="sr-Latn-BA"/>
              </w:rPr>
              <w:t>podataka</w:t>
            </w:r>
            <w:r w:rsidR="00AF7B11" w:rsidRPr="001B53A8">
              <w:rPr>
                <w:rFonts w:ascii="Times New Roman" w:hAnsi="Times New Roman"/>
                <w:lang w:val="sr-Latn-BA"/>
              </w:rPr>
              <w:t xml:space="preserve"> </w:t>
            </w:r>
            <w:r w:rsidRPr="001B53A8">
              <w:rPr>
                <w:rFonts w:ascii="Times New Roman" w:hAnsi="Times New Roman"/>
                <w:lang w:val="sr-Latn-BA"/>
              </w:rPr>
              <w:t>u</w:t>
            </w:r>
            <w:r w:rsidR="00AF7B11" w:rsidRPr="001B53A8">
              <w:rPr>
                <w:rFonts w:ascii="Times New Roman" w:hAnsi="Times New Roman"/>
                <w:lang w:val="sr-Latn-BA"/>
              </w:rPr>
              <w:t xml:space="preserve"> </w:t>
            </w:r>
            <w:r w:rsidRPr="001B53A8">
              <w:rPr>
                <w:rFonts w:ascii="Times New Roman" w:hAnsi="Times New Roman"/>
                <w:lang w:val="sr-Latn-BA"/>
              </w:rPr>
              <w:t>Registru</w:t>
            </w:r>
            <w:r w:rsidR="00AF7B11" w:rsidRPr="001B53A8">
              <w:rPr>
                <w:rFonts w:ascii="Times New Roman" w:hAnsi="Times New Roman"/>
                <w:lang w:val="sr-Latn-BA"/>
              </w:rPr>
              <w:t xml:space="preserve"> </w:t>
            </w:r>
            <w:r w:rsidRPr="001B53A8">
              <w:rPr>
                <w:rFonts w:ascii="Times New Roman" w:hAnsi="Times New Roman"/>
                <w:lang w:val="sr-Latn-BA"/>
              </w:rPr>
              <w:t>emitenata</w:t>
            </w:r>
            <w:r w:rsidR="00AF7B11" w:rsidRPr="001B53A8">
              <w:rPr>
                <w:rFonts w:ascii="Times New Roman" w:hAnsi="Times New Roman"/>
                <w:lang w:val="sr-Latn-BA"/>
              </w:rPr>
              <w:t xml:space="preserve"> </w:t>
            </w:r>
          </w:p>
        </w:tc>
        <w:tc>
          <w:tcPr>
            <w:tcW w:w="510" w:type="pct"/>
          </w:tcPr>
          <w:p w14:paraId="5B60E255" w14:textId="77777777" w:rsidR="00AF7B11" w:rsidRPr="001B53A8" w:rsidRDefault="00AF7B11" w:rsidP="00003F34">
            <w:pPr>
              <w:tabs>
                <w:tab w:val="decimal" w:pos="394"/>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sz w:val="20"/>
                <w:szCs w:val="20"/>
                <w:lang w:val="sr-Latn-BA"/>
              </w:rPr>
              <w:t>106</w:t>
            </w:r>
          </w:p>
        </w:tc>
        <w:tc>
          <w:tcPr>
            <w:tcW w:w="693" w:type="pct"/>
          </w:tcPr>
          <w:p w14:paraId="2ED7CB3E" w14:textId="77777777" w:rsidR="00AF7B11" w:rsidRPr="001B53A8" w:rsidRDefault="00AF7B11" w:rsidP="00003F34">
            <w:pPr>
              <w:tabs>
                <w:tab w:val="decimal" w:pos="720"/>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color w:val="000000"/>
                <w:sz w:val="20"/>
                <w:szCs w:val="20"/>
                <w:lang w:val="sr-Latn-BA"/>
              </w:rPr>
              <w:t>3.144</w:t>
            </w:r>
          </w:p>
        </w:tc>
      </w:tr>
      <w:tr w:rsidR="00AF7B11" w:rsidRPr="001B53A8" w14:paraId="134A343B" w14:textId="77777777" w:rsidTr="00003F34">
        <w:trPr>
          <w:cnfStyle w:val="000000010000" w:firstRow="0" w:lastRow="0" w:firstColumn="0" w:lastColumn="0" w:oddVBand="0" w:evenVBand="0" w:oddHBand="0" w:evenHBand="1" w:firstRowFirstColumn="0" w:firstRowLastColumn="0" w:lastRowFirstColumn="0" w:lastRowLastColumn="0"/>
        </w:trPr>
        <w:tc>
          <w:tcPr>
            <w:tcW w:w="3797" w:type="pct"/>
          </w:tcPr>
          <w:p w14:paraId="494C92A3" w14:textId="1793A0FB" w:rsidR="00AF7B11" w:rsidRPr="001B53A8" w:rsidRDefault="00003F34" w:rsidP="00003F34">
            <w:pPr>
              <w:pStyle w:val="Table"/>
              <w:rPr>
                <w:rFonts w:ascii="Times New Roman" w:hAnsi="Times New Roman"/>
                <w:highlight w:val="yellow"/>
                <w:lang w:val="sr-Latn-BA"/>
              </w:rPr>
            </w:pPr>
            <w:r w:rsidRPr="001B53A8">
              <w:rPr>
                <w:rFonts w:ascii="Times New Roman" w:hAnsi="Times New Roman"/>
                <w:lang w:val="sr-Latn-BA"/>
              </w:rPr>
              <w:t>Brisanje</w:t>
            </w:r>
            <w:r w:rsidR="00AF7B11" w:rsidRPr="001B53A8">
              <w:rPr>
                <w:rFonts w:ascii="Times New Roman" w:hAnsi="Times New Roman"/>
                <w:lang w:val="sr-Latn-BA"/>
              </w:rPr>
              <w:t xml:space="preserve"> </w:t>
            </w:r>
            <w:r w:rsidRPr="001B53A8">
              <w:rPr>
                <w:rFonts w:ascii="Times New Roman" w:hAnsi="Times New Roman"/>
                <w:lang w:val="sr-Latn-BA"/>
              </w:rPr>
              <w:t>emitenata</w:t>
            </w:r>
            <w:r w:rsidR="00AF7B11" w:rsidRPr="001B53A8">
              <w:rPr>
                <w:rFonts w:ascii="Times New Roman" w:hAnsi="Times New Roman"/>
                <w:lang w:val="sr-Latn-BA"/>
              </w:rPr>
              <w:t xml:space="preserve"> </w:t>
            </w:r>
            <w:r w:rsidRPr="001B53A8">
              <w:rPr>
                <w:rFonts w:ascii="Times New Roman" w:hAnsi="Times New Roman"/>
                <w:lang w:val="sr-Latn-BA"/>
              </w:rPr>
              <w:t>iz</w:t>
            </w:r>
            <w:r w:rsidR="00AF7B11" w:rsidRPr="001B53A8">
              <w:rPr>
                <w:rFonts w:ascii="Times New Roman" w:hAnsi="Times New Roman"/>
                <w:lang w:val="sr-Latn-BA"/>
              </w:rPr>
              <w:t xml:space="preserve"> </w:t>
            </w:r>
            <w:r w:rsidRPr="001B53A8">
              <w:rPr>
                <w:rFonts w:ascii="Times New Roman" w:hAnsi="Times New Roman"/>
                <w:lang w:val="sr-Latn-BA"/>
              </w:rPr>
              <w:t>Registra</w:t>
            </w:r>
            <w:r w:rsidR="00AF7B11" w:rsidRPr="001B53A8">
              <w:rPr>
                <w:rFonts w:ascii="Times New Roman" w:hAnsi="Times New Roman"/>
                <w:lang w:val="sr-Latn-BA"/>
              </w:rPr>
              <w:t xml:space="preserve"> </w:t>
            </w:r>
            <w:r w:rsidRPr="001B53A8">
              <w:rPr>
                <w:rFonts w:ascii="Times New Roman" w:hAnsi="Times New Roman"/>
                <w:lang w:val="sr-Latn-BA"/>
              </w:rPr>
              <w:t>emitenata</w:t>
            </w:r>
          </w:p>
        </w:tc>
        <w:tc>
          <w:tcPr>
            <w:tcW w:w="510" w:type="pct"/>
          </w:tcPr>
          <w:p w14:paraId="19A256FA" w14:textId="77777777" w:rsidR="00AF7B11" w:rsidRPr="001B53A8" w:rsidRDefault="00AF7B11" w:rsidP="00003F34">
            <w:pPr>
              <w:tabs>
                <w:tab w:val="decimal" w:pos="394"/>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sz w:val="20"/>
                <w:szCs w:val="20"/>
                <w:lang w:val="sr-Latn-BA"/>
              </w:rPr>
              <w:t>11</w:t>
            </w:r>
          </w:p>
        </w:tc>
        <w:tc>
          <w:tcPr>
            <w:tcW w:w="693" w:type="pct"/>
          </w:tcPr>
          <w:p w14:paraId="03EF6D8C" w14:textId="77777777" w:rsidR="00AF7B11" w:rsidRPr="001B53A8" w:rsidRDefault="00AF7B11" w:rsidP="00003F34">
            <w:pPr>
              <w:tabs>
                <w:tab w:val="decimal" w:pos="720"/>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color w:val="000000"/>
                <w:sz w:val="20"/>
                <w:szCs w:val="20"/>
                <w:lang w:val="sr-Latn-BA"/>
              </w:rPr>
              <w:t>476</w:t>
            </w:r>
          </w:p>
        </w:tc>
      </w:tr>
      <w:tr w:rsidR="00AF7B11" w:rsidRPr="001B53A8" w14:paraId="4E359ED0" w14:textId="77777777" w:rsidTr="00003F34">
        <w:trPr>
          <w:cnfStyle w:val="000000100000" w:firstRow="0" w:lastRow="0" w:firstColumn="0" w:lastColumn="0" w:oddVBand="0" w:evenVBand="0" w:oddHBand="1" w:evenHBand="0" w:firstRowFirstColumn="0" w:firstRowLastColumn="0" w:lastRowFirstColumn="0" w:lastRowLastColumn="0"/>
        </w:trPr>
        <w:tc>
          <w:tcPr>
            <w:tcW w:w="3797" w:type="pct"/>
          </w:tcPr>
          <w:p w14:paraId="20C280E5" w14:textId="448E3943" w:rsidR="00AF7B11" w:rsidRPr="001B53A8" w:rsidRDefault="00003F34" w:rsidP="00003F34">
            <w:pPr>
              <w:pStyle w:val="Table"/>
              <w:rPr>
                <w:rFonts w:ascii="Times New Roman" w:hAnsi="Times New Roman"/>
                <w:highlight w:val="yellow"/>
                <w:lang w:val="sr-Latn-BA"/>
              </w:rPr>
            </w:pPr>
            <w:r w:rsidRPr="001B53A8">
              <w:rPr>
                <w:rFonts w:ascii="Times New Roman" w:hAnsi="Times New Roman"/>
                <w:lang w:val="sr-Latn-BA"/>
              </w:rPr>
              <w:t>Registar</w:t>
            </w:r>
            <w:r w:rsidR="00AF7B11" w:rsidRPr="001B53A8">
              <w:rPr>
                <w:rFonts w:ascii="Times New Roman" w:hAnsi="Times New Roman"/>
                <w:lang w:val="sr-Latn-BA"/>
              </w:rPr>
              <w:t xml:space="preserve"> </w:t>
            </w:r>
            <w:r w:rsidRPr="001B53A8">
              <w:rPr>
                <w:rFonts w:ascii="Times New Roman" w:hAnsi="Times New Roman"/>
                <w:lang w:val="sr-Latn-BA"/>
              </w:rPr>
              <w:t>društava</w:t>
            </w:r>
            <w:r w:rsidR="00AF7B11" w:rsidRPr="001B53A8">
              <w:rPr>
                <w:rFonts w:ascii="Times New Roman" w:hAnsi="Times New Roman"/>
                <w:lang w:val="sr-Latn-BA"/>
              </w:rPr>
              <w:t xml:space="preserve"> </w:t>
            </w:r>
            <w:r w:rsidRPr="001B53A8">
              <w:rPr>
                <w:rFonts w:ascii="Times New Roman" w:hAnsi="Times New Roman"/>
                <w:lang w:val="sr-Latn-BA"/>
              </w:rPr>
              <w:t>za</w:t>
            </w:r>
            <w:r w:rsidR="00AF7B11" w:rsidRPr="001B53A8">
              <w:rPr>
                <w:rFonts w:ascii="Times New Roman" w:hAnsi="Times New Roman"/>
                <w:lang w:val="sr-Latn-BA"/>
              </w:rPr>
              <w:t xml:space="preserve"> </w:t>
            </w:r>
            <w:r w:rsidRPr="001B53A8">
              <w:rPr>
                <w:rFonts w:ascii="Times New Roman" w:hAnsi="Times New Roman"/>
                <w:lang w:val="sr-Latn-BA"/>
              </w:rPr>
              <w:t>upravlјanje</w:t>
            </w:r>
            <w:r w:rsidR="00AF7B11" w:rsidRPr="001B53A8">
              <w:rPr>
                <w:rFonts w:ascii="Times New Roman" w:hAnsi="Times New Roman"/>
                <w:lang w:val="sr-Latn-BA"/>
              </w:rPr>
              <w:t xml:space="preserve"> </w:t>
            </w:r>
            <w:r w:rsidRPr="001B53A8">
              <w:rPr>
                <w:rFonts w:ascii="Times New Roman" w:hAnsi="Times New Roman"/>
                <w:lang w:val="sr-Latn-BA"/>
              </w:rPr>
              <w:t>investicionim</w:t>
            </w:r>
            <w:r w:rsidR="00AF7B11" w:rsidRPr="001B53A8">
              <w:rPr>
                <w:rFonts w:ascii="Times New Roman" w:hAnsi="Times New Roman"/>
                <w:lang w:val="sr-Latn-BA"/>
              </w:rPr>
              <w:t xml:space="preserve"> </w:t>
            </w:r>
            <w:r w:rsidRPr="001B53A8">
              <w:rPr>
                <w:rFonts w:ascii="Times New Roman" w:hAnsi="Times New Roman"/>
                <w:lang w:val="sr-Latn-BA"/>
              </w:rPr>
              <w:t>fondovima</w:t>
            </w:r>
          </w:p>
        </w:tc>
        <w:tc>
          <w:tcPr>
            <w:tcW w:w="510" w:type="pct"/>
          </w:tcPr>
          <w:p w14:paraId="60D79347" w14:textId="77777777" w:rsidR="00AF7B11" w:rsidRPr="001B53A8" w:rsidRDefault="00AF7B11" w:rsidP="00003F34">
            <w:pPr>
              <w:tabs>
                <w:tab w:val="decimal" w:pos="394"/>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sz w:val="20"/>
                <w:szCs w:val="20"/>
                <w:lang w:val="sr-Latn-BA"/>
              </w:rPr>
              <w:t>0</w:t>
            </w:r>
          </w:p>
        </w:tc>
        <w:tc>
          <w:tcPr>
            <w:tcW w:w="693" w:type="pct"/>
          </w:tcPr>
          <w:p w14:paraId="4939EC93" w14:textId="77777777" w:rsidR="00AF7B11" w:rsidRPr="001B53A8" w:rsidRDefault="00AF7B11" w:rsidP="00003F34">
            <w:pPr>
              <w:tabs>
                <w:tab w:val="decimal" w:pos="720"/>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color w:val="000000"/>
                <w:sz w:val="20"/>
                <w:szCs w:val="20"/>
                <w:lang w:val="sr-Latn-BA"/>
              </w:rPr>
              <w:t>38</w:t>
            </w:r>
          </w:p>
        </w:tc>
      </w:tr>
      <w:tr w:rsidR="00AF7B11" w:rsidRPr="001B53A8" w14:paraId="2E550ACF" w14:textId="77777777" w:rsidTr="00003F34">
        <w:trPr>
          <w:cnfStyle w:val="000000010000" w:firstRow="0" w:lastRow="0" w:firstColumn="0" w:lastColumn="0" w:oddVBand="0" w:evenVBand="0" w:oddHBand="0" w:evenHBand="1" w:firstRowFirstColumn="0" w:firstRowLastColumn="0" w:lastRowFirstColumn="0" w:lastRowLastColumn="0"/>
        </w:trPr>
        <w:tc>
          <w:tcPr>
            <w:tcW w:w="3797" w:type="pct"/>
          </w:tcPr>
          <w:p w14:paraId="7A1A827A" w14:textId="55F7F4DC" w:rsidR="00AF7B11" w:rsidRPr="001B53A8" w:rsidRDefault="00003F34" w:rsidP="00003F34">
            <w:pPr>
              <w:pStyle w:val="Table"/>
              <w:rPr>
                <w:rFonts w:ascii="Times New Roman" w:hAnsi="Times New Roman"/>
                <w:highlight w:val="yellow"/>
                <w:lang w:val="sr-Latn-BA"/>
              </w:rPr>
            </w:pPr>
            <w:r w:rsidRPr="001B53A8">
              <w:rPr>
                <w:rFonts w:ascii="Times New Roman" w:hAnsi="Times New Roman"/>
                <w:lang w:val="sr-Latn-BA"/>
              </w:rPr>
              <w:t>Registar</w:t>
            </w:r>
            <w:r w:rsidR="00AF7B11" w:rsidRPr="001B53A8">
              <w:rPr>
                <w:rFonts w:ascii="Times New Roman" w:hAnsi="Times New Roman"/>
                <w:lang w:val="sr-Latn-BA"/>
              </w:rPr>
              <w:t xml:space="preserve"> </w:t>
            </w:r>
            <w:r w:rsidRPr="001B53A8">
              <w:rPr>
                <w:rFonts w:ascii="Times New Roman" w:hAnsi="Times New Roman"/>
                <w:lang w:val="sr-Latn-BA"/>
              </w:rPr>
              <w:t>investicionih</w:t>
            </w:r>
            <w:r w:rsidR="00AF7B11" w:rsidRPr="001B53A8">
              <w:rPr>
                <w:rFonts w:ascii="Times New Roman" w:hAnsi="Times New Roman"/>
                <w:lang w:val="sr-Latn-BA"/>
              </w:rPr>
              <w:t xml:space="preserve"> </w:t>
            </w:r>
            <w:r w:rsidRPr="001B53A8">
              <w:rPr>
                <w:rFonts w:ascii="Times New Roman" w:hAnsi="Times New Roman"/>
                <w:lang w:val="sr-Latn-BA"/>
              </w:rPr>
              <w:t>fondova</w:t>
            </w:r>
          </w:p>
        </w:tc>
        <w:tc>
          <w:tcPr>
            <w:tcW w:w="510" w:type="pct"/>
          </w:tcPr>
          <w:p w14:paraId="660C7841" w14:textId="77777777" w:rsidR="00AF7B11" w:rsidRPr="001B53A8" w:rsidRDefault="00AF7B11" w:rsidP="00003F34">
            <w:pPr>
              <w:tabs>
                <w:tab w:val="decimal" w:pos="394"/>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sz w:val="20"/>
                <w:szCs w:val="20"/>
                <w:lang w:val="sr-Latn-BA"/>
              </w:rPr>
              <w:t>1</w:t>
            </w:r>
          </w:p>
        </w:tc>
        <w:tc>
          <w:tcPr>
            <w:tcW w:w="693" w:type="pct"/>
          </w:tcPr>
          <w:p w14:paraId="076E5239" w14:textId="77777777" w:rsidR="00AF7B11" w:rsidRPr="001B53A8" w:rsidRDefault="00AF7B11" w:rsidP="00003F34">
            <w:pPr>
              <w:tabs>
                <w:tab w:val="decimal" w:pos="720"/>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color w:val="000000"/>
                <w:sz w:val="20"/>
                <w:szCs w:val="20"/>
                <w:lang w:val="sr-Latn-BA"/>
              </w:rPr>
              <w:t>67</w:t>
            </w:r>
          </w:p>
        </w:tc>
      </w:tr>
      <w:tr w:rsidR="00AF7B11" w:rsidRPr="001B53A8" w14:paraId="176857FD" w14:textId="77777777" w:rsidTr="00003F34">
        <w:trPr>
          <w:cnfStyle w:val="000000100000" w:firstRow="0" w:lastRow="0" w:firstColumn="0" w:lastColumn="0" w:oddVBand="0" w:evenVBand="0" w:oddHBand="1" w:evenHBand="0" w:firstRowFirstColumn="0" w:firstRowLastColumn="0" w:lastRowFirstColumn="0" w:lastRowLastColumn="0"/>
        </w:trPr>
        <w:tc>
          <w:tcPr>
            <w:tcW w:w="3797" w:type="pct"/>
          </w:tcPr>
          <w:p w14:paraId="0F8C6039" w14:textId="328670B0" w:rsidR="00AF7B11" w:rsidRPr="001B53A8" w:rsidRDefault="00003F34" w:rsidP="00003F34">
            <w:pPr>
              <w:pStyle w:val="Table"/>
              <w:rPr>
                <w:rFonts w:ascii="Times New Roman" w:hAnsi="Times New Roman"/>
                <w:highlight w:val="yellow"/>
                <w:lang w:val="sr-Latn-BA"/>
              </w:rPr>
            </w:pPr>
            <w:r w:rsidRPr="001B53A8">
              <w:rPr>
                <w:rFonts w:ascii="Times New Roman" w:hAnsi="Times New Roman"/>
                <w:lang w:val="sr-Latn-BA"/>
              </w:rPr>
              <w:t>Registar</w:t>
            </w:r>
            <w:r w:rsidR="00AF7B11" w:rsidRPr="001B53A8">
              <w:rPr>
                <w:rFonts w:ascii="Times New Roman" w:hAnsi="Times New Roman"/>
                <w:lang w:val="sr-Latn-BA"/>
              </w:rPr>
              <w:t xml:space="preserve"> </w:t>
            </w:r>
            <w:r w:rsidRPr="001B53A8">
              <w:rPr>
                <w:rFonts w:ascii="Times New Roman" w:hAnsi="Times New Roman"/>
                <w:lang w:val="sr-Latn-BA"/>
              </w:rPr>
              <w:t>pravnih</w:t>
            </w:r>
            <w:r w:rsidR="00AF7B11" w:rsidRPr="001B53A8">
              <w:rPr>
                <w:rFonts w:ascii="Times New Roman" w:hAnsi="Times New Roman"/>
                <w:lang w:val="sr-Latn-BA"/>
              </w:rPr>
              <w:t xml:space="preserve"> </w:t>
            </w:r>
            <w:r w:rsidRPr="001B53A8">
              <w:rPr>
                <w:rFonts w:ascii="Times New Roman" w:hAnsi="Times New Roman"/>
                <w:lang w:val="sr-Latn-BA"/>
              </w:rPr>
              <w:t>lica</w:t>
            </w:r>
            <w:r w:rsidR="00AF7B11" w:rsidRPr="001B53A8">
              <w:rPr>
                <w:rFonts w:ascii="Times New Roman" w:hAnsi="Times New Roman"/>
                <w:lang w:val="sr-Latn-BA"/>
              </w:rPr>
              <w:t xml:space="preserve"> </w:t>
            </w:r>
            <w:r w:rsidRPr="001B53A8">
              <w:rPr>
                <w:rFonts w:ascii="Times New Roman" w:hAnsi="Times New Roman"/>
                <w:lang w:val="sr-Latn-BA"/>
              </w:rPr>
              <w:t>ovlaštenih</w:t>
            </w:r>
            <w:r w:rsidR="00AF7B11" w:rsidRPr="001B53A8">
              <w:rPr>
                <w:rFonts w:ascii="Times New Roman" w:hAnsi="Times New Roman"/>
                <w:lang w:val="sr-Latn-BA"/>
              </w:rPr>
              <w:t xml:space="preserve"> </w:t>
            </w:r>
            <w:r w:rsidRPr="001B53A8">
              <w:rPr>
                <w:rFonts w:ascii="Times New Roman" w:hAnsi="Times New Roman"/>
                <w:lang w:val="sr-Latn-BA"/>
              </w:rPr>
              <w:t>za</w:t>
            </w:r>
            <w:r w:rsidR="00AF7B11" w:rsidRPr="001B53A8">
              <w:rPr>
                <w:rFonts w:ascii="Times New Roman" w:hAnsi="Times New Roman"/>
                <w:lang w:val="sr-Latn-BA"/>
              </w:rPr>
              <w:t xml:space="preserve"> </w:t>
            </w:r>
            <w:r w:rsidRPr="001B53A8">
              <w:rPr>
                <w:rFonts w:ascii="Times New Roman" w:hAnsi="Times New Roman"/>
                <w:lang w:val="sr-Latn-BA"/>
              </w:rPr>
              <w:t>poslovanje</w:t>
            </w:r>
            <w:r w:rsidR="00AF7B11" w:rsidRPr="001B53A8">
              <w:rPr>
                <w:rFonts w:ascii="Times New Roman" w:hAnsi="Times New Roman"/>
                <w:lang w:val="sr-Latn-BA"/>
              </w:rPr>
              <w:t xml:space="preserve"> </w:t>
            </w:r>
            <w:r w:rsidRPr="001B53A8">
              <w:rPr>
                <w:rFonts w:ascii="Times New Roman" w:hAnsi="Times New Roman"/>
                <w:lang w:val="sr-Latn-BA"/>
              </w:rPr>
              <w:t>sa</w:t>
            </w:r>
            <w:r w:rsidR="00AF7B11" w:rsidRPr="001B53A8">
              <w:rPr>
                <w:rFonts w:ascii="Times New Roman" w:hAnsi="Times New Roman"/>
                <w:lang w:val="sr-Latn-BA"/>
              </w:rPr>
              <w:t xml:space="preserve"> </w:t>
            </w:r>
            <w:r w:rsidRPr="001B53A8">
              <w:rPr>
                <w:rFonts w:ascii="Times New Roman" w:hAnsi="Times New Roman"/>
                <w:lang w:val="sr-Latn-BA"/>
              </w:rPr>
              <w:t>hartijama</w:t>
            </w:r>
            <w:r w:rsidR="00AF7B11" w:rsidRPr="001B53A8">
              <w:rPr>
                <w:rFonts w:ascii="Times New Roman" w:hAnsi="Times New Roman"/>
                <w:lang w:val="sr-Latn-BA"/>
              </w:rPr>
              <w:t xml:space="preserve"> </w:t>
            </w:r>
            <w:r w:rsidRPr="001B53A8">
              <w:rPr>
                <w:rFonts w:ascii="Times New Roman" w:hAnsi="Times New Roman"/>
                <w:lang w:val="sr-Latn-BA"/>
              </w:rPr>
              <w:t>od</w:t>
            </w:r>
            <w:r w:rsidR="00AF7B11" w:rsidRPr="001B53A8">
              <w:rPr>
                <w:rFonts w:ascii="Times New Roman" w:hAnsi="Times New Roman"/>
                <w:lang w:val="sr-Latn-BA"/>
              </w:rPr>
              <w:t xml:space="preserve"> </w:t>
            </w:r>
            <w:r w:rsidRPr="001B53A8">
              <w:rPr>
                <w:rFonts w:ascii="Times New Roman" w:hAnsi="Times New Roman"/>
                <w:lang w:val="sr-Latn-BA"/>
              </w:rPr>
              <w:t>vrijednosti</w:t>
            </w:r>
          </w:p>
        </w:tc>
        <w:tc>
          <w:tcPr>
            <w:tcW w:w="510" w:type="pct"/>
          </w:tcPr>
          <w:p w14:paraId="175426F4" w14:textId="77777777" w:rsidR="00AF7B11" w:rsidRPr="001B53A8" w:rsidRDefault="00AF7B11" w:rsidP="00003F34">
            <w:pPr>
              <w:tabs>
                <w:tab w:val="decimal" w:pos="394"/>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sz w:val="20"/>
                <w:szCs w:val="20"/>
                <w:lang w:val="sr-Latn-BA"/>
              </w:rPr>
              <w:t>0</w:t>
            </w:r>
          </w:p>
        </w:tc>
        <w:tc>
          <w:tcPr>
            <w:tcW w:w="693" w:type="pct"/>
          </w:tcPr>
          <w:p w14:paraId="1267139E" w14:textId="77777777" w:rsidR="00AF7B11" w:rsidRPr="001B53A8" w:rsidRDefault="00AF7B11" w:rsidP="00003F34">
            <w:pPr>
              <w:tabs>
                <w:tab w:val="decimal" w:pos="720"/>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color w:val="000000"/>
                <w:sz w:val="20"/>
                <w:szCs w:val="20"/>
                <w:lang w:val="sr-Latn-BA"/>
              </w:rPr>
              <w:t>57</w:t>
            </w:r>
          </w:p>
        </w:tc>
      </w:tr>
      <w:tr w:rsidR="00AF7B11" w:rsidRPr="001B53A8" w14:paraId="2E76FCE9" w14:textId="77777777" w:rsidTr="00003F34">
        <w:trPr>
          <w:cnfStyle w:val="000000010000" w:firstRow="0" w:lastRow="0" w:firstColumn="0" w:lastColumn="0" w:oddVBand="0" w:evenVBand="0" w:oddHBand="0" w:evenHBand="1" w:firstRowFirstColumn="0" w:firstRowLastColumn="0" w:lastRowFirstColumn="0" w:lastRowLastColumn="0"/>
        </w:trPr>
        <w:tc>
          <w:tcPr>
            <w:tcW w:w="3797" w:type="pct"/>
          </w:tcPr>
          <w:p w14:paraId="1904323F" w14:textId="43A0512F" w:rsidR="00AF7B11" w:rsidRPr="001B53A8" w:rsidRDefault="00003F34" w:rsidP="00003F34">
            <w:pPr>
              <w:pStyle w:val="Table"/>
              <w:rPr>
                <w:rFonts w:ascii="Times New Roman" w:hAnsi="Times New Roman"/>
                <w:lang w:val="sr-Latn-BA"/>
              </w:rPr>
            </w:pPr>
            <w:r w:rsidRPr="001B53A8">
              <w:rPr>
                <w:rFonts w:ascii="Times New Roman" w:hAnsi="Times New Roman"/>
                <w:lang w:val="sr-Latn-BA"/>
              </w:rPr>
              <w:t>Upis</w:t>
            </w:r>
            <w:r w:rsidR="00AF7B11" w:rsidRPr="001B53A8">
              <w:rPr>
                <w:rFonts w:ascii="Times New Roman" w:hAnsi="Times New Roman"/>
                <w:lang w:val="sr-Latn-BA"/>
              </w:rPr>
              <w:t xml:space="preserve"> </w:t>
            </w:r>
            <w:r w:rsidRPr="001B53A8">
              <w:rPr>
                <w:rFonts w:ascii="Times New Roman" w:hAnsi="Times New Roman"/>
                <w:lang w:val="sr-Latn-BA"/>
              </w:rPr>
              <w:t>u</w:t>
            </w:r>
            <w:r w:rsidR="00AF7B11" w:rsidRPr="001B53A8">
              <w:rPr>
                <w:rFonts w:ascii="Times New Roman" w:hAnsi="Times New Roman"/>
                <w:lang w:val="sr-Latn-BA"/>
              </w:rPr>
              <w:t xml:space="preserve"> </w:t>
            </w:r>
            <w:r w:rsidRPr="001B53A8">
              <w:rPr>
                <w:rFonts w:ascii="Times New Roman" w:hAnsi="Times New Roman"/>
                <w:lang w:val="sr-Latn-BA"/>
              </w:rPr>
              <w:t>Registar</w:t>
            </w:r>
            <w:r w:rsidR="00AF7B11" w:rsidRPr="001B53A8">
              <w:rPr>
                <w:rFonts w:ascii="Times New Roman" w:hAnsi="Times New Roman"/>
                <w:lang w:val="sr-Latn-BA"/>
              </w:rPr>
              <w:t xml:space="preserve"> </w:t>
            </w:r>
            <w:r w:rsidRPr="001B53A8">
              <w:rPr>
                <w:rFonts w:ascii="Times New Roman" w:hAnsi="Times New Roman"/>
                <w:lang w:val="sr-Latn-BA"/>
              </w:rPr>
              <w:t>društava</w:t>
            </w:r>
            <w:r w:rsidR="00AF7B11" w:rsidRPr="001B53A8">
              <w:rPr>
                <w:rFonts w:ascii="Times New Roman" w:hAnsi="Times New Roman"/>
                <w:lang w:val="sr-Latn-BA"/>
              </w:rPr>
              <w:t xml:space="preserve"> </w:t>
            </w:r>
            <w:r w:rsidRPr="001B53A8">
              <w:rPr>
                <w:rFonts w:ascii="Times New Roman" w:hAnsi="Times New Roman"/>
                <w:lang w:val="sr-Latn-BA"/>
              </w:rPr>
              <w:t>za</w:t>
            </w:r>
            <w:r w:rsidR="00AF7B11" w:rsidRPr="001B53A8">
              <w:rPr>
                <w:rFonts w:ascii="Times New Roman" w:hAnsi="Times New Roman"/>
                <w:lang w:val="sr-Latn-BA"/>
              </w:rPr>
              <w:t xml:space="preserve"> </w:t>
            </w:r>
            <w:r w:rsidRPr="001B53A8">
              <w:rPr>
                <w:rFonts w:ascii="Times New Roman" w:hAnsi="Times New Roman"/>
                <w:lang w:val="sr-Latn-BA"/>
              </w:rPr>
              <w:t>faktoring</w:t>
            </w:r>
          </w:p>
        </w:tc>
        <w:tc>
          <w:tcPr>
            <w:tcW w:w="510" w:type="pct"/>
          </w:tcPr>
          <w:p w14:paraId="51084A3E" w14:textId="77777777" w:rsidR="00AF7B11" w:rsidRPr="001B53A8" w:rsidRDefault="00AF7B11" w:rsidP="00003F34">
            <w:pPr>
              <w:tabs>
                <w:tab w:val="decimal" w:pos="394"/>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sz w:val="20"/>
                <w:szCs w:val="20"/>
                <w:lang w:val="sr-Latn-BA"/>
              </w:rPr>
              <w:t>1</w:t>
            </w:r>
          </w:p>
        </w:tc>
        <w:tc>
          <w:tcPr>
            <w:tcW w:w="693" w:type="pct"/>
          </w:tcPr>
          <w:p w14:paraId="4614FE92" w14:textId="77777777" w:rsidR="00AF7B11" w:rsidRPr="001B53A8" w:rsidRDefault="00AF7B11" w:rsidP="00003F34">
            <w:pPr>
              <w:tabs>
                <w:tab w:val="decimal" w:pos="720"/>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color w:val="000000"/>
                <w:sz w:val="20"/>
                <w:szCs w:val="20"/>
                <w:lang w:val="sr-Latn-BA"/>
              </w:rPr>
              <w:t>3</w:t>
            </w:r>
          </w:p>
        </w:tc>
      </w:tr>
      <w:tr w:rsidR="00AF7B11" w:rsidRPr="001B53A8" w14:paraId="3629F6D5" w14:textId="77777777" w:rsidTr="00003F34">
        <w:trPr>
          <w:cnfStyle w:val="000000100000" w:firstRow="0" w:lastRow="0" w:firstColumn="0" w:lastColumn="0" w:oddVBand="0" w:evenVBand="0" w:oddHBand="1" w:evenHBand="0" w:firstRowFirstColumn="0" w:firstRowLastColumn="0" w:lastRowFirstColumn="0" w:lastRowLastColumn="0"/>
        </w:trPr>
        <w:tc>
          <w:tcPr>
            <w:tcW w:w="3797" w:type="pct"/>
          </w:tcPr>
          <w:p w14:paraId="25D13044" w14:textId="6013737B" w:rsidR="00AF7B11" w:rsidRPr="001B53A8" w:rsidRDefault="00003F34" w:rsidP="00003F34">
            <w:pPr>
              <w:pStyle w:val="Table"/>
              <w:rPr>
                <w:rFonts w:ascii="Times New Roman" w:hAnsi="Times New Roman"/>
                <w:highlight w:val="yellow"/>
                <w:lang w:val="sr-Latn-BA"/>
              </w:rPr>
            </w:pPr>
            <w:r w:rsidRPr="001B53A8">
              <w:rPr>
                <w:rFonts w:ascii="Times New Roman" w:hAnsi="Times New Roman"/>
                <w:lang w:val="sr-Latn-BA"/>
              </w:rPr>
              <w:t>Registar</w:t>
            </w:r>
            <w:r w:rsidR="00AF7B11" w:rsidRPr="001B53A8">
              <w:rPr>
                <w:rFonts w:ascii="Times New Roman" w:hAnsi="Times New Roman"/>
                <w:lang w:val="sr-Latn-BA"/>
              </w:rPr>
              <w:t xml:space="preserve"> </w:t>
            </w:r>
            <w:r w:rsidRPr="001B53A8">
              <w:rPr>
                <w:rFonts w:ascii="Times New Roman" w:hAnsi="Times New Roman"/>
                <w:lang w:val="sr-Latn-BA"/>
              </w:rPr>
              <w:t>izdatih</w:t>
            </w:r>
            <w:r w:rsidR="00AF7B11" w:rsidRPr="001B53A8">
              <w:rPr>
                <w:rFonts w:ascii="Times New Roman" w:hAnsi="Times New Roman"/>
                <w:lang w:val="sr-Latn-BA"/>
              </w:rPr>
              <w:t xml:space="preserve"> </w:t>
            </w:r>
            <w:r w:rsidRPr="001B53A8">
              <w:rPr>
                <w:rFonts w:ascii="Times New Roman" w:hAnsi="Times New Roman"/>
                <w:lang w:val="sr-Latn-BA"/>
              </w:rPr>
              <w:t>uvjerenja</w:t>
            </w:r>
            <w:r w:rsidR="00AF7B11" w:rsidRPr="001B53A8">
              <w:rPr>
                <w:rFonts w:ascii="Times New Roman" w:hAnsi="Times New Roman"/>
                <w:lang w:val="sr-Latn-BA"/>
              </w:rPr>
              <w:t xml:space="preserve"> </w:t>
            </w:r>
            <w:r w:rsidRPr="001B53A8">
              <w:rPr>
                <w:rFonts w:ascii="Times New Roman" w:hAnsi="Times New Roman"/>
                <w:lang w:val="sr-Latn-BA"/>
              </w:rPr>
              <w:t>o</w:t>
            </w:r>
            <w:r w:rsidR="00AF7B11" w:rsidRPr="001B53A8">
              <w:rPr>
                <w:rFonts w:ascii="Times New Roman" w:hAnsi="Times New Roman"/>
                <w:lang w:val="sr-Latn-BA"/>
              </w:rPr>
              <w:t xml:space="preserve"> </w:t>
            </w:r>
            <w:r w:rsidRPr="001B53A8">
              <w:rPr>
                <w:rFonts w:ascii="Times New Roman" w:hAnsi="Times New Roman"/>
                <w:lang w:val="sr-Latn-BA"/>
              </w:rPr>
              <w:t>položenom</w:t>
            </w:r>
            <w:r w:rsidR="00AF7B11" w:rsidRPr="001B53A8">
              <w:rPr>
                <w:rFonts w:ascii="Times New Roman" w:hAnsi="Times New Roman"/>
                <w:lang w:val="sr-Latn-BA"/>
              </w:rPr>
              <w:t xml:space="preserve"> </w:t>
            </w:r>
            <w:r w:rsidRPr="001B53A8">
              <w:rPr>
                <w:rFonts w:ascii="Times New Roman" w:hAnsi="Times New Roman"/>
                <w:lang w:val="sr-Latn-BA"/>
              </w:rPr>
              <w:t>stručnom</w:t>
            </w:r>
            <w:r w:rsidR="00AF7B11" w:rsidRPr="001B53A8">
              <w:rPr>
                <w:rFonts w:ascii="Times New Roman" w:hAnsi="Times New Roman"/>
                <w:lang w:val="sr-Latn-BA"/>
              </w:rPr>
              <w:t xml:space="preserve"> </w:t>
            </w:r>
            <w:r w:rsidRPr="001B53A8">
              <w:rPr>
                <w:rFonts w:ascii="Times New Roman" w:hAnsi="Times New Roman"/>
                <w:lang w:val="sr-Latn-BA"/>
              </w:rPr>
              <w:t>ispitu</w:t>
            </w:r>
            <w:r w:rsidR="00AF7B11" w:rsidRPr="001B53A8">
              <w:rPr>
                <w:rFonts w:ascii="Times New Roman" w:hAnsi="Times New Roman"/>
                <w:lang w:val="sr-Latn-BA"/>
              </w:rPr>
              <w:t xml:space="preserve"> </w:t>
            </w:r>
            <w:r w:rsidRPr="001B53A8">
              <w:rPr>
                <w:rFonts w:ascii="Times New Roman" w:hAnsi="Times New Roman"/>
                <w:lang w:val="sr-Latn-BA"/>
              </w:rPr>
              <w:t>za</w:t>
            </w:r>
            <w:r w:rsidR="00AF7B11" w:rsidRPr="001B53A8">
              <w:rPr>
                <w:rFonts w:ascii="Times New Roman" w:hAnsi="Times New Roman"/>
                <w:lang w:val="sr-Latn-BA"/>
              </w:rPr>
              <w:t xml:space="preserve"> </w:t>
            </w:r>
            <w:r w:rsidRPr="001B53A8">
              <w:rPr>
                <w:rFonts w:ascii="Times New Roman" w:hAnsi="Times New Roman"/>
                <w:lang w:val="sr-Latn-BA"/>
              </w:rPr>
              <w:t>sticanje</w:t>
            </w:r>
            <w:r w:rsidR="00AF7B11" w:rsidRPr="001B53A8">
              <w:rPr>
                <w:rFonts w:ascii="Times New Roman" w:hAnsi="Times New Roman"/>
                <w:lang w:val="sr-Latn-BA"/>
              </w:rPr>
              <w:t xml:space="preserve"> </w:t>
            </w:r>
            <w:r w:rsidRPr="001B53A8">
              <w:rPr>
                <w:rFonts w:ascii="Times New Roman" w:hAnsi="Times New Roman"/>
                <w:lang w:val="sr-Latn-BA"/>
              </w:rPr>
              <w:t>zvanja</w:t>
            </w:r>
            <w:r w:rsidR="00AF7B11" w:rsidRPr="001B53A8">
              <w:rPr>
                <w:rFonts w:ascii="Times New Roman" w:hAnsi="Times New Roman"/>
                <w:lang w:val="sr-Latn-BA"/>
              </w:rPr>
              <w:t xml:space="preserve"> </w:t>
            </w:r>
            <w:r w:rsidRPr="001B53A8">
              <w:rPr>
                <w:rFonts w:ascii="Times New Roman" w:hAnsi="Times New Roman"/>
                <w:lang w:val="sr-Latn-BA"/>
              </w:rPr>
              <w:t>broker</w:t>
            </w:r>
          </w:p>
        </w:tc>
        <w:tc>
          <w:tcPr>
            <w:tcW w:w="510" w:type="pct"/>
          </w:tcPr>
          <w:p w14:paraId="65356E54" w14:textId="77777777" w:rsidR="00AF7B11" w:rsidRPr="001B53A8" w:rsidRDefault="00AF7B11" w:rsidP="00003F34">
            <w:pPr>
              <w:tabs>
                <w:tab w:val="decimal" w:pos="394"/>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sz w:val="20"/>
                <w:szCs w:val="20"/>
                <w:lang w:val="sr-Latn-BA"/>
              </w:rPr>
              <w:t>0</w:t>
            </w:r>
          </w:p>
        </w:tc>
        <w:tc>
          <w:tcPr>
            <w:tcW w:w="693" w:type="pct"/>
          </w:tcPr>
          <w:p w14:paraId="4DD66D3F" w14:textId="77777777" w:rsidR="00AF7B11" w:rsidRPr="001B53A8" w:rsidRDefault="00AF7B11" w:rsidP="00003F34">
            <w:pPr>
              <w:tabs>
                <w:tab w:val="decimal" w:pos="720"/>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color w:val="000000"/>
                <w:sz w:val="20"/>
                <w:szCs w:val="20"/>
                <w:lang w:val="sr-Latn-BA"/>
              </w:rPr>
              <w:t>195</w:t>
            </w:r>
          </w:p>
        </w:tc>
      </w:tr>
      <w:tr w:rsidR="00AF7B11" w:rsidRPr="001B53A8" w14:paraId="119DADA6" w14:textId="77777777" w:rsidTr="00003F34">
        <w:trPr>
          <w:cnfStyle w:val="000000010000" w:firstRow="0" w:lastRow="0" w:firstColumn="0" w:lastColumn="0" w:oddVBand="0" w:evenVBand="0" w:oddHBand="0" w:evenHBand="1" w:firstRowFirstColumn="0" w:firstRowLastColumn="0" w:lastRowFirstColumn="0" w:lastRowLastColumn="0"/>
        </w:trPr>
        <w:tc>
          <w:tcPr>
            <w:tcW w:w="3797" w:type="pct"/>
          </w:tcPr>
          <w:p w14:paraId="02EF2745" w14:textId="353A383F" w:rsidR="00AF7B11" w:rsidRPr="001B53A8" w:rsidRDefault="00003F34" w:rsidP="00003F34">
            <w:pPr>
              <w:pStyle w:val="Table"/>
              <w:rPr>
                <w:rFonts w:ascii="Times New Roman" w:hAnsi="Times New Roman"/>
                <w:highlight w:val="yellow"/>
                <w:lang w:val="sr-Latn-BA"/>
              </w:rPr>
            </w:pPr>
            <w:r w:rsidRPr="001B53A8">
              <w:rPr>
                <w:rFonts w:ascii="Times New Roman" w:hAnsi="Times New Roman"/>
                <w:lang w:val="sr-Latn-BA"/>
              </w:rPr>
              <w:t>Registar</w:t>
            </w:r>
            <w:r w:rsidR="00AF7B11" w:rsidRPr="001B53A8">
              <w:rPr>
                <w:rFonts w:ascii="Times New Roman" w:hAnsi="Times New Roman"/>
                <w:lang w:val="sr-Latn-BA"/>
              </w:rPr>
              <w:t xml:space="preserve"> </w:t>
            </w:r>
            <w:r w:rsidRPr="001B53A8">
              <w:rPr>
                <w:rFonts w:ascii="Times New Roman" w:hAnsi="Times New Roman"/>
                <w:lang w:val="sr-Latn-BA"/>
              </w:rPr>
              <w:t>izdatih</w:t>
            </w:r>
            <w:r w:rsidR="00AF7B11" w:rsidRPr="001B53A8">
              <w:rPr>
                <w:rFonts w:ascii="Times New Roman" w:hAnsi="Times New Roman"/>
                <w:lang w:val="sr-Latn-BA"/>
              </w:rPr>
              <w:t xml:space="preserve"> </w:t>
            </w:r>
            <w:r w:rsidRPr="001B53A8">
              <w:rPr>
                <w:rFonts w:ascii="Times New Roman" w:hAnsi="Times New Roman"/>
                <w:lang w:val="sr-Latn-BA"/>
              </w:rPr>
              <w:t>uvjerenja</w:t>
            </w:r>
            <w:r w:rsidR="00AF7B11" w:rsidRPr="001B53A8">
              <w:rPr>
                <w:rFonts w:ascii="Times New Roman" w:hAnsi="Times New Roman"/>
                <w:lang w:val="sr-Latn-BA"/>
              </w:rPr>
              <w:t xml:space="preserve"> </w:t>
            </w:r>
            <w:r w:rsidRPr="001B53A8">
              <w:rPr>
                <w:rFonts w:ascii="Times New Roman" w:hAnsi="Times New Roman"/>
                <w:lang w:val="sr-Latn-BA"/>
              </w:rPr>
              <w:t>o</w:t>
            </w:r>
            <w:r w:rsidR="00AF7B11" w:rsidRPr="001B53A8">
              <w:rPr>
                <w:rFonts w:ascii="Times New Roman" w:hAnsi="Times New Roman"/>
                <w:lang w:val="sr-Latn-BA"/>
              </w:rPr>
              <w:t xml:space="preserve"> </w:t>
            </w:r>
            <w:r w:rsidRPr="001B53A8">
              <w:rPr>
                <w:rFonts w:ascii="Times New Roman" w:hAnsi="Times New Roman"/>
                <w:lang w:val="sr-Latn-BA"/>
              </w:rPr>
              <w:t>položenom</w:t>
            </w:r>
            <w:r w:rsidR="00AF7B11" w:rsidRPr="001B53A8">
              <w:rPr>
                <w:rFonts w:ascii="Times New Roman" w:hAnsi="Times New Roman"/>
                <w:lang w:val="sr-Latn-BA"/>
              </w:rPr>
              <w:t xml:space="preserve"> </w:t>
            </w:r>
            <w:r w:rsidRPr="001B53A8">
              <w:rPr>
                <w:rFonts w:ascii="Times New Roman" w:hAnsi="Times New Roman"/>
                <w:lang w:val="sr-Latn-BA"/>
              </w:rPr>
              <w:t>stručnom</w:t>
            </w:r>
            <w:r w:rsidR="00AF7B11" w:rsidRPr="001B53A8">
              <w:rPr>
                <w:rFonts w:ascii="Times New Roman" w:hAnsi="Times New Roman"/>
                <w:lang w:val="sr-Latn-BA"/>
              </w:rPr>
              <w:t xml:space="preserve"> </w:t>
            </w:r>
            <w:r w:rsidRPr="001B53A8">
              <w:rPr>
                <w:rFonts w:ascii="Times New Roman" w:hAnsi="Times New Roman"/>
                <w:lang w:val="sr-Latn-BA"/>
              </w:rPr>
              <w:t>ispitu</w:t>
            </w:r>
            <w:r w:rsidR="00AF7B11" w:rsidRPr="001B53A8">
              <w:rPr>
                <w:rFonts w:ascii="Times New Roman" w:hAnsi="Times New Roman"/>
                <w:lang w:val="sr-Latn-BA"/>
              </w:rPr>
              <w:t xml:space="preserve"> </w:t>
            </w:r>
            <w:r w:rsidRPr="001B53A8">
              <w:rPr>
                <w:rFonts w:ascii="Times New Roman" w:hAnsi="Times New Roman"/>
                <w:lang w:val="sr-Latn-BA"/>
              </w:rPr>
              <w:t>za</w:t>
            </w:r>
            <w:r w:rsidR="00AF7B11" w:rsidRPr="001B53A8">
              <w:rPr>
                <w:rFonts w:ascii="Times New Roman" w:hAnsi="Times New Roman"/>
                <w:lang w:val="sr-Latn-BA"/>
              </w:rPr>
              <w:t xml:space="preserve"> </w:t>
            </w:r>
            <w:r w:rsidRPr="001B53A8">
              <w:rPr>
                <w:rFonts w:ascii="Times New Roman" w:hAnsi="Times New Roman"/>
                <w:lang w:val="sr-Latn-BA"/>
              </w:rPr>
              <w:t>sticanje</w:t>
            </w:r>
            <w:r w:rsidR="00AF7B11" w:rsidRPr="001B53A8">
              <w:rPr>
                <w:rFonts w:ascii="Times New Roman" w:hAnsi="Times New Roman"/>
                <w:lang w:val="sr-Latn-BA"/>
              </w:rPr>
              <w:t xml:space="preserve"> </w:t>
            </w:r>
            <w:r w:rsidRPr="001B53A8">
              <w:rPr>
                <w:rFonts w:ascii="Times New Roman" w:hAnsi="Times New Roman"/>
                <w:lang w:val="sr-Latn-BA"/>
              </w:rPr>
              <w:t>zvanja</w:t>
            </w:r>
            <w:r w:rsidR="00AF7B11" w:rsidRPr="001B53A8">
              <w:rPr>
                <w:rFonts w:ascii="Times New Roman" w:hAnsi="Times New Roman"/>
                <w:lang w:val="sr-Latn-BA"/>
              </w:rPr>
              <w:t xml:space="preserve"> </w:t>
            </w:r>
            <w:r w:rsidRPr="001B53A8">
              <w:rPr>
                <w:rFonts w:ascii="Times New Roman" w:hAnsi="Times New Roman"/>
                <w:lang w:val="sr-Latn-BA"/>
              </w:rPr>
              <w:t>investicioni</w:t>
            </w:r>
            <w:r w:rsidR="00AF7B11" w:rsidRPr="001B53A8">
              <w:rPr>
                <w:rFonts w:ascii="Times New Roman" w:hAnsi="Times New Roman"/>
                <w:lang w:val="sr-Latn-BA"/>
              </w:rPr>
              <w:t xml:space="preserve"> </w:t>
            </w:r>
            <w:r w:rsidRPr="001B53A8">
              <w:rPr>
                <w:rFonts w:ascii="Times New Roman" w:hAnsi="Times New Roman"/>
                <w:lang w:val="sr-Latn-BA"/>
              </w:rPr>
              <w:t>savjetnik</w:t>
            </w:r>
          </w:p>
        </w:tc>
        <w:tc>
          <w:tcPr>
            <w:tcW w:w="510" w:type="pct"/>
          </w:tcPr>
          <w:p w14:paraId="2BC22609" w14:textId="77777777" w:rsidR="00AF7B11" w:rsidRPr="001B53A8" w:rsidRDefault="00AF7B11" w:rsidP="00003F34">
            <w:pPr>
              <w:tabs>
                <w:tab w:val="decimal" w:pos="394"/>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sz w:val="20"/>
                <w:szCs w:val="20"/>
                <w:lang w:val="sr-Latn-BA"/>
              </w:rPr>
              <w:t>0</w:t>
            </w:r>
          </w:p>
        </w:tc>
        <w:tc>
          <w:tcPr>
            <w:tcW w:w="693" w:type="pct"/>
          </w:tcPr>
          <w:p w14:paraId="5239E1F1" w14:textId="77777777" w:rsidR="00AF7B11" w:rsidRPr="001B53A8" w:rsidRDefault="00AF7B11" w:rsidP="00003F34">
            <w:pPr>
              <w:tabs>
                <w:tab w:val="decimal" w:pos="720"/>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color w:val="000000"/>
                <w:sz w:val="20"/>
                <w:szCs w:val="20"/>
                <w:lang w:val="sr-Latn-BA"/>
              </w:rPr>
              <w:t>7</w:t>
            </w:r>
          </w:p>
        </w:tc>
      </w:tr>
      <w:tr w:rsidR="00AF7B11" w:rsidRPr="001B53A8" w14:paraId="3F9D1921" w14:textId="77777777" w:rsidTr="00003F34">
        <w:trPr>
          <w:cnfStyle w:val="000000100000" w:firstRow="0" w:lastRow="0" w:firstColumn="0" w:lastColumn="0" w:oddVBand="0" w:evenVBand="0" w:oddHBand="1" w:evenHBand="0" w:firstRowFirstColumn="0" w:firstRowLastColumn="0" w:lastRowFirstColumn="0" w:lastRowLastColumn="0"/>
        </w:trPr>
        <w:tc>
          <w:tcPr>
            <w:tcW w:w="3797" w:type="pct"/>
          </w:tcPr>
          <w:p w14:paraId="691B7DA3" w14:textId="4C5A6D20" w:rsidR="00AF7B11" w:rsidRPr="001B53A8" w:rsidRDefault="00003F34" w:rsidP="00003F34">
            <w:pPr>
              <w:pStyle w:val="Table"/>
              <w:rPr>
                <w:rFonts w:ascii="Times New Roman" w:hAnsi="Times New Roman"/>
                <w:highlight w:val="yellow"/>
                <w:lang w:val="sr-Latn-BA"/>
              </w:rPr>
            </w:pPr>
            <w:r w:rsidRPr="001B53A8">
              <w:rPr>
                <w:rFonts w:ascii="Times New Roman" w:hAnsi="Times New Roman"/>
                <w:lang w:val="sr-Latn-BA"/>
              </w:rPr>
              <w:t>Registar</w:t>
            </w:r>
            <w:r w:rsidR="00AF7B11" w:rsidRPr="001B53A8">
              <w:rPr>
                <w:rFonts w:ascii="Times New Roman" w:hAnsi="Times New Roman"/>
                <w:lang w:val="sr-Latn-BA"/>
              </w:rPr>
              <w:t xml:space="preserve"> </w:t>
            </w:r>
            <w:r w:rsidRPr="001B53A8">
              <w:rPr>
                <w:rFonts w:ascii="Times New Roman" w:hAnsi="Times New Roman"/>
                <w:lang w:val="sr-Latn-BA"/>
              </w:rPr>
              <w:t>izdatih</w:t>
            </w:r>
            <w:r w:rsidR="00AF7B11" w:rsidRPr="001B53A8">
              <w:rPr>
                <w:rFonts w:ascii="Times New Roman" w:hAnsi="Times New Roman"/>
                <w:lang w:val="sr-Latn-BA"/>
              </w:rPr>
              <w:t xml:space="preserve"> </w:t>
            </w:r>
            <w:r w:rsidRPr="001B53A8">
              <w:rPr>
                <w:rFonts w:ascii="Times New Roman" w:hAnsi="Times New Roman"/>
                <w:lang w:val="sr-Latn-BA"/>
              </w:rPr>
              <w:t>uvjerenja</w:t>
            </w:r>
            <w:r w:rsidR="00AF7B11" w:rsidRPr="001B53A8">
              <w:rPr>
                <w:rFonts w:ascii="Times New Roman" w:hAnsi="Times New Roman"/>
                <w:lang w:val="sr-Latn-BA"/>
              </w:rPr>
              <w:t xml:space="preserve"> </w:t>
            </w:r>
            <w:r w:rsidRPr="001B53A8">
              <w:rPr>
                <w:rFonts w:ascii="Times New Roman" w:hAnsi="Times New Roman"/>
                <w:lang w:val="sr-Latn-BA"/>
              </w:rPr>
              <w:t>o</w:t>
            </w:r>
            <w:r w:rsidR="00AF7B11" w:rsidRPr="001B53A8">
              <w:rPr>
                <w:rFonts w:ascii="Times New Roman" w:hAnsi="Times New Roman"/>
                <w:lang w:val="sr-Latn-BA"/>
              </w:rPr>
              <w:t xml:space="preserve"> </w:t>
            </w:r>
            <w:r w:rsidRPr="001B53A8">
              <w:rPr>
                <w:rFonts w:ascii="Times New Roman" w:hAnsi="Times New Roman"/>
                <w:lang w:val="sr-Latn-BA"/>
              </w:rPr>
              <w:t>položenom</w:t>
            </w:r>
            <w:r w:rsidR="00AF7B11" w:rsidRPr="001B53A8">
              <w:rPr>
                <w:rFonts w:ascii="Times New Roman" w:hAnsi="Times New Roman"/>
                <w:lang w:val="sr-Latn-BA"/>
              </w:rPr>
              <w:t xml:space="preserve"> </w:t>
            </w:r>
            <w:r w:rsidRPr="001B53A8">
              <w:rPr>
                <w:rFonts w:ascii="Times New Roman" w:hAnsi="Times New Roman"/>
                <w:lang w:val="sr-Latn-BA"/>
              </w:rPr>
              <w:t>stručnom</w:t>
            </w:r>
            <w:r w:rsidR="00AF7B11" w:rsidRPr="001B53A8">
              <w:rPr>
                <w:rFonts w:ascii="Times New Roman" w:hAnsi="Times New Roman"/>
                <w:lang w:val="sr-Latn-BA"/>
              </w:rPr>
              <w:t xml:space="preserve"> </w:t>
            </w:r>
            <w:r w:rsidRPr="001B53A8">
              <w:rPr>
                <w:rFonts w:ascii="Times New Roman" w:hAnsi="Times New Roman"/>
                <w:lang w:val="sr-Latn-BA"/>
              </w:rPr>
              <w:t>ispitu</w:t>
            </w:r>
            <w:r w:rsidR="00AF7B11" w:rsidRPr="001B53A8">
              <w:rPr>
                <w:rFonts w:ascii="Times New Roman" w:hAnsi="Times New Roman"/>
                <w:lang w:val="sr-Latn-BA"/>
              </w:rPr>
              <w:t xml:space="preserve"> </w:t>
            </w:r>
            <w:r w:rsidRPr="001B53A8">
              <w:rPr>
                <w:rFonts w:ascii="Times New Roman" w:hAnsi="Times New Roman"/>
                <w:lang w:val="sr-Latn-BA"/>
              </w:rPr>
              <w:t>za</w:t>
            </w:r>
            <w:r w:rsidR="00AF7B11" w:rsidRPr="001B53A8">
              <w:rPr>
                <w:rFonts w:ascii="Times New Roman" w:hAnsi="Times New Roman"/>
                <w:lang w:val="sr-Latn-BA"/>
              </w:rPr>
              <w:t xml:space="preserve"> </w:t>
            </w:r>
            <w:r w:rsidRPr="001B53A8">
              <w:rPr>
                <w:rFonts w:ascii="Times New Roman" w:hAnsi="Times New Roman"/>
                <w:lang w:val="sr-Latn-BA"/>
              </w:rPr>
              <w:t>sticanje</w:t>
            </w:r>
            <w:r w:rsidR="00AF7B11" w:rsidRPr="001B53A8">
              <w:rPr>
                <w:rFonts w:ascii="Times New Roman" w:hAnsi="Times New Roman"/>
                <w:lang w:val="sr-Latn-BA"/>
              </w:rPr>
              <w:t xml:space="preserve"> </w:t>
            </w:r>
            <w:r w:rsidRPr="001B53A8">
              <w:rPr>
                <w:rFonts w:ascii="Times New Roman" w:hAnsi="Times New Roman"/>
                <w:lang w:val="sr-Latn-BA"/>
              </w:rPr>
              <w:t>zvanja</w:t>
            </w:r>
            <w:r w:rsidR="00AF7B11" w:rsidRPr="001B53A8">
              <w:rPr>
                <w:rFonts w:ascii="Times New Roman" w:hAnsi="Times New Roman"/>
                <w:lang w:val="sr-Latn-BA"/>
              </w:rPr>
              <w:t xml:space="preserve"> </w:t>
            </w:r>
            <w:r w:rsidRPr="001B53A8">
              <w:rPr>
                <w:rFonts w:ascii="Times New Roman" w:hAnsi="Times New Roman"/>
                <w:lang w:val="sr-Latn-BA"/>
              </w:rPr>
              <w:t>investicioni</w:t>
            </w:r>
            <w:r w:rsidR="00AF7B11" w:rsidRPr="001B53A8">
              <w:rPr>
                <w:rFonts w:ascii="Times New Roman" w:hAnsi="Times New Roman"/>
                <w:lang w:val="sr-Latn-BA"/>
              </w:rPr>
              <w:t xml:space="preserve"> </w:t>
            </w:r>
            <w:r w:rsidRPr="001B53A8">
              <w:rPr>
                <w:rFonts w:ascii="Times New Roman" w:hAnsi="Times New Roman"/>
                <w:lang w:val="sr-Latn-BA"/>
              </w:rPr>
              <w:t>menadžer</w:t>
            </w:r>
          </w:p>
        </w:tc>
        <w:tc>
          <w:tcPr>
            <w:tcW w:w="510" w:type="pct"/>
          </w:tcPr>
          <w:p w14:paraId="5EAFC93A" w14:textId="77777777" w:rsidR="00AF7B11" w:rsidRPr="001B53A8" w:rsidRDefault="00AF7B11" w:rsidP="00003F34">
            <w:pPr>
              <w:tabs>
                <w:tab w:val="decimal" w:pos="394"/>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sz w:val="20"/>
                <w:szCs w:val="20"/>
                <w:lang w:val="sr-Latn-BA"/>
              </w:rPr>
              <w:t>1</w:t>
            </w:r>
          </w:p>
        </w:tc>
        <w:tc>
          <w:tcPr>
            <w:tcW w:w="693" w:type="pct"/>
          </w:tcPr>
          <w:p w14:paraId="18C7AF4F" w14:textId="77777777" w:rsidR="00AF7B11" w:rsidRPr="001B53A8" w:rsidRDefault="00AF7B11" w:rsidP="00003F34">
            <w:pPr>
              <w:tabs>
                <w:tab w:val="decimal" w:pos="720"/>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color w:val="000000"/>
                <w:sz w:val="20"/>
                <w:szCs w:val="20"/>
                <w:lang w:val="sr-Latn-BA"/>
              </w:rPr>
              <w:t>234</w:t>
            </w:r>
          </w:p>
        </w:tc>
      </w:tr>
      <w:tr w:rsidR="00AF7B11" w:rsidRPr="001B53A8" w14:paraId="5488CD82" w14:textId="77777777" w:rsidTr="00003F34">
        <w:trPr>
          <w:cnfStyle w:val="000000010000" w:firstRow="0" w:lastRow="0" w:firstColumn="0" w:lastColumn="0" w:oddVBand="0" w:evenVBand="0" w:oddHBand="0" w:evenHBand="1" w:firstRowFirstColumn="0" w:firstRowLastColumn="0" w:lastRowFirstColumn="0" w:lastRowLastColumn="0"/>
        </w:trPr>
        <w:tc>
          <w:tcPr>
            <w:tcW w:w="3797" w:type="pct"/>
          </w:tcPr>
          <w:p w14:paraId="08D9E002" w14:textId="1EDEBB56" w:rsidR="00AF7B11" w:rsidRPr="001B53A8" w:rsidRDefault="00003F34" w:rsidP="00003F34">
            <w:pPr>
              <w:pStyle w:val="Table"/>
              <w:rPr>
                <w:rFonts w:ascii="Times New Roman" w:hAnsi="Times New Roman"/>
                <w:highlight w:val="yellow"/>
                <w:lang w:val="sr-Latn-BA"/>
              </w:rPr>
            </w:pPr>
            <w:r w:rsidRPr="001B53A8">
              <w:rPr>
                <w:rFonts w:ascii="Times New Roman" w:hAnsi="Times New Roman"/>
                <w:lang w:val="sr-Latn-BA"/>
              </w:rPr>
              <w:t>Registar</w:t>
            </w:r>
            <w:r w:rsidR="00AF7B11" w:rsidRPr="001B53A8">
              <w:rPr>
                <w:rFonts w:ascii="Times New Roman" w:hAnsi="Times New Roman"/>
                <w:lang w:val="sr-Latn-BA"/>
              </w:rPr>
              <w:t xml:space="preserve"> </w:t>
            </w:r>
            <w:r w:rsidRPr="001B53A8">
              <w:rPr>
                <w:rFonts w:ascii="Times New Roman" w:hAnsi="Times New Roman"/>
                <w:lang w:val="sr-Latn-BA"/>
              </w:rPr>
              <w:t>izdatih</w:t>
            </w:r>
            <w:r w:rsidR="00AF7B11" w:rsidRPr="001B53A8">
              <w:rPr>
                <w:rFonts w:ascii="Times New Roman" w:hAnsi="Times New Roman"/>
                <w:lang w:val="sr-Latn-BA"/>
              </w:rPr>
              <w:t xml:space="preserve"> </w:t>
            </w:r>
            <w:r w:rsidRPr="001B53A8">
              <w:rPr>
                <w:rFonts w:ascii="Times New Roman" w:hAnsi="Times New Roman"/>
                <w:lang w:val="sr-Latn-BA"/>
              </w:rPr>
              <w:t>dozvola</w:t>
            </w:r>
            <w:r w:rsidR="00AF7B11" w:rsidRPr="001B53A8">
              <w:rPr>
                <w:rFonts w:ascii="Times New Roman" w:hAnsi="Times New Roman"/>
                <w:lang w:val="sr-Latn-BA"/>
              </w:rPr>
              <w:t xml:space="preserve"> </w:t>
            </w:r>
            <w:r w:rsidRPr="001B53A8">
              <w:rPr>
                <w:rFonts w:ascii="Times New Roman" w:hAnsi="Times New Roman"/>
                <w:lang w:val="sr-Latn-BA"/>
              </w:rPr>
              <w:t>za</w:t>
            </w:r>
            <w:r w:rsidR="00AF7B11" w:rsidRPr="001B53A8">
              <w:rPr>
                <w:rFonts w:ascii="Times New Roman" w:hAnsi="Times New Roman"/>
                <w:lang w:val="sr-Latn-BA"/>
              </w:rPr>
              <w:t xml:space="preserve"> </w:t>
            </w:r>
            <w:r w:rsidRPr="001B53A8">
              <w:rPr>
                <w:rFonts w:ascii="Times New Roman" w:hAnsi="Times New Roman"/>
                <w:lang w:val="sr-Latn-BA"/>
              </w:rPr>
              <w:t>obavlјanje</w:t>
            </w:r>
            <w:r w:rsidR="00AF7B11" w:rsidRPr="001B53A8">
              <w:rPr>
                <w:rFonts w:ascii="Times New Roman" w:hAnsi="Times New Roman"/>
                <w:lang w:val="sr-Latn-BA"/>
              </w:rPr>
              <w:t xml:space="preserve"> </w:t>
            </w:r>
            <w:r w:rsidRPr="001B53A8">
              <w:rPr>
                <w:rFonts w:ascii="Times New Roman" w:hAnsi="Times New Roman"/>
                <w:lang w:val="sr-Latn-BA"/>
              </w:rPr>
              <w:t>poslova</w:t>
            </w:r>
            <w:r w:rsidR="00AF7B11" w:rsidRPr="001B53A8">
              <w:rPr>
                <w:rFonts w:ascii="Times New Roman" w:hAnsi="Times New Roman"/>
                <w:lang w:val="sr-Latn-BA"/>
              </w:rPr>
              <w:t xml:space="preserve"> </w:t>
            </w:r>
            <w:r w:rsidRPr="001B53A8">
              <w:rPr>
                <w:rFonts w:ascii="Times New Roman" w:hAnsi="Times New Roman"/>
                <w:lang w:val="sr-Latn-BA"/>
              </w:rPr>
              <w:t>brokera</w:t>
            </w:r>
          </w:p>
        </w:tc>
        <w:tc>
          <w:tcPr>
            <w:tcW w:w="510" w:type="pct"/>
          </w:tcPr>
          <w:p w14:paraId="2973581D" w14:textId="77777777" w:rsidR="00AF7B11" w:rsidRPr="001B53A8" w:rsidRDefault="00AF7B11" w:rsidP="00003F34">
            <w:pPr>
              <w:tabs>
                <w:tab w:val="decimal" w:pos="394"/>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sz w:val="20"/>
                <w:szCs w:val="20"/>
                <w:lang w:val="sr-Latn-BA"/>
              </w:rPr>
              <w:t>5</w:t>
            </w:r>
          </w:p>
        </w:tc>
        <w:tc>
          <w:tcPr>
            <w:tcW w:w="693" w:type="pct"/>
          </w:tcPr>
          <w:p w14:paraId="49080A88" w14:textId="77777777" w:rsidR="00AF7B11" w:rsidRPr="001B53A8" w:rsidRDefault="00AF7B11" w:rsidP="00003F34">
            <w:pPr>
              <w:tabs>
                <w:tab w:val="decimal" w:pos="720"/>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color w:val="000000"/>
                <w:sz w:val="20"/>
                <w:szCs w:val="20"/>
                <w:lang w:val="sr-Latn-BA"/>
              </w:rPr>
              <w:t>243</w:t>
            </w:r>
          </w:p>
        </w:tc>
      </w:tr>
      <w:tr w:rsidR="00AF7B11" w:rsidRPr="001B53A8" w14:paraId="74849CA4" w14:textId="77777777" w:rsidTr="00003F34">
        <w:trPr>
          <w:cnfStyle w:val="000000100000" w:firstRow="0" w:lastRow="0" w:firstColumn="0" w:lastColumn="0" w:oddVBand="0" w:evenVBand="0" w:oddHBand="1" w:evenHBand="0" w:firstRowFirstColumn="0" w:firstRowLastColumn="0" w:lastRowFirstColumn="0" w:lastRowLastColumn="0"/>
          <w:trHeight w:val="195"/>
        </w:trPr>
        <w:tc>
          <w:tcPr>
            <w:tcW w:w="3797" w:type="pct"/>
          </w:tcPr>
          <w:p w14:paraId="1F40E6B8" w14:textId="253CF9BA" w:rsidR="00AF7B11" w:rsidRPr="001B53A8" w:rsidRDefault="00003F34" w:rsidP="00003F34">
            <w:pPr>
              <w:pStyle w:val="Table"/>
              <w:rPr>
                <w:rFonts w:ascii="Times New Roman" w:hAnsi="Times New Roman"/>
                <w:highlight w:val="yellow"/>
                <w:lang w:val="sr-Latn-BA"/>
              </w:rPr>
            </w:pPr>
            <w:r w:rsidRPr="001B53A8">
              <w:rPr>
                <w:rFonts w:ascii="Times New Roman" w:hAnsi="Times New Roman"/>
                <w:lang w:val="sr-Latn-BA"/>
              </w:rPr>
              <w:t>Registar</w:t>
            </w:r>
            <w:r w:rsidR="00AF7B11" w:rsidRPr="001B53A8">
              <w:rPr>
                <w:rFonts w:ascii="Times New Roman" w:hAnsi="Times New Roman"/>
                <w:lang w:val="sr-Latn-BA"/>
              </w:rPr>
              <w:t xml:space="preserve"> </w:t>
            </w:r>
            <w:r w:rsidRPr="001B53A8">
              <w:rPr>
                <w:rFonts w:ascii="Times New Roman" w:hAnsi="Times New Roman"/>
                <w:lang w:val="sr-Latn-BA"/>
              </w:rPr>
              <w:t>izdatih</w:t>
            </w:r>
            <w:r w:rsidR="00AF7B11" w:rsidRPr="001B53A8">
              <w:rPr>
                <w:rFonts w:ascii="Times New Roman" w:hAnsi="Times New Roman"/>
                <w:lang w:val="sr-Latn-BA"/>
              </w:rPr>
              <w:t xml:space="preserve"> </w:t>
            </w:r>
            <w:r w:rsidRPr="001B53A8">
              <w:rPr>
                <w:rFonts w:ascii="Times New Roman" w:hAnsi="Times New Roman"/>
                <w:lang w:val="sr-Latn-BA"/>
              </w:rPr>
              <w:t>dozvola</w:t>
            </w:r>
            <w:r w:rsidR="00AF7B11" w:rsidRPr="001B53A8">
              <w:rPr>
                <w:rFonts w:ascii="Times New Roman" w:hAnsi="Times New Roman"/>
                <w:lang w:val="sr-Latn-BA"/>
              </w:rPr>
              <w:t xml:space="preserve"> </w:t>
            </w:r>
            <w:r w:rsidRPr="001B53A8">
              <w:rPr>
                <w:rFonts w:ascii="Times New Roman" w:hAnsi="Times New Roman"/>
                <w:lang w:val="sr-Latn-BA"/>
              </w:rPr>
              <w:t>za</w:t>
            </w:r>
            <w:r w:rsidR="00AF7B11" w:rsidRPr="001B53A8">
              <w:rPr>
                <w:rFonts w:ascii="Times New Roman" w:hAnsi="Times New Roman"/>
                <w:lang w:val="sr-Latn-BA"/>
              </w:rPr>
              <w:t xml:space="preserve"> </w:t>
            </w:r>
            <w:r w:rsidRPr="001B53A8">
              <w:rPr>
                <w:rFonts w:ascii="Times New Roman" w:hAnsi="Times New Roman"/>
                <w:lang w:val="sr-Latn-BA"/>
              </w:rPr>
              <w:t>obavlјanje</w:t>
            </w:r>
            <w:r w:rsidR="00AF7B11" w:rsidRPr="001B53A8">
              <w:rPr>
                <w:rFonts w:ascii="Times New Roman" w:hAnsi="Times New Roman"/>
                <w:lang w:val="sr-Latn-BA"/>
              </w:rPr>
              <w:t xml:space="preserve"> </w:t>
            </w:r>
            <w:r w:rsidRPr="001B53A8">
              <w:rPr>
                <w:rFonts w:ascii="Times New Roman" w:hAnsi="Times New Roman"/>
                <w:lang w:val="sr-Latn-BA"/>
              </w:rPr>
              <w:t>poslova</w:t>
            </w:r>
            <w:r w:rsidR="00AF7B11" w:rsidRPr="001B53A8">
              <w:rPr>
                <w:rFonts w:ascii="Times New Roman" w:hAnsi="Times New Roman"/>
                <w:lang w:val="sr-Latn-BA"/>
              </w:rPr>
              <w:t xml:space="preserve"> </w:t>
            </w:r>
            <w:r w:rsidRPr="001B53A8">
              <w:rPr>
                <w:rFonts w:ascii="Times New Roman" w:hAnsi="Times New Roman"/>
                <w:lang w:val="sr-Latn-BA"/>
              </w:rPr>
              <w:t>investicionog</w:t>
            </w:r>
            <w:r w:rsidR="00AF7B11" w:rsidRPr="001B53A8">
              <w:rPr>
                <w:rFonts w:ascii="Times New Roman" w:hAnsi="Times New Roman"/>
                <w:lang w:val="sr-Latn-BA"/>
              </w:rPr>
              <w:t xml:space="preserve"> </w:t>
            </w:r>
            <w:r w:rsidRPr="001B53A8">
              <w:rPr>
                <w:rFonts w:ascii="Times New Roman" w:hAnsi="Times New Roman"/>
                <w:lang w:val="sr-Latn-BA"/>
              </w:rPr>
              <w:t>savjetnika</w:t>
            </w:r>
          </w:p>
        </w:tc>
        <w:tc>
          <w:tcPr>
            <w:tcW w:w="510" w:type="pct"/>
          </w:tcPr>
          <w:p w14:paraId="17DFE94D" w14:textId="77777777" w:rsidR="00AF7B11" w:rsidRPr="001B53A8" w:rsidRDefault="00AF7B11" w:rsidP="00003F34">
            <w:pPr>
              <w:tabs>
                <w:tab w:val="decimal" w:pos="394"/>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sz w:val="20"/>
                <w:szCs w:val="20"/>
                <w:lang w:val="sr-Latn-BA"/>
              </w:rPr>
              <w:t>0</w:t>
            </w:r>
          </w:p>
        </w:tc>
        <w:tc>
          <w:tcPr>
            <w:tcW w:w="693" w:type="pct"/>
          </w:tcPr>
          <w:p w14:paraId="0405FB41" w14:textId="77777777" w:rsidR="00AF7B11" w:rsidRPr="001B53A8" w:rsidRDefault="00AF7B11" w:rsidP="00003F34">
            <w:pPr>
              <w:tabs>
                <w:tab w:val="decimal" w:pos="720"/>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color w:val="000000"/>
                <w:sz w:val="20"/>
                <w:szCs w:val="20"/>
                <w:lang w:val="sr-Latn-BA"/>
              </w:rPr>
              <w:t>21</w:t>
            </w:r>
          </w:p>
        </w:tc>
      </w:tr>
      <w:tr w:rsidR="00AF7B11" w:rsidRPr="001B53A8" w14:paraId="227D8F81" w14:textId="77777777" w:rsidTr="00003F34">
        <w:trPr>
          <w:cnfStyle w:val="000000010000" w:firstRow="0" w:lastRow="0" w:firstColumn="0" w:lastColumn="0" w:oddVBand="0" w:evenVBand="0" w:oddHBand="0" w:evenHBand="1" w:firstRowFirstColumn="0" w:firstRowLastColumn="0" w:lastRowFirstColumn="0" w:lastRowLastColumn="0"/>
          <w:trHeight w:val="227"/>
        </w:trPr>
        <w:tc>
          <w:tcPr>
            <w:tcW w:w="3797" w:type="pct"/>
          </w:tcPr>
          <w:p w14:paraId="1E7A29FB" w14:textId="094F23A2" w:rsidR="00AF7B11" w:rsidRPr="001B53A8" w:rsidRDefault="00003F34" w:rsidP="00003F34">
            <w:pPr>
              <w:pStyle w:val="Table"/>
              <w:rPr>
                <w:rFonts w:ascii="Times New Roman" w:hAnsi="Times New Roman"/>
                <w:highlight w:val="yellow"/>
                <w:lang w:val="sr-Latn-BA"/>
              </w:rPr>
            </w:pPr>
            <w:r w:rsidRPr="001B53A8">
              <w:rPr>
                <w:rFonts w:ascii="Times New Roman" w:hAnsi="Times New Roman"/>
                <w:lang w:val="sr-Latn-BA"/>
              </w:rPr>
              <w:t>Registar</w:t>
            </w:r>
            <w:r w:rsidR="00AF7B11" w:rsidRPr="001B53A8">
              <w:rPr>
                <w:rFonts w:ascii="Times New Roman" w:hAnsi="Times New Roman"/>
                <w:lang w:val="sr-Latn-BA"/>
              </w:rPr>
              <w:t xml:space="preserve"> </w:t>
            </w:r>
            <w:r w:rsidRPr="001B53A8">
              <w:rPr>
                <w:rFonts w:ascii="Times New Roman" w:hAnsi="Times New Roman"/>
                <w:lang w:val="sr-Latn-BA"/>
              </w:rPr>
              <w:t>izdatih</w:t>
            </w:r>
            <w:r w:rsidR="00AF7B11" w:rsidRPr="001B53A8">
              <w:rPr>
                <w:rFonts w:ascii="Times New Roman" w:hAnsi="Times New Roman"/>
                <w:lang w:val="sr-Latn-BA"/>
              </w:rPr>
              <w:t xml:space="preserve"> </w:t>
            </w:r>
            <w:r w:rsidRPr="001B53A8">
              <w:rPr>
                <w:rFonts w:ascii="Times New Roman" w:hAnsi="Times New Roman"/>
                <w:lang w:val="sr-Latn-BA"/>
              </w:rPr>
              <w:t>dozvola</w:t>
            </w:r>
            <w:r w:rsidR="00AF7B11" w:rsidRPr="001B53A8">
              <w:rPr>
                <w:rFonts w:ascii="Times New Roman" w:hAnsi="Times New Roman"/>
                <w:lang w:val="sr-Latn-BA"/>
              </w:rPr>
              <w:t xml:space="preserve"> </w:t>
            </w:r>
            <w:r w:rsidRPr="001B53A8">
              <w:rPr>
                <w:rFonts w:ascii="Times New Roman" w:hAnsi="Times New Roman"/>
                <w:lang w:val="sr-Latn-BA"/>
              </w:rPr>
              <w:t>za</w:t>
            </w:r>
            <w:r w:rsidR="00AF7B11" w:rsidRPr="001B53A8">
              <w:rPr>
                <w:rFonts w:ascii="Times New Roman" w:hAnsi="Times New Roman"/>
                <w:lang w:val="sr-Latn-BA"/>
              </w:rPr>
              <w:t xml:space="preserve"> </w:t>
            </w:r>
            <w:r w:rsidRPr="001B53A8">
              <w:rPr>
                <w:rFonts w:ascii="Times New Roman" w:hAnsi="Times New Roman"/>
                <w:lang w:val="sr-Latn-BA"/>
              </w:rPr>
              <w:t>obavlјanje</w:t>
            </w:r>
            <w:r w:rsidR="00AF7B11" w:rsidRPr="001B53A8">
              <w:rPr>
                <w:rFonts w:ascii="Times New Roman" w:hAnsi="Times New Roman"/>
                <w:lang w:val="sr-Latn-BA"/>
              </w:rPr>
              <w:t xml:space="preserve"> </w:t>
            </w:r>
            <w:r w:rsidRPr="001B53A8">
              <w:rPr>
                <w:rFonts w:ascii="Times New Roman" w:hAnsi="Times New Roman"/>
                <w:lang w:val="sr-Latn-BA"/>
              </w:rPr>
              <w:t>poslova</w:t>
            </w:r>
            <w:r w:rsidR="00AF7B11" w:rsidRPr="001B53A8">
              <w:rPr>
                <w:rFonts w:ascii="Times New Roman" w:hAnsi="Times New Roman"/>
                <w:lang w:val="sr-Latn-BA"/>
              </w:rPr>
              <w:t xml:space="preserve"> </w:t>
            </w:r>
            <w:r w:rsidRPr="001B53A8">
              <w:rPr>
                <w:rFonts w:ascii="Times New Roman" w:hAnsi="Times New Roman"/>
                <w:lang w:val="sr-Latn-BA"/>
              </w:rPr>
              <w:t>investicionog</w:t>
            </w:r>
            <w:r w:rsidR="00AF7B11" w:rsidRPr="001B53A8">
              <w:rPr>
                <w:rFonts w:ascii="Times New Roman" w:hAnsi="Times New Roman"/>
                <w:lang w:val="sr-Latn-BA"/>
              </w:rPr>
              <w:t xml:space="preserve"> </w:t>
            </w:r>
            <w:r w:rsidRPr="001B53A8">
              <w:rPr>
                <w:rFonts w:ascii="Times New Roman" w:hAnsi="Times New Roman"/>
                <w:lang w:val="sr-Latn-BA"/>
              </w:rPr>
              <w:t>menadžera</w:t>
            </w:r>
          </w:p>
        </w:tc>
        <w:tc>
          <w:tcPr>
            <w:tcW w:w="510" w:type="pct"/>
          </w:tcPr>
          <w:p w14:paraId="4FA932F6" w14:textId="77777777" w:rsidR="00AF7B11" w:rsidRPr="001B53A8" w:rsidRDefault="00AF7B11" w:rsidP="00003F34">
            <w:pPr>
              <w:tabs>
                <w:tab w:val="decimal" w:pos="394"/>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sz w:val="20"/>
                <w:szCs w:val="20"/>
                <w:lang w:val="sr-Latn-BA"/>
              </w:rPr>
              <w:t>3</w:t>
            </w:r>
          </w:p>
        </w:tc>
        <w:tc>
          <w:tcPr>
            <w:tcW w:w="693" w:type="pct"/>
          </w:tcPr>
          <w:p w14:paraId="2914EAB9" w14:textId="77777777" w:rsidR="00AF7B11" w:rsidRPr="001B53A8" w:rsidRDefault="00AF7B11" w:rsidP="00003F34">
            <w:pPr>
              <w:tabs>
                <w:tab w:val="decimal" w:pos="720"/>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color w:val="000000"/>
                <w:sz w:val="20"/>
                <w:szCs w:val="20"/>
                <w:lang w:val="sr-Latn-BA"/>
              </w:rPr>
              <w:t>298</w:t>
            </w:r>
          </w:p>
        </w:tc>
      </w:tr>
      <w:tr w:rsidR="00AF7B11" w:rsidRPr="001B53A8" w14:paraId="2CD49031" w14:textId="77777777" w:rsidTr="00003F34">
        <w:trPr>
          <w:cnfStyle w:val="000000100000" w:firstRow="0" w:lastRow="0" w:firstColumn="0" w:lastColumn="0" w:oddVBand="0" w:evenVBand="0" w:oddHBand="1" w:evenHBand="0" w:firstRowFirstColumn="0" w:firstRowLastColumn="0" w:lastRowFirstColumn="0" w:lastRowLastColumn="0"/>
          <w:trHeight w:val="227"/>
        </w:trPr>
        <w:tc>
          <w:tcPr>
            <w:tcW w:w="3797" w:type="pct"/>
          </w:tcPr>
          <w:p w14:paraId="45F7089A" w14:textId="1096BD3B" w:rsidR="00AF7B11" w:rsidRPr="001B53A8" w:rsidRDefault="00003F34" w:rsidP="00003F34">
            <w:pPr>
              <w:pStyle w:val="Table"/>
              <w:rPr>
                <w:rFonts w:ascii="Times New Roman" w:hAnsi="Times New Roman"/>
                <w:lang w:val="sr-Latn-BA"/>
              </w:rPr>
            </w:pPr>
            <w:r w:rsidRPr="001B53A8">
              <w:rPr>
                <w:rFonts w:ascii="Times New Roman" w:hAnsi="Times New Roman"/>
                <w:lang w:val="sr-Latn-BA"/>
              </w:rPr>
              <w:t>Evidencija</w:t>
            </w:r>
            <w:r w:rsidR="00AF7B11" w:rsidRPr="001B53A8">
              <w:rPr>
                <w:rFonts w:ascii="Times New Roman" w:hAnsi="Times New Roman"/>
                <w:lang w:val="sr-Latn-BA"/>
              </w:rPr>
              <w:t xml:space="preserve"> </w:t>
            </w:r>
            <w:r w:rsidRPr="001B53A8">
              <w:rPr>
                <w:rFonts w:ascii="Times New Roman" w:hAnsi="Times New Roman"/>
                <w:lang w:val="sr-Latn-BA"/>
              </w:rPr>
              <w:t>pružalaca</w:t>
            </w:r>
            <w:r w:rsidR="00AF7B11" w:rsidRPr="001B53A8">
              <w:rPr>
                <w:rFonts w:ascii="Times New Roman" w:hAnsi="Times New Roman"/>
                <w:lang w:val="sr-Latn-BA"/>
              </w:rPr>
              <w:t xml:space="preserve"> </w:t>
            </w:r>
            <w:r w:rsidRPr="001B53A8">
              <w:rPr>
                <w:rFonts w:ascii="Times New Roman" w:hAnsi="Times New Roman"/>
                <w:lang w:val="sr-Latn-BA"/>
              </w:rPr>
              <w:t>usluga</w:t>
            </w:r>
            <w:r w:rsidR="00AF7B11" w:rsidRPr="001B53A8">
              <w:rPr>
                <w:rFonts w:ascii="Times New Roman" w:hAnsi="Times New Roman"/>
                <w:lang w:val="sr-Latn-BA"/>
              </w:rPr>
              <w:t xml:space="preserve"> </w:t>
            </w:r>
            <w:r w:rsidRPr="001B53A8">
              <w:rPr>
                <w:rFonts w:ascii="Times New Roman" w:hAnsi="Times New Roman"/>
                <w:lang w:val="sr-Latn-BA"/>
              </w:rPr>
              <w:t>povezanih</w:t>
            </w:r>
            <w:r w:rsidR="00AF7B11" w:rsidRPr="001B53A8">
              <w:rPr>
                <w:rFonts w:ascii="Times New Roman" w:hAnsi="Times New Roman"/>
                <w:lang w:val="sr-Latn-BA"/>
              </w:rPr>
              <w:t xml:space="preserve"> </w:t>
            </w:r>
            <w:r w:rsidRPr="001B53A8">
              <w:rPr>
                <w:rFonts w:ascii="Times New Roman" w:hAnsi="Times New Roman"/>
                <w:lang w:val="sr-Latn-BA"/>
              </w:rPr>
              <w:t>sa</w:t>
            </w:r>
            <w:r w:rsidR="00AF7B11" w:rsidRPr="001B53A8">
              <w:rPr>
                <w:rFonts w:ascii="Times New Roman" w:hAnsi="Times New Roman"/>
                <w:lang w:val="sr-Latn-BA"/>
              </w:rPr>
              <w:t xml:space="preserve"> </w:t>
            </w:r>
            <w:r w:rsidRPr="001B53A8">
              <w:rPr>
                <w:rFonts w:ascii="Times New Roman" w:hAnsi="Times New Roman"/>
                <w:lang w:val="sr-Latn-BA"/>
              </w:rPr>
              <w:t>virtuelnim</w:t>
            </w:r>
            <w:r w:rsidR="00AF7B11" w:rsidRPr="001B53A8">
              <w:rPr>
                <w:rFonts w:ascii="Times New Roman" w:hAnsi="Times New Roman"/>
                <w:lang w:val="sr-Latn-BA"/>
              </w:rPr>
              <w:t xml:space="preserve"> </w:t>
            </w:r>
            <w:r w:rsidRPr="001B53A8">
              <w:rPr>
                <w:rFonts w:ascii="Times New Roman" w:hAnsi="Times New Roman"/>
                <w:lang w:val="sr-Latn-BA"/>
              </w:rPr>
              <w:t>valutama</w:t>
            </w:r>
          </w:p>
        </w:tc>
        <w:tc>
          <w:tcPr>
            <w:tcW w:w="510" w:type="pct"/>
          </w:tcPr>
          <w:p w14:paraId="3111D363" w14:textId="77777777" w:rsidR="00AF7B11" w:rsidRPr="001B53A8" w:rsidRDefault="00AF7B11" w:rsidP="00003F34">
            <w:pPr>
              <w:tabs>
                <w:tab w:val="decimal" w:pos="394"/>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sz w:val="20"/>
                <w:szCs w:val="20"/>
                <w:lang w:val="sr-Latn-BA"/>
              </w:rPr>
              <w:t>5</w:t>
            </w:r>
          </w:p>
        </w:tc>
        <w:tc>
          <w:tcPr>
            <w:tcW w:w="693" w:type="pct"/>
          </w:tcPr>
          <w:p w14:paraId="13E755D5" w14:textId="77777777" w:rsidR="00AF7B11" w:rsidRPr="001B53A8" w:rsidRDefault="00AF7B11" w:rsidP="00003F34">
            <w:pPr>
              <w:tabs>
                <w:tab w:val="decimal" w:pos="720"/>
              </w:tabs>
              <w:spacing w:after="0" w:line="240" w:lineRule="auto"/>
              <w:ind w:firstLine="0"/>
              <w:jc w:val="left"/>
              <w:rPr>
                <w:rFonts w:ascii="Times New Roman" w:hAnsi="Times New Roman" w:cs="Times New Roman"/>
                <w:sz w:val="20"/>
                <w:szCs w:val="20"/>
                <w:lang w:val="sr-Latn-BA"/>
              </w:rPr>
            </w:pPr>
            <w:r w:rsidRPr="001B53A8">
              <w:rPr>
                <w:rFonts w:ascii="Times New Roman" w:hAnsi="Times New Roman" w:cs="Times New Roman"/>
                <w:color w:val="000000"/>
                <w:sz w:val="20"/>
                <w:szCs w:val="20"/>
                <w:lang w:val="sr-Latn-BA"/>
              </w:rPr>
              <w:t>6</w:t>
            </w:r>
          </w:p>
        </w:tc>
      </w:tr>
    </w:tbl>
    <w:p w14:paraId="2E9801CE" w14:textId="785F37EF" w:rsidR="009628CE" w:rsidRPr="001B53A8" w:rsidRDefault="00003F34" w:rsidP="006B6E0C">
      <w:pPr>
        <w:pStyle w:val="Caption"/>
        <w:tabs>
          <w:tab w:val="left" w:pos="1276"/>
        </w:tabs>
        <w:spacing w:after="0"/>
        <w:ind w:left="1276" w:hanging="1276"/>
        <w:jc w:val="both"/>
        <w:rPr>
          <w:rFonts w:ascii="Times New Roman" w:hAnsi="Times New Roman"/>
          <w:b w:val="0"/>
          <w:sz w:val="24"/>
          <w:szCs w:val="24"/>
          <w:lang w:val="sr-Latn-BA"/>
        </w:rPr>
      </w:pPr>
      <w:r w:rsidRPr="001B53A8">
        <w:rPr>
          <w:rFonts w:ascii="Times New Roman" w:hAnsi="Times New Roman"/>
          <w:sz w:val="24"/>
          <w:szCs w:val="24"/>
          <w:lang w:val="sr-Latn-BA"/>
        </w:rPr>
        <w:t>Tabela</w:t>
      </w:r>
      <w:r w:rsidR="009628CE" w:rsidRPr="001B53A8">
        <w:rPr>
          <w:rFonts w:ascii="Times New Roman" w:hAnsi="Times New Roman"/>
          <w:sz w:val="24"/>
          <w:szCs w:val="24"/>
          <w:lang w:val="sr-Latn-BA"/>
        </w:rPr>
        <w:t xml:space="preserve"> </w:t>
      </w:r>
      <w:r w:rsidR="00D3478F" w:rsidRPr="001B53A8">
        <w:rPr>
          <w:rFonts w:ascii="Times New Roman" w:hAnsi="Times New Roman"/>
          <w:sz w:val="24"/>
          <w:szCs w:val="24"/>
          <w:lang w:val="sr-Latn-BA"/>
        </w:rPr>
        <w:fldChar w:fldCharType="begin"/>
      </w:r>
      <w:r w:rsidR="009628CE" w:rsidRPr="001B53A8">
        <w:rPr>
          <w:rFonts w:ascii="Times New Roman" w:hAnsi="Times New Roman"/>
          <w:sz w:val="24"/>
          <w:szCs w:val="24"/>
          <w:lang w:val="sr-Latn-BA"/>
        </w:rPr>
        <w:instrText xml:space="preserve"> SEQ Табела \* ARABIC </w:instrText>
      </w:r>
      <w:r w:rsidR="00D3478F" w:rsidRPr="001B53A8">
        <w:rPr>
          <w:rFonts w:ascii="Times New Roman" w:hAnsi="Times New Roman"/>
          <w:sz w:val="24"/>
          <w:szCs w:val="24"/>
          <w:lang w:val="sr-Latn-BA"/>
        </w:rPr>
        <w:fldChar w:fldCharType="separate"/>
      </w:r>
      <w:r w:rsidR="00E00890" w:rsidRPr="001B53A8">
        <w:rPr>
          <w:rFonts w:ascii="Times New Roman" w:hAnsi="Times New Roman"/>
          <w:noProof/>
          <w:sz w:val="24"/>
          <w:szCs w:val="24"/>
          <w:lang w:val="sr-Latn-BA"/>
        </w:rPr>
        <w:t>3</w:t>
      </w:r>
      <w:r w:rsidR="00D3478F" w:rsidRPr="001B53A8">
        <w:rPr>
          <w:rFonts w:ascii="Times New Roman" w:hAnsi="Times New Roman"/>
          <w:sz w:val="24"/>
          <w:szCs w:val="24"/>
          <w:lang w:val="sr-Latn-BA"/>
        </w:rPr>
        <w:fldChar w:fldCharType="end"/>
      </w:r>
      <w:r w:rsidR="009628CE" w:rsidRPr="001B53A8">
        <w:rPr>
          <w:rFonts w:ascii="Times New Roman" w:hAnsi="Times New Roman"/>
          <w:sz w:val="24"/>
          <w:szCs w:val="24"/>
          <w:lang w:val="sr-Latn-BA"/>
        </w:rPr>
        <w:t>.</w:t>
      </w:r>
      <w:r w:rsidR="009628CE" w:rsidRPr="001B53A8">
        <w:rPr>
          <w:rFonts w:ascii="Times New Roman" w:hAnsi="Times New Roman"/>
          <w:sz w:val="24"/>
          <w:szCs w:val="24"/>
          <w:lang w:val="sr-Latn-BA"/>
        </w:rPr>
        <w:tab/>
      </w:r>
      <w:r w:rsidRPr="001B53A8">
        <w:rPr>
          <w:rFonts w:ascii="Times New Roman" w:hAnsi="Times New Roman"/>
          <w:b w:val="0"/>
          <w:sz w:val="24"/>
          <w:szCs w:val="24"/>
          <w:lang w:val="sr-Latn-BA"/>
        </w:rPr>
        <w:t>Pregled</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registara</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i</w:t>
      </w:r>
      <w:r w:rsidR="00F91AD3"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evidencija</w:t>
      </w:r>
      <w:r w:rsidR="00F91AD3"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Komisije</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u</w:t>
      </w:r>
      <w:r w:rsidR="009628CE" w:rsidRPr="001B53A8">
        <w:rPr>
          <w:rFonts w:ascii="Times New Roman" w:hAnsi="Times New Roman"/>
          <w:b w:val="0"/>
          <w:sz w:val="24"/>
          <w:szCs w:val="24"/>
          <w:lang w:val="sr-Latn-BA"/>
        </w:rPr>
        <w:t xml:space="preserve"> </w:t>
      </w:r>
      <w:r w:rsidR="00AF7B11" w:rsidRPr="001B53A8">
        <w:rPr>
          <w:rFonts w:ascii="Times New Roman" w:hAnsi="Times New Roman"/>
          <w:b w:val="0"/>
          <w:sz w:val="24"/>
          <w:szCs w:val="24"/>
          <w:lang w:val="sr-Latn-BA"/>
        </w:rPr>
        <w:t>2023</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godini</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i</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periodu</w:t>
      </w:r>
      <w:r w:rsidR="009628CE" w:rsidRPr="001B53A8">
        <w:rPr>
          <w:rFonts w:ascii="Times New Roman" w:hAnsi="Times New Roman"/>
          <w:b w:val="0"/>
          <w:sz w:val="24"/>
          <w:szCs w:val="24"/>
          <w:lang w:val="sr-Latn-BA"/>
        </w:rPr>
        <w:t xml:space="preserve"> 2001 </w:t>
      </w:r>
      <w:r w:rsidR="00640079" w:rsidRPr="001B53A8">
        <w:rPr>
          <w:rFonts w:ascii="Times New Roman" w:hAnsi="Times New Roman"/>
          <w:b w:val="0"/>
          <w:sz w:val="24"/>
          <w:szCs w:val="24"/>
          <w:lang w:val="sr-Latn-BA"/>
        </w:rPr>
        <w:t>-</w:t>
      </w:r>
      <w:r w:rsidR="009628CE" w:rsidRPr="001B53A8">
        <w:rPr>
          <w:rFonts w:ascii="Times New Roman" w:hAnsi="Times New Roman"/>
          <w:b w:val="0"/>
          <w:sz w:val="24"/>
          <w:szCs w:val="24"/>
          <w:lang w:val="sr-Latn-BA"/>
        </w:rPr>
        <w:t xml:space="preserve"> </w:t>
      </w:r>
      <w:r w:rsidR="00AB10AC" w:rsidRPr="001B53A8">
        <w:rPr>
          <w:rFonts w:ascii="Times New Roman" w:hAnsi="Times New Roman"/>
          <w:b w:val="0"/>
          <w:sz w:val="24"/>
          <w:szCs w:val="24"/>
          <w:lang w:val="sr-Latn-BA"/>
        </w:rPr>
        <w:t>202</w:t>
      </w:r>
      <w:r w:rsidR="00AF7B11" w:rsidRPr="001B53A8">
        <w:rPr>
          <w:rFonts w:ascii="Times New Roman" w:hAnsi="Times New Roman"/>
          <w:b w:val="0"/>
          <w:sz w:val="24"/>
          <w:szCs w:val="24"/>
          <w:lang w:val="sr-Latn-BA"/>
        </w:rPr>
        <w:t>3</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godine</w:t>
      </w:r>
    </w:p>
    <w:bookmarkEnd w:id="36"/>
    <w:p w14:paraId="188A0113" w14:textId="4B35D56D" w:rsidR="009628CE" w:rsidRPr="001B53A8" w:rsidRDefault="00003F34" w:rsidP="006B6E0C">
      <w:pPr>
        <w:spacing w:after="0" w:line="240" w:lineRule="auto"/>
        <w:ind w:firstLine="567"/>
        <w:rPr>
          <w:lang w:val="sr-Latn-BA"/>
        </w:rPr>
      </w:pPr>
      <w:r w:rsidRPr="001B53A8">
        <w:rPr>
          <w:lang w:val="sr-Latn-BA"/>
        </w:rPr>
        <w:t>Na</w:t>
      </w:r>
      <w:r w:rsidR="009628CE" w:rsidRPr="001B53A8">
        <w:rPr>
          <w:lang w:val="sr-Latn-BA"/>
        </w:rPr>
        <w:t xml:space="preserve"> </w:t>
      </w:r>
      <w:r w:rsidRPr="001B53A8">
        <w:rPr>
          <w:lang w:val="sr-Latn-BA"/>
        </w:rPr>
        <w:t>osnovu</w:t>
      </w:r>
      <w:r w:rsidR="009628CE" w:rsidRPr="001B53A8">
        <w:rPr>
          <w:lang w:val="sr-Latn-BA"/>
        </w:rPr>
        <w:t xml:space="preserve"> </w:t>
      </w:r>
      <w:r w:rsidRPr="001B53A8">
        <w:rPr>
          <w:lang w:val="sr-Latn-BA"/>
        </w:rPr>
        <w:t>podataka</w:t>
      </w:r>
      <w:r w:rsidR="009628CE" w:rsidRPr="001B53A8">
        <w:rPr>
          <w:lang w:val="sr-Latn-BA"/>
        </w:rPr>
        <w:t xml:space="preserve"> </w:t>
      </w:r>
      <w:r w:rsidRPr="001B53A8">
        <w:rPr>
          <w:lang w:val="sr-Latn-BA"/>
        </w:rPr>
        <w:t>iz</w:t>
      </w:r>
      <w:r w:rsidR="009628CE" w:rsidRPr="001B53A8">
        <w:rPr>
          <w:lang w:val="sr-Latn-BA"/>
        </w:rPr>
        <w:t xml:space="preserve"> </w:t>
      </w:r>
      <w:r w:rsidRPr="001B53A8">
        <w:rPr>
          <w:lang w:val="sr-Latn-BA"/>
        </w:rPr>
        <w:t>prethodne</w:t>
      </w:r>
      <w:r w:rsidR="009628CE" w:rsidRPr="001B53A8">
        <w:rPr>
          <w:lang w:val="sr-Latn-BA"/>
        </w:rPr>
        <w:t xml:space="preserve"> </w:t>
      </w:r>
      <w:r w:rsidRPr="001B53A8">
        <w:rPr>
          <w:lang w:val="sr-Latn-BA"/>
        </w:rPr>
        <w:t>tabele</w:t>
      </w:r>
      <w:r w:rsidR="009628CE" w:rsidRPr="001B53A8">
        <w:rPr>
          <w:lang w:val="sr-Latn-BA"/>
        </w:rPr>
        <w:t xml:space="preserve"> </w:t>
      </w:r>
      <w:r w:rsidRPr="001B53A8">
        <w:rPr>
          <w:lang w:val="sr-Latn-BA"/>
        </w:rPr>
        <w:t>vidlјivo</w:t>
      </w:r>
      <w:r w:rsidR="009628CE" w:rsidRPr="001B53A8">
        <w:rPr>
          <w:lang w:val="sr-Latn-BA"/>
        </w:rPr>
        <w:t xml:space="preserve"> </w:t>
      </w:r>
      <w:r w:rsidRPr="001B53A8">
        <w:rPr>
          <w:lang w:val="sr-Latn-BA"/>
        </w:rPr>
        <w:t>je</w:t>
      </w:r>
      <w:r w:rsidR="009628CE" w:rsidRPr="001B53A8">
        <w:rPr>
          <w:lang w:val="sr-Latn-BA"/>
        </w:rPr>
        <w:t xml:space="preserve"> </w:t>
      </w:r>
      <w:r w:rsidRPr="001B53A8">
        <w:rPr>
          <w:lang w:val="sr-Latn-BA"/>
        </w:rPr>
        <w:t>da</w:t>
      </w:r>
      <w:r w:rsidR="009628CE" w:rsidRPr="001B53A8">
        <w:rPr>
          <w:lang w:val="sr-Latn-BA"/>
        </w:rPr>
        <w:t xml:space="preserve"> </w:t>
      </w:r>
      <w:r w:rsidRPr="001B53A8">
        <w:rPr>
          <w:lang w:val="sr-Latn-BA"/>
        </w:rPr>
        <w:t>u</w:t>
      </w:r>
      <w:r w:rsidR="009628CE" w:rsidRPr="001B53A8">
        <w:rPr>
          <w:lang w:val="sr-Latn-BA"/>
        </w:rPr>
        <w:t xml:space="preserve"> </w:t>
      </w:r>
      <w:r w:rsidR="006D0458" w:rsidRPr="001B53A8">
        <w:rPr>
          <w:lang w:val="sr-Latn-BA"/>
        </w:rPr>
        <w:t>202</w:t>
      </w:r>
      <w:r w:rsidR="005B21B1" w:rsidRPr="001B53A8">
        <w:rPr>
          <w:lang w:val="sr-Latn-BA"/>
        </w:rPr>
        <w:t>3</w:t>
      </w:r>
      <w:r w:rsidR="009628CE" w:rsidRPr="001B53A8">
        <w:rPr>
          <w:lang w:val="sr-Latn-BA"/>
        </w:rPr>
        <w:t xml:space="preserve">. </w:t>
      </w:r>
      <w:r w:rsidRPr="001B53A8">
        <w:rPr>
          <w:lang w:val="sr-Latn-BA"/>
        </w:rPr>
        <w:t>godini</w:t>
      </w:r>
      <w:r w:rsidR="009628CE" w:rsidRPr="001B53A8">
        <w:rPr>
          <w:lang w:val="sr-Latn-BA"/>
        </w:rPr>
        <w:t xml:space="preserve"> </w:t>
      </w:r>
      <w:r w:rsidRPr="001B53A8">
        <w:rPr>
          <w:lang w:val="sr-Latn-BA"/>
        </w:rPr>
        <w:t>izvršen</w:t>
      </w:r>
      <w:r w:rsidR="009628CE" w:rsidRPr="001B53A8">
        <w:rPr>
          <w:lang w:val="sr-Latn-BA"/>
        </w:rPr>
        <w:t xml:space="preserve"> </w:t>
      </w:r>
      <w:r w:rsidRPr="001B53A8">
        <w:rPr>
          <w:lang w:val="sr-Latn-BA"/>
        </w:rPr>
        <w:t>upis</w:t>
      </w:r>
      <w:r w:rsidR="00E865BB" w:rsidRPr="001B53A8">
        <w:rPr>
          <w:lang w:val="sr-Latn-BA"/>
        </w:rPr>
        <w:t xml:space="preserve">  </w:t>
      </w:r>
      <w:r w:rsidRPr="001B53A8">
        <w:rPr>
          <w:lang w:val="sr-Latn-BA"/>
        </w:rPr>
        <w:t>dva</w:t>
      </w:r>
      <w:r w:rsidR="003A1210" w:rsidRPr="001B53A8">
        <w:rPr>
          <w:lang w:val="sr-Latn-BA"/>
        </w:rPr>
        <w:t xml:space="preserve"> </w:t>
      </w:r>
      <w:r w:rsidRPr="001B53A8">
        <w:rPr>
          <w:lang w:val="sr-Latn-BA"/>
        </w:rPr>
        <w:t>emitenta</w:t>
      </w:r>
      <w:r w:rsidR="009628CE" w:rsidRPr="001B53A8">
        <w:rPr>
          <w:lang w:val="sr-Latn-BA"/>
        </w:rPr>
        <w:t xml:space="preserve">, </w:t>
      </w:r>
      <w:r w:rsidRPr="001B53A8">
        <w:rPr>
          <w:lang w:val="sr-Latn-BA"/>
        </w:rPr>
        <w:t>dok</w:t>
      </w:r>
      <w:r w:rsidR="00640079" w:rsidRPr="001B53A8">
        <w:rPr>
          <w:lang w:val="sr-Latn-BA"/>
        </w:rPr>
        <w:t xml:space="preserve"> </w:t>
      </w:r>
      <w:r w:rsidRPr="001B53A8">
        <w:rPr>
          <w:lang w:val="sr-Latn-BA"/>
        </w:rPr>
        <w:t>je</w:t>
      </w:r>
      <w:r w:rsidR="00640079" w:rsidRPr="001B53A8">
        <w:rPr>
          <w:lang w:val="sr-Latn-BA"/>
        </w:rPr>
        <w:t xml:space="preserve"> </w:t>
      </w:r>
      <w:r w:rsidR="005B21B1" w:rsidRPr="001B53A8">
        <w:rPr>
          <w:lang w:val="sr-Latn-BA"/>
        </w:rPr>
        <w:t>106</w:t>
      </w:r>
      <w:r w:rsidR="003A1210" w:rsidRPr="001B53A8">
        <w:rPr>
          <w:lang w:val="sr-Latn-BA"/>
        </w:rPr>
        <w:t xml:space="preserve"> </w:t>
      </w:r>
      <w:r w:rsidRPr="001B53A8">
        <w:rPr>
          <w:lang w:val="sr-Latn-BA"/>
        </w:rPr>
        <w:t>emitenta</w:t>
      </w:r>
      <w:r w:rsidR="003A1210" w:rsidRPr="001B53A8">
        <w:rPr>
          <w:lang w:val="sr-Latn-BA"/>
        </w:rPr>
        <w:t xml:space="preserve"> </w:t>
      </w:r>
      <w:r w:rsidRPr="001B53A8">
        <w:rPr>
          <w:lang w:val="sr-Latn-BA"/>
        </w:rPr>
        <w:t>brisano</w:t>
      </w:r>
      <w:r w:rsidR="003A1210" w:rsidRPr="001B53A8">
        <w:rPr>
          <w:lang w:val="sr-Latn-BA"/>
        </w:rPr>
        <w:t xml:space="preserve"> </w:t>
      </w:r>
      <w:r w:rsidRPr="001B53A8">
        <w:rPr>
          <w:lang w:val="sr-Latn-BA"/>
        </w:rPr>
        <w:t>iz</w:t>
      </w:r>
      <w:r w:rsidR="003A1210" w:rsidRPr="001B53A8">
        <w:rPr>
          <w:lang w:val="sr-Latn-BA"/>
        </w:rPr>
        <w:t xml:space="preserve"> </w:t>
      </w:r>
      <w:r w:rsidRPr="001B53A8">
        <w:rPr>
          <w:lang w:val="sr-Latn-BA"/>
        </w:rPr>
        <w:t>registra</w:t>
      </w:r>
      <w:r w:rsidR="003A1210" w:rsidRPr="001B53A8">
        <w:rPr>
          <w:lang w:val="sr-Latn-BA"/>
        </w:rPr>
        <w:t xml:space="preserve"> </w:t>
      </w:r>
      <w:r w:rsidRPr="001B53A8">
        <w:rPr>
          <w:lang w:val="sr-Latn-BA"/>
        </w:rPr>
        <w:t>emitenata</w:t>
      </w:r>
      <w:r w:rsidR="009628CE" w:rsidRPr="001B53A8">
        <w:rPr>
          <w:lang w:val="sr-Latn-BA"/>
        </w:rPr>
        <w:t>.</w:t>
      </w:r>
    </w:p>
    <w:p w14:paraId="0157E317" w14:textId="69CA00D9" w:rsidR="00552C7C" w:rsidRPr="001B53A8" w:rsidRDefault="00003F34" w:rsidP="006B6E0C">
      <w:pPr>
        <w:spacing w:after="0" w:line="240" w:lineRule="auto"/>
        <w:ind w:firstLine="567"/>
        <w:rPr>
          <w:lang w:val="sr-Latn-BA"/>
        </w:rPr>
      </w:pPr>
      <w:r w:rsidRPr="001B53A8">
        <w:rPr>
          <w:lang w:val="sr-Latn-BA"/>
        </w:rPr>
        <w:t>Od</w:t>
      </w:r>
      <w:r w:rsidR="004060D8" w:rsidRPr="001B53A8">
        <w:rPr>
          <w:lang w:val="sr-Latn-BA"/>
        </w:rPr>
        <w:t xml:space="preserve"> </w:t>
      </w:r>
      <w:r w:rsidRPr="001B53A8">
        <w:rPr>
          <w:lang w:val="sr-Latn-BA"/>
        </w:rPr>
        <w:t>početka</w:t>
      </w:r>
      <w:r w:rsidR="004060D8" w:rsidRPr="001B53A8">
        <w:rPr>
          <w:lang w:val="sr-Latn-BA"/>
        </w:rPr>
        <w:t xml:space="preserve"> </w:t>
      </w:r>
      <w:r w:rsidRPr="001B53A8">
        <w:rPr>
          <w:lang w:val="sr-Latn-BA"/>
        </w:rPr>
        <w:t>rada</w:t>
      </w:r>
      <w:r w:rsidR="004060D8" w:rsidRPr="001B53A8">
        <w:rPr>
          <w:lang w:val="sr-Latn-BA"/>
        </w:rPr>
        <w:t xml:space="preserve"> </w:t>
      </w:r>
      <w:r w:rsidRPr="001B53A8">
        <w:rPr>
          <w:lang w:val="sr-Latn-BA"/>
        </w:rPr>
        <w:t>Komisije</w:t>
      </w:r>
      <w:r w:rsidR="004060D8" w:rsidRPr="001B53A8">
        <w:rPr>
          <w:lang w:val="sr-Latn-BA"/>
        </w:rPr>
        <w:t xml:space="preserve">, </w:t>
      </w:r>
      <w:r w:rsidRPr="001B53A8">
        <w:rPr>
          <w:lang w:val="sr-Latn-BA"/>
        </w:rPr>
        <w:t>do</w:t>
      </w:r>
      <w:r w:rsidR="004060D8" w:rsidRPr="001B53A8">
        <w:rPr>
          <w:lang w:val="sr-Latn-BA"/>
        </w:rPr>
        <w:t xml:space="preserve"> </w:t>
      </w:r>
      <w:r w:rsidRPr="001B53A8">
        <w:rPr>
          <w:lang w:val="sr-Latn-BA"/>
        </w:rPr>
        <w:t>poslјednjeg</w:t>
      </w:r>
      <w:r w:rsidR="004060D8" w:rsidRPr="001B53A8">
        <w:rPr>
          <w:lang w:val="sr-Latn-BA"/>
        </w:rPr>
        <w:t xml:space="preserve"> </w:t>
      </w:r>
      <w:r w:rsidRPr="001B53A8">
        <w:rPr>
          <w:lang w:val="sr-Latn-BA"/>
        </w:rPr>
        <w:t>dana</w:t>
      </w:r>
      <w:r w:rsidR="004060D8" w:rsidRPr="001B53A8">
        <w:rPr>
          <w:lang w:val="sr-Latn-BA"/>
        </w:rPr>
        <w:t xml:space="preserve"> </w:t>
      </w:r>
      <w:r w:rsidRPr="001B53A8">
        <w:rPr>
          <w:lang w:val="sr-Latn-BA"/>
        </w:rPr>
        <w:t>izvještajnog</w:t>
      </w:r>
      <w:r w:rsidR="004060D8" w:rsidRPr="001B53A8">
        <w:rPr>
          <w:lang w:val="sr-Latn-BA"/>
        </w:rPr>
        <w:t xml:space="preserve"> </w:t>
      </w:r>
      <w:r w:rsidRPr="001B53A8">
        <w:rPr>
          <w:lang w:val="sr-Latn-BA"/>
        </w:rPr>
        <w:t>perioda</w:t>
      </w:r>
      <w:r w:rsidR="004060D8" w:rsidRPr="001B53A8">
        <w:rPr>
          <w:lang w:val="sr-Latn-BA"/>
        </w:rPr>
        <w:t xml:space="preserve"> </w:t>
      </w:r>
      <w:r w:rsidRPr="001B53A8">
        <w:rPr>
          <w:lang w:val="sr-Latn-BA"/>
        </w:rPr>
        <w:t>upisano</w:t>
      </w:r>
      <w:r w:rsidR="004060D8" w:rsidRPr="001B53A8">
        <w:rPr>
          <w:lang w:val="sr-Latn-BA"/>
        </w:rPr>
        <w:t xml:space="preserve"> </w:t>
      </w:r>
      <w:r w:rsidRPr="001B53A8">
        <w:rPr>
          <w:lang w:val="sr-Latn-BA"/>
        </w:rPr>
        <w:t>je</w:t>
      </w:r>
      <w:r w:rsidR="004060D8" w:rsidRPr="001B53A8">
        <w:rPr>
          <w:lang w:val="sr-Latn-BA"/>
        </w:rPr>
        <w:t xml:space="preserve"> </w:t>
      </w:r>
      <w:r w:rsidRPr="001B53A8">
        <w:rPr>
          <w:lang w:val="sr-Latn-BA"/>
        </w:rPr>
        <w:t>ukupno</w:t>
      </w:r>
      <w:r w:rsidR="004060D8" w:rsidRPr="001B53A8">
        <w:rPr>
          <w:lang w:val="sr-Latn-BA"/>
        </w:rPr>
        <w:t xml:space="preserve"> 1.</w:t>
      </w:r>
      <w:r w:rsidR="00840155" w:rsidRPr="001B53A8">
        <w:rPr>
          <w:lang w:val="sr-Latn-BA"/>
        </w:rPr>
        <w:t>0</w:t>
      </w:r>
      <w:r w:rsidR="006D0458" w:rsidRPr="001B53A8">
        <w:rPr>
          <w:lang w:val="sr-Latn-BA"/>
        </w:rPr>
        <w:t>5</w:t>
      </w:r>
      <w:r w:rsidR="005B21B1" w:rsidRPr="001B53A8">
        <w:rPr>
          <w:lang w:val="sr-Latn-BA"/>
        </w:rPr>
        <w:t>6</w:t>
      </w:r>
      <w:r w:rsidR="00840155" w:rsidRPr="001B53A8">
        <w:rPr>
          <w:lang w:val="sr-Latn-BA"/>
        </w:rPr>
        <w:t xml:space="preserve"> </w:t>
      </w:r>
      <w:r w:rsidRPr="001B53A8">
        <w:rPr>
          <w:lang w:val="sr-Latn-BA"/>
        </w:rPr>
        <w:t>emitenta</w:t>
      </w:r>
      <w:r w:rsidR="004060D8" w:rsidRPr="001B53A8">
        <w:rPr>
          <w:lang w:val="sr-Latn-BA"/>
        </w:rPr>
        <w:t xml:space="preserve">, </w:t>
      </w:r>
      <w:r w:rsidRPr="001B53A8">
        <w:rPr>
          <w:lang w:val="sr-Latn-BA"/>
        </w:rPr>
        <w:t>te</w:t>
      </w:r>
      <w:r w:rsidR="004060D8" w:rsidRPr="001B53A8">
        <w:rPr>
          <w:lang w:val="sr-Latn-BA"/>
        </w:rPr>
        <w:t xml:space="preserve"> </w:t>
      </w:r>
      <w:r w:rsidRPr="001B53A8">
        <w:rPr>
          <w:lang w:val="sr-Latn-BA"/>
        </w:rPr>
        <w:t>je</w:t>
      </w:r>
      <w:r w:rsidR="004060D8" w:rsidRPr="001B53A8">
        <w:rPr>
          <w:lang w:val="sr-Latn-BA"/>
        </w:rPr>
        <w:t xml:space="preserve"> </w:t>
      </w:r>
      <w:r w:rsidRPr="001B53A8">
        <w:rPr>
          <w:lang w:val="sr-Latn-BA"/>
        </w:rPr>
        <w:t>izvršeno</w:t>
      </w:r>
      <w:r w:rsidR="004060D8" w:rsidRPr="001B53A8">
        <w:rPr>
          <w:lang w:val="sr-Latn-BA"/>
        </w:rPr>
        <w:t xml:space="preserve"> </w:t>
      </w:r>
      <w:r w:rsidR="006D0458" w:rsidRPr="001B53A8">
        <w:rPr>
          <w:lang w:val="sr-Latn-BA"/>
        </w:rPr>
        <w:t>3.</w:t>
      </w:r>
      <w:r w:rsidR="005B21B1" w:rsidRPr="001B53A8">
        <w:rPr>
          <w:lang w:val="sr-Latn-BA"/>
        </w:rPr>
        <w:t>144</w:t>
      </w:r>
      <w:r w:rsidR="004060D8" w:rsidRPr="001B53A8">
        <w:rPr>
          <w:lang w:val="sr-Latn-BA"/>
        </w:rPr>
        <w:t xml:space="preserve"> </w:t>
      </w:r>
      <w:r w:rsidRPr="001B53A8">
        <w:rPr>
          <w:lang w:val="sr-Latn-BA"/>
        </w:rPr>
        <w:t>promjene</w:t>
      </w:r>
      <w:r w:rsidR="004060D8" w:rsidRPr="001B53A8">
        <w:rPr>
          <w:lang w:val="sr-Latn-BA"/>
        </w:rPr>
        <w:t xml:space="preserve"> </w:t>
      </w:r>
      <w:r w:rsidRPr="001B53A8">
        <w:rPr>
          <w:lang w:val="sr-Latn-BA"/>
        </w:rPr>
        <w:t>podataka</w:t>
      </w:r>
      <w:r w:rsidR="004060D8" w:rsidRPr="001B53A8">
        <w:rPr>
          <w:lang w:val="sr-Latn-BA"/>
        </w:rPr>
        <w:t xml:space="preserve">, </w:t>
      </w:r>
      <w:r w:rsidRPr="001B53A8">
        <w:rPr>
          <w:lang w:val="sr-Latn-BA"/>
        </w:rPr>
        <w:t>te</w:t>
      </w:r>
      <w:r w:rsidR="004060D8" w:rsidRPr="001B53A8">
        <w:rPr>
          <w:lang w:val="sr-Latn-BA"/>
        </w:rPr>
        <w:t xml:space="preserve"> </w:t>
      </w:r>
      <w:r w:rsidR="005B21B1" w:rsidRPr="001B53A8">
        <w:rPr>
          <w:lang w:val="sr-Latn-BA"/>
        </w:rPr>
        <w:t>476</w:t>
      </w:r>
      <w:r w:rsidR="004060D8" w:rsidRPr="001B53A8">
        <w:rPr>
          <w:lang w:val="sr-Latn-BA"/>
        </w:rPr>
        <w:t xml:space="preserve"> </w:t>
      </w:r>
      <w:r w:rsidRPr="001B53A8">
        <w:rPr>
          <w:lang w:val="sr-Latn-BA"/>
        </w:rPr>
        <w:t>postupaka</w:t>
      </w:r>
      <w:r w:rsidR="004060D8" w:rsidRPr="001B53A8">
        <w:rPr>
          <w:lang w:val="sr-Latn-BA"/>
        </w:rPr>
        <w:t xml:space="preserve"> </w:t>
      </w:r>
      <w:r w:rsidRPr="001B53A8">
        <w:rPr>
          <w:lang w:val="sr-Latn-BA"/>
        </w:rPr>
        <w:t>brisanja</w:t>
      </w:r>
      <w:r w:rsidR="004060D8" w:rsidRPr="001B53A8">
        <w:rPr>
          <w:lang w:val="sr-Latn-BA"/>
        </w:rPr>
        <w:t xml:space="preserve"> </w:t>
      </w:r>
      <w:r w:rsidRPr="001B53A8">
        <w:rPr>
          <w:lang w:val="sr-Latn-BA"/>
        </w:rPr>
        <w:t>emitenata</w:t>
      </w:r>
      <w:r w:rsidR="004060D8" w:rsidRPr="001B53A8">
        <w:rPr>
          <w:lang w:val="sr-Latn-BA"/>
        </w:rPr>
        <w:t xml:space="preserve"> </w:t>
      </w:r>
      <w:r w:rsidRPr="001B53A8">
        <w:rPr>
          <w:lang w:val="sr-Latn-BA"/>
        </w:rPr>
        <w:t>iz</w:t>
      </w:r>
      <w:r w:rsidR="004060D8" w:rsidRPr="001B53A8">
        <w:rPr>
          <w:lang w:val="sr-Latn-BA"/>
        </w:rPr>
        <w:t xml:space="preserve"> </w:t>
      </w:r>
      <w:r w:rsidRPr="001B53A8">
        <w:rPr>
          <w:lang w:val="sr-Latn-BA"/>
        </w:rPr>
        <w:t>registra</w:t>
      </w:r>
      <w:r w:rsidR="004060D8" w:rsidRPr="001B53A8">
        <w:rPr>
          <w:lang w:val="sr-Latn-BA"/>
        </w:rPr>
        <w:t xml:space="preserve"> </w:t>
      </w:r>
      <w:r w:rsidRPr="001B53A8">
        <w:rPr>
          <w:lang w:val="sr-Latn-BA"/>
        </w:rPr>
        <w:t>emitenata</w:t>
      </w:r>
      <w:r w:rsidR="00552C7C" w:rsidRPr="001B53A8">
        <w:rPr>
          <w:lang w:val="sr-Latn-BA"/>
        </w:rPr>
        <w:t>.</w:t>
      </w:r>
    </w:p>
    <w:p w14:paraId="23AF8AC7" w14:textId="69ED4A1C" w:rsidR="004957BF" w:rsidRPr="001B53A8" w:rsidRDefault="00003F34" w:rsidP="006B6E0C">
      <w:pPr>
        <w:spacing w:line="240" w:lineRule="auto"/>
        <w:ind w:firstLine="567"/>
        <w:rPr>
          <w:lang w:val="sr-Latn-BA"/>
        </w:rPr>
      </w:pPr>
      <w:r w:rsidRPr="001B53A8">
        <w:rPr>
          <w:lang w:val="sr-Latn-BA"/>
        </w:rPr>
        <w:t>Znatan</w:t>
      </w:r>
      <w:r w:rsidR="004060D8" w:rsidRPr="001B53A8">
        <w:rPr>
          <w:lang w:val="sr-Latn-BA"/>
        </w:rPr>
        <w:t xml:space="preserve"> </w:t>
      </w:r>
      <w:r w:rsidRPr="001B53A8">
        <w:rPr>
          <w:lang w:val="sr-Latn-BA"/>
        </w:rPr>
        <w:t>broj</w:t>
      </w:r>
      <w:r w:rsidR="004060D8" w:rsidRPr="001B53A8">
        <w:rPr>
          <w:lang w:val="sr-Latn-BA"/>
        </w:rPr>
        <w:t xml:space="preserve"> </w:t>
      </w:r>
      <w:r w:rsidRPr="001B53A8">
        <w:rPr>
          <w:lang w:val="sr-Latn-BA"/>
        </w:rPr>
        <w:t>emitenata</w:t>
      </w:r>
      <w:r w:rsidR="004060D8" w:rsidRPr="001B53A8">
        <w:rPr>
          <w:lang w:val="sr-Latn-BA"/>
        </w:rPr>
        <w:t xml:space="preserve">, </w:t>
      </w:r>
      <w:r w:rsidRPr="001B53A8">
        <w:rPr>
          <w:lang w:val="sr-Latn-BA"/>
        </w:rPr>
        <w:t>koji</w:t>
      </w:r>
      <w:r w:rsidR="004060D8" w:rsidRPr="001B53A8">
        <w:rPr>
          <w:lang w:val="sr-Latn-BA"/>
        </w:rPr>
        <w:t xml:space="preserve"> </w:t>
      </w:r>
      <w:r w:rsidRPr="001B53A8">
        <w:rPr>
          <w:lang w:val="sr-Latn-BA"/>
        </w:rPr>
        <w:t>su</w:t>
      </w:r>
      <w:r w:rsidR="004060D8" w:rsidRPr="001B53A8">
        <w:rPr>
          <w:lang w:val="sr-Latn-BA"/>
        </w:rPr>
        <w:t xml:space="preserve"> </w:t>
      </w:r>
      <w:r w:rsidRPr="001B53A8">
        <w:rPr>
          <w:lang w:val="sr-Latn-BA"/>
        </w:rPr>
        <w:t>nakon</w:t>
      </w:r>
      <w:r w:rsidR="004060D8" w:rsidRPr="001B53A8">
        <w:rPr>
          <w:lang w:val="sr-Latn-BA"/>
        </w:rPr>
        <w:t xml:space="preserve"> </w:t>
      </w:r>
      <w:r w:rsidRPr="001B53A8">
        <w:rPr>
          <w:lang w:val="sr-Latn-BA"/>
        </w:rPr>
        <w:t>privatizacije</w:t>
      </w:r>
      <w:r w:rsidR="004060D8" w:rsidRPr="001B53A8">
        <w:rPr>
          <w:lang w:val="sr-Latn-BA"/>
        </w:rPr>
        <w:t xml:space="preserve"> </w:t>
      </w:r>
      <w:r w:rsidRPr="001B53A8">
        <w:rPr>
          <w:lang w:val="sr-Latn-BA"/>
        </w:rPr>
        <w:t>upisani</w:t>
      </w:r>
      <w:r w:rsidR="004060D8" w:rsidRPr="001B53A8">
        <w:rPr>
          <w:lang w:val="sr-Latn-BA"/>
        </w:rPr>
        <w:t xml:space="preserve"> </w:t>
      </w:r>
      <w:r w:rsidRPr="001B53A8">
        <w:rPr>
          <w:lang w:val="sr-Latn-BA"/>
        </w:rPr>
        <w:t>u</w:t>
      </w:r>
      <w:r w:rsidR="004060D8" w:rsidRPr="001B53A8">
        <w:rPr>
          <w:lang w:val="sr-Latn-BA"/>
        </w:rPr>
        <w:t xml:space="preserve"> </w:t>
      </w:r>
      <w:r w:rsidRPr="001B53A8">
        <w:rPr>
          <w:lang w:val="sr-Latn-BA"/>
        </w:rPr>
        <w:t>registar</w:t>
      </w:r>
      <w:r w:rsidR="004060D8" w:rsidRPr="001B53A8">
        <w:rPr>
          <w:lang w:val="sr-Latn-BA"/>
        </w:rPr>
        <w:t xml:space="preserve"> </w:t>
      </w:r>
      <w:r w:rsidRPr="001B53A8">
        <w:rPr>
          <w:lang w:val="sr-Latn-BA"/>
        </w:rPr>
        <w:t>emitenata</w:t>
      </w:r>
      <w:r w:rsidR="004060D8" w:rsidRPr="001B53A8">
        <w:rPr>
          <w:lang w:val="sr-Latn-BA"/>
        </w:rPr>
        <w:t xml:space="preserve">, </w:t>
      </w:r>
      <w:r w:rsidRPr="001B53A8">
        <w:rPr>
          <w:lang w:val="sr-Latn-BA"/>
        </w:rPr>
        <w:t>je</w:t>
      </w:r>
      <w:r w:rsidR="004060D8" w:rsidRPr="001B53A8">
        <w:rPr>
          <w:lang w:val="sr-Latn-BA"/>
        </w:rPr>
        <w:t xml:space="preserve"> </w:t>
      </w:r>
      <w:r w:rsidRPr="001B53A8">
        <w:rPr>
          <w:lang w:val="sr-Latn-BA"/>
        </w:rPr>
        <w:t>brisan</w:t>
      </w:r>
      <w:r w:rsidR="004060D8" w:rsidRPr="001B53A8">
        <w:rPr>
          <w:lang w:val="sr-Latn-BA"/>
        </w:rPr>
        <w:t xml:space="preserve"> </w:t>
      </w:r>
      <w:r w:rsidRPr="001B53A8">
        <w:rPr>
          <w:lang w:val="sr-Latn-BA"/>
        </w:rPr>
        <w:t>iz</w:t>
      </w:r>
      <w:r w:rsidR="004060D8" w:rsidRPr="001B53A8">
        <w:rPr>
          <w:lang w:val="sr-Latn-BA"/>
        </w:rPr>
        <w:t xml:space="preserve"> </w:t>
      </w:r>
      <w:r w:rsidRPr="001B53A8">
        <w:rPr>
          <w:lang w:val="sr-Latn-BA"/>
        </w:rPr>
        <w:t>registra</w:t>
      </w:r>
      <w:r w:rsidR="004060D8" w:rsidRPr="001B53A8">
        <w:rPr>
          <w:lang w:val="sr-Latn-BA"/>
        </w:rPr>
        <w:t xml:space="preserve"> </w:t>
      </w:r>
      <w:r w:rsidRPr="001B53A8">
        <w:rPr>
          <w:lang w:val="sr-Latn-BA"/>
        </w:rPr>
        <w:t>emitenata</w:t>
      </w:r>
      <w:r w:rsidR="004060D8" w:rsidRPr="001B53A8">
        <w:rPr>
          <w:lang w:val="sr-Latn-BA"/>
        </w:rPr>
        <w:t xml:space="preserve"> </w:t>
      </w:r>
      <w:r w:rsidRPr="001B53A8">
        <w:rPr>
          <w:lang w:val="sr-Latn-BA"/>
        </w:rPr>
        <w:t>i</w:t>
      </w:r>
      <w:r w:rsidR="004060D8" w:rsidRPr="001B53A8">
        <w:rPr>
          <w:lang w:val="sr-Latn-BA"/>
        </w:rPr>
        <w:t xml:space="preserve"> </w:t>
      </w:r>
      <w:r w:rsidRPr="001B53A8">
        <w:rPr>
          <w:lang w:val="sr-Latn-BA"/>
        </w:rPr>
        <w:t>poslјedično</w:t>
      </w:r>
      <w:r w:rsidR="004060D8" w:rsidRPr="001B53A8">
        <w:rPr>
          <w:lang w:val="sr-Latn-BA"/>
        </w:rPr>
        <w:t xml:space="preserve"> </w:t>
      </w:r>
      <w:r w:rsidRPr="001B53A8">
        <w:rPr>
          <w:lang w:val="sr-Latn-BA"/>
        </w:rPr>
        <w:t>delistiran</w:t>
      </w:r>
      <w:r w:rsidR="004060D8" w:rsidRPr="001B53A8">
        <w:rPr>
          <w:lang w:val="sr-Latn-BA"/>
        </w:rPr>
        <w:t xml:space="preserve"> </w:t>
      </w:r>
      <w:r w:rsidRPr="001B53A8">
        <w:rPr>
          <w:lang w:val="sr-Latn-BA"/>
        </w:rPr>
        <w:t>sa</w:t>
      </w:r>
      <w:r w:rsidR="004060D8" w:rsidRPr="001B53A8">
        <w:rPr>
          <w:lang w:val="sr-Latn-BA"/>
        </w:rPr>
        <w:t xml:space="preserve"> </w:t>
      </w:r>
      <w:r w:rsidRPr="001B53A8">
        <w:rPr>
          <w:lang w:val="sr-Latn-BA"/>
        </w:rPr>
        <w:t>trgovanja</w:t>
      </w:r>
      <w:r w:rsidR="004060D8" w:rsidRPr="001B53A8">
        <w:rPr>
          <w:lang w:val="sr-Latn-BA"/>
        </w:rPr>
        <w:t xml:space="preserve"> </w:t>
      </w:r>
      <w:r w:rsidRPr="001B53A8">
        <w:rPr>
          <w:lang w:val="sr-Latn-BA"/>
        </w:rPr>
        <w:t>na</w:t>
      </w:r>
      <w:r w:rsidR="004060D8" w:rsidRPr="001B53A8">
        <w:rPr>
          <w:lang w:val="sr-Latn-BA"/>
        </w:rPr>
        <w:t xml:space="preserve"> </w:t>
      </w:r>
      <w:r w:rsidRPr="001B53A8">
        <w:rPr>
          <w:lang w:val="sr-Latn-BA"/>
        </w:rPr>
        <w:t>Banjalučkoj</w:t>
      </w:r>
      <w:r w:rsidR="004060D8" w:rsidRPr="001B53A8">
        <w:rPr>
          <w:lang w:val="sr-Latn-BA"/>
        </w:rPr>
        <w:t xml:space="preserve"> </w:t>
      </w:r>
      <w:r w:rsidRPr="001B53A8">
        <w:rPr>
          <w:lang w:val="sr-Latn-BA"/>
        </w:rPr>
        <w:t>berzi</w:t>
      </w:r>
      <w:r w:rsidR="004060D8" w:rsidRPr="001B53A8">
        <w:rPr>
          <w:lang w:val="sr-Latn-BA"/>
        </w:rPr>
        <w:t xml:space="preserve">, </w:t>
      </w:r>
      <w:r w:rsidRPr="001B53A8">
        <w:rPr>
          <w:lang w:val="sr-Latn-BA"/>
        </w:rPr>
        <w:t>zbog</w:t>
      </w:r>
      <w:r w:rsidR="004060D8" w:rsidRPr="001B53A8">
        <w:rPr>
          <w:lang w:val="sr-Latn-BA"/>
        </w:rPr>
        <w:t xml:space="preserve"> </w:t>
      </w:r>
      <w:r w:rsidRPr="001B53A8">
        <w:rPr>
          <w:lang w:val="sr-Latn-BA"/>
        </w:rPr>
        <w:t>okončanja</w:t>
      </w:r>
      <w:r w:rsidR="004060D8" w:rsidRPr="001B53A8">
        <w:rPr>
          <w:lang w:val="sr-Latn-BA"/>
        </w:rPr>
        <w:t xml:space="preserve"> </w:t>
      </w:r>
      <w:r w:rsidRPr="001B53A8">
        <w:rPr>
          <w:lang w:val="sr-Latn-BA"/>
        </w:rPr>
        <w:t>postupka</w:t>
      </w:r>
      <w:r w:rsidR="004060D8" w:rsidRPr="001B53A8">
        <w:rPr>
          <w:lang w:val="sr-Latn-BA"/>
        </w:rPr>
        <w:t xml:space="preserve"> </w:t>
      </w:r>
      <w:r w:rsidRPr="001B53A8">
        <w:rPr>
          <w:lang w:val="sr-Latn-BA"/>
        </w:rPr>
        <w:t>stečaja</w:t>
      </w:r>
      <w:r w:rsidR="004060D8" w:rsidRPr="001B53A8">
        <w:rPr>
          <w:lang w:val="sr-Latn-BA"/>
        </w:rPr>
        <w:t xml:space="preserve"> </w:t>
      </w:r>
      <w:r w:rsidRPr="001B53A8">
        <w:rPr>
          <w:lang w:val="sr-Latn-BA"/>
        </w:rPr>
        <w:t>prestankom</w:t>
      </w:r>
      <w:r w:rsidR="0066171A" w:rsidRPr="001B53A8">
        <w:rPr>
          <w:lang w:val="sr-Latn-BA"/>
        </w:rPr>
        <w:t xml:space="preserve"> </w:t>
      </w:r>
      <w:r w:rsidRPr="001B53A8">
        <w:rPr>
          <w:lang w:val="sr-Latn-BA"/>
        </w:rPr>
        <w:t>rada</w:t>
      </w:r>
      <w:r w:rsidR="0066171A" w:rsidRPr="001B53A8">
        <w:rPr>
          <w:lang w:val="sr-Latn-BA"/>
        </w:rPr>
        <w:t xml:space="preserve"> </w:t>
      </w:r>
      <w:r w:rsidRPr="001B53A8">
        <w:rPr>
          <w:lang w:val="sr-Latn-BA"/>
        </w:rPr>
        <w:t>društva</w:t>
      </w:r>
      <w:r w:rsidR="0066171A" w:rsidRPr="001B53A8">
        <w:rPr>
          <w:lang w:val="sr-Latn-BA"/>
        </w:rPr>
        <w:t xml:space="preserve">, </w:t>
      </w:r>
      <w:r w:rsidRPr="001B53A8">
        <w:rPr>
          <w:lang w:val="sr-Latn-BA"/>
        </w:rPr>
        <w:t>likvidacije</w:t>
      </w:r>
      <w:r w:rsidR="004060D8" w:rsidRPr="001B53A8">
        <w:rPr>
          <w:lang w:val="sr-Latn-BA"/>
        </w:rPr>
        <w:t xml:space="preserve">, </w:t>
      </w:r>
      <w:r w:rsidRPr="001B53A8">
        <w:rPr>
          <w:lang w:val="sr-Latn-BA"/>
        </w:rPr>
        <w:t>po</w:t>
      </w:r>
      <w:r w:rsidR="004060D8" w:rsidRPr="001B53A8">
        <w:rPr>
          <w:lang w:val="sr-Latn-BA"/>
        </w:rPr>
        <w:t xml:space="preserve"> </w:t>
      </w:r>
      <w:r w:rsidRPr="001B53A8">
        <w:rPr>
          <w:lang w:val="sr-Latn-BA"/>
        </w:rPr>
        <w:t>osnovu</w:t>
      </w:r>
      <w:r w:rsidR="004060D8" w:rsidRPr="001B53A8">
        <w:rPr>
          <w:lang w:val="sr-Latn-BA"/>
        </w:rPr>
        <w:t xml:space="preserve"> </w:t>
      </w:r>
      <w:r w:rsidRPr="001B53A8">
        <w:rPr>
          <w:lang w:val="sr-Latn-BA"/>
        </w:rPr>
        <w:t>statusnih</w:t>
      </w:r>
      <w:r w:rsidR="004060D8" w:rsidRPr="001B53A8">
        <w:rPr>
          <w:lang w:val="sr-Latn-BA"/>
        </w:rPr>
        <w:t xml:space="preserve"> </w:t>
      </w:r>
      <w:r w:rsidRPr="001B53A8">
        <w:rPr>
          <w:lang w:val="sr-Latn-BA"/>
        </w:rPr>
        <w:t>promjena</w:t>
      </w:r>
      <w:r w:rsidR="004060D8" w:rsidRPr="001B53A8">
        <w:rPr>
          <w:lang w:val="sr-Latn-BA"/>
        </w:rPr>
        <w:t xml:space="preserve">, </w:t>
      </w:r>
      <w:r w:rsidRPr="001B53A8">
        <w:rPr>
          <w:lang w:val="sr-Latn-BA"/>
        </w:rPr>
        <w:t>te</w:t>
      </w:r>
      <w:r w:rsidR="004060D8" w:rsidRPr="001B53A8">
        <w:rPr>
          <w:lang w:val="sr-Latn-BA"/>
        </w:rPr>
        <w:t xml:space="preserve"> </w:t>
      </w:r>
      <w:r w:rsidRPr="001B53A8">
        <w:rPr>
          <w:lang w:val="sr-Latn-BA"/>
        </w:rPr>
        <w:t>promjene</w:t>
      </w:r>
      <w:r w:rsidR="004060D8" w:rsidRPr="001B53A8">
        <w:rPr>
          <w:lang w:val="sr-Latn-BA"/>
        </w:rPr>
        <w:t xml:space="preserve"> </w:t>
      </w:r>
      <w:r w:rsidRPr="001B53A8">
        <w:rPr>
          <w:lang w:val="sr-Latn-BA"/>
        </w:rPr>
        <w:t>pravne</w:t>
      </w:r>
      <w:r w:rsidR="004060D8" w:rsidRPr="001B53A8">
        <w:rPr>
          <w:lang w:val="sr-Latn-BA"/>
        </w:rPr>
        <w:t xml:space="preserve"> </w:t>
      </w:r>
      <w:r w:rsidRPr="001B53A8">
        <w:rPr>
          <w:lang w:val="sr-Latn-BA"/>
        </w:rPr>
        <w:t>forme</w:t>
      </w:r>
      <w:r w:rsidR="004060D8" w:rsidRPr="001B53A8">
        <w:rPr>
          <w:lang w:val="sr-Latn-BA"/>
        </w:rPr>
        <w:t xml:space="preserve"> </w:t>
      </w:r>
      <w:r w:rsidRPr="001B53A8">
        <w:rPr>
          <w:lang w:val="sr-Latn-BA"/>
        </w:rPr>
        <w:t>nakon</w:t>
      </w:r>
      <w:r w:rsidR="004060D8" w:rsidRPr="001B53A8">
        <w:rPr>
          <w:lang w:val="sr-Latn-BA"/>
        </w:rPr>
        <w:t xml:space="preserve"> </w:t>
      </w:r>
      <w:r w:rsidRPr="001B53A8">
        <w:rPr>
          <w:lang w:val="sr-Latn-BA"/>
        </w:rPr>
        <w:t>istiskivanja</w:t>
      </w:r>
      <w:r w:rsidR="004060D8" w:rsidRPr="001B53A8">
        <w:rPr>
          <w:lang w:val="sr-Latn-BA"/>
        </w:rPr>
        <w:t xml:space="preserve"> </w:t>
      </w:r>
      <w:r w:rsidRPr="001B53A8">
        <w:rPr>
          <w:lang w:val="sr-Latn-BA"/>
        </w:rPr>
        <w:t>manjinskih</w:t>
      </w:r>
      <w:r w:rsidR="004060D8" w:rsidRPr="001B53A8">
        <w:rPr>
          <w:lang w:val="sr-Latn-BA"/>
        </w:rPr>
        <w:t xml:space="preserve"> </w:t>
      </w:r>
      <w:r w:rsidRPr="001B53A8">
        <w:rPr>
          <w:lang w:val="sr-Latn-BA"/>
        </w:rPr>
        <w:t>akcionara</w:t>
      </w:r>
      <w:r w:rsidR="00694BC7" w:rsidRPr="001B53A8">
        <w:rPr>
          <w:lang w:val="sr-Latn-BA"/>
        </w:rPr>
        <w:t>.</w:t>
      </w:r>
    </w:p>
    <w:p w14:paraId="5AB1A4BC" w14:textId="6C09A1A0" w:rsidR="006C0A13" w:rsidRPr="001B53A8" w:rsidRDefault="006C0A13" w:rsidP="006B6E0C">
      <w:pPr>
        <w:spacing w:line="240" w:lineRule="auto"/>
        <w:ind w:firstLine="567"/>
        <w:rPr>
          <w:lang w:val="sr-Latn-BA"/>
        </w:rPr>
      </w:pPr>
    </w:p>
    <w:p w14:paraId="488A7574" w14:textId="02C8C693" w:rsidR="006C0A13" w:rsidRPr="001B53A8" w:rsidRDefault="006C0A13" w:rsidP="006B6E0C">
      <w:pPr>
        <w:spacing w:line="240" w:lineRule="auto"/>
        <w:ind w:firstLine="567"/>
        <w:rPr>
          <w:lang w:val="sr-Latn-BA"/>
        </w:rPr>
      </w:pPr>
    </w:p>
    <w:p w14:paraId="6B76AA4D" w14:textId="42702EF5" w:rsidR="006C0A13" w:rsidRPr="001B53A8" w:rsidRDefault="006C0A13" w:rsidP="006B6E0C">
      <w:pPr>
        <w:spacing w:line="240" w:lineRule="auto"/>
        <w:ind w:firstLine="567"/>
        <w:rPr>
          <w:lang w:val="sr-Latn-BA"/>
        </w:rPr>
      </w:pPr>
    </w:p>
    <w:p w14:paraId="64C63575" w14:textId="22FDBC25" w:rsidR="006C0A13" w:rsidRPr="001B53A8" w:rsidRDefault="006C0A13" w:rsidP="006B6E0C">
      <w:pPr>
        <w:spacing w:line="240" w:lineRule="auto"/>
        <w:ind w:firstLine="567"/>
        <w:rPr>
          <w:lang w:val="sr-Latn-BA"/>
        </w:rPr>
      </w:pPr>
    </w:p>
    <w:p w14:paraId="7B27ADD5" w14:textId="3C44AEC7" w:rsidR="006C0A13" w:rsidRPr="001B53A8" w:rsidRDefault="006C0A13" w:rsidP="006B6E0C">
      <w:pPr>
        <w:spacing w:line="240" w:lineRule="auto"/>
        <w:ind w:firstLine="567"/>
        <w:rPr>
          <w:lang w:val="sr-Latn-BA"/>
        </w:rPr>
      </w:pPr>
    </w:p>
    <w:p w14:paraId="31F1DF70" w14:textId="271588AE" w:rsidR="006C0A13" w:rsidRPr="001B53A8" w:rsidRDefault="006C0A13" w:rsidP="006B6E0C">
      <w:pPr>
        <w:spacing w:line="240" w:lineRule="auto"/>
        <w:ind w:firstLine="567"/>
        <w:rPr>
          <w:lang w:val="sr-Latn-BA"/>
        </w:rPr>
      </w:pPr>
    </w:p>
    <w:p w14:paraId="00294F82" w14:textId="77777777" w:rsidR="006C0A13" w:rsidRPr="001B53A8" w:rsidRDefault="006C0A13" w:rsidP="006B6E0C">
      <w:pPr>
        <w:spacing w:line="240" w:lineRule="auto"/>
        <w:ind w:firstLine="567"/>
        <w:rPr>
          <w:lang w:val="sr-Latn-BA"/>
        </w:rPr>
      </w:pPr>
    </w:p>
    <w:tbl>
      <w:tblPr>
        <w:tblStyle w:val="LightGrid-Accent11"/>
        <w:tblW w:w="0" w:type="auto"/>
        <w:jc w:val="center"/>
        <w:tblLook w:val="04E0" w:firstRow="1" w:lastRow="1" w:firstColumn="1" w:lastColumn="0" w:noHBand="0" w:noVBand="1"/>
      </w:tblPr>
      <w:tblGrid>
        <w:gridCol w:w="1085"/>
        <w:gridCol w:w="1681"/>
        <w:gridCol w:w="1595"/>
        <w:gridCol w:w="1665"/>
      </w:tblGrid>
      <w:tr w:rsidR="004060D8" w:rsidRPr="001B53A8" w14:paraId="39BA6457" w14:textId="77777777" w:rsidTr="0066171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vAlign w:val="center"/>
          </w:tcPr>
          <w:p w14:paraId="3DAA6C80" w14:textId="4CB9C08C" w:rsidR="004060D8" w:rsidRPr="001B53A8" w:rsidRDefault="00003F34" w:rsidP="008416FF">
            <w:pPr>
              <w:spacing w:after="0" w:line="240" w:lineRule="auto"/>
              <w:ind w:firstLine="0"/>
              <w:jc w:val="center"/>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lastRenderedPageBreak/>
              <w:t>Godina</w:t>
            </w:r>
          </w:p>
        </w:tc>
        <w:tc>
          <w:tcPr>
            <w:tcW w:w="1681" w:type="dxa"/>
            <w:vAlign w:val="center"/>
          </w:tcPr>
          <w:p w14:paraId="4E113342" w14:textId="2DC97B18" w:rsidR="004060D8" w:rsidRPr="001B53A8" w:rsidRDefault="00003F34" w:rsidP="0066171A">
            <w:pPr>
              <w:spacing w:after="4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Broj</w:t>
            </w:r>
            <w:r w:rsidR="004060D8" w:rsidRPr="001B53A8">
              <w:rPr>
                <w:rFonts w:ascii="Times New Roman" w:eastAsia="Calibri" w:hAnsi="Times New Roman" w:cs="Times New Roman"/>
                <w:sz w:val="20"/>
                <w:szCs w:val="20"/>
                <w:lang w:val="sr-Latn-BA"/>
              </w:rPr>
              <w:t xml:space="preserve"> </w:t>
            </w:r>
            <w:r w:rsidRPr="001B53A8">
              <w:rPr>
                <w:rFonts w:ascii="Times New Roman" w:eastAsia="Calibri" w:hAnsi="Times New Roman" w:cs="Times New Roman"/>
                <w:sz w:val="20"/>
                <w:szCs w:val="20"/>
                <w:lang w:val="sr-Latn-BA"/>
              </w:rPr>
              <w:t>upisanih</w:t>
            </w:r>
            <w:r w:rsidR="004060D8" w:rsidRPr="001B53A8">
              <w:rPr>
                <w:rFonts w:ascii="Times New Roman" w:eastAsia="Calibri" w:hAnsi="Times New Roman" w:cs="Times New Roman"/>
                <w:sz w:val="20"/>
                <w:szCs w:val="20"/>
                <w:lang w:val="sr-Latn-BA"/>
              </w:rPr>
              <w:t xml:space="preserve"> </w:t>
            </w:r>
            <w:r w:rsidRPr="001B53A8">
              <w:rPr>
                <w:rFonts w:ascii="Times New Roman" w:eastAsia="Calibri" w:hAnsi="Times New Roman" w:cs="Times New Roman"/>
                <w:sz w:val="20"/>
                <w:szCs w:val="20"/>
                <w:lang w:val="sr-Latn-BA"/>
              </w:rPr>
              <w:t>emitenata</w:t>
            </w:r>
          </w:p>
        </w:tc>
        <w:tc>
          <w:tcPr>
            <w:tcW w:w="1595" w:type="dxa"/>
            <w:vAlign w:val="center"/>
          </w:tcPr>
          <w:p w14:paraId="04E8383B" w14:textId="1DBA5FD7" w:rsidR="004060D8" w:rsidRPr="001B53A8" w:rsidRDefault="00003F34" w:rsidP="0066171A">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Broj</w:t>
            </w:r>
            <w:r w:rsidR="004060D8" w:rsidRPr="001B53A8">
              <w:rPr>
                <w:rFonts w:ascii="Times New Roman" w:eastAsia="Calibri" w:hAnsi="Times New Roman" w:cs="Times New Roman"/>
                <w:sz w:val="20"/>
                <w:szCs w:val="20"/>
                <w:lang w:val="sr-Latn-BA"/>
              </w:rPr>
              <w:t xml:space="preserve"> </w:t>
            </w:r>
            <w:r w:rsidRPr="001B53A8">
              <w:rPr>
                <w:rFonts w:ascii="Times New Roman" w:eastAsia="Calibri" w:hAnsi="Times New Roman" w:cs="Times New Roman"/>
                <w:sz w:val="20"/>
                <w:szCs w:val="20"/>
                <w:lang w:val="sr-Latn-BA"/>
              </w:rPr>
              <w:t>promjena</w:t>
            </w:r>
            <w:r w:rsidR="004060D8" w:rsidRPr="001B53A8">
              <w:rPr>
                <w:rFonts w:ascii="Times New Roman" w:eastAsia="Calibri" w:hAnsi="Times New Roman" w:cs="Times New Roman"/>
                <w:sz w:val="20"/>
                <w:szCs w:val="20"/>
                <w:lang w:val="sr-Latn-BA"/>
              </w:rPr>
              <w:t xml:space="preserve"> </w:t>
            </w:r>
            <w:r w:rsidRPr="001B53A8">
              <w:rPr>
                <w:rFonts w:ascii="Times New Roman" w:eastAsia="Calibri" w:hAnsi="Times New Roman" w:cs="Times New Roman"/>
                <w:sz w:val="20"/>
                <w:szCs w:val="20"/>
                <w:lang w:val="sr-Latn-BA"/>
              </w:rPr>
              <w:t>podataka</w:t>
            </w:r>
          </w:p>
        </w:tc>
        <w:tc>
          <w:tcPr>
            <w:tcW w:w="1665" w:type="dxa"/>
            <w:vAlign w:val="center"/>
          </w:tcPr>
          <w:p w14:paraId="5BC1ED53" w14:textId="59027CE1" w:rsidR="004060D8" w:rsidRPr="001B53A8" w:rsidRDefault="00003F34" w:rsidP="0066171A">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Broj</w:t>
            </w:r>
            <w:r w:rsidR="004060D8" w:rsidRPr="001B53A8">
              <w:rPr>
                <w:rFonts w:ascii="Times New Roman" w:eastAsia="Calibri" w:hAnsi="Times New Roman" w:cs="Times New Roman"/>
                <w:sz w:val="20"/>
                <w:szCs w:val="20"/>
                <w:lang w:val="sr-Latn-BA"/>
              </w:rPr>
              <w:t xml:space="preserve"> </w:t>
            </w:r>
            <w:r w:rsidRPr="001B53A8">
              <w:rPr>
                <w:rFonts w:ascii="Times New Roman" w:eastAsia="Calibri" w:hAnsi="Times New Roman" w:cs="Times New Roman"/>
                <w:sz w:val="20"/>
                <w:szCs w:val="20"/>
                <w:lang w:val="sr-Latn-BA"/>
              </w:rPr>
              <w:t>brisanih</w:t>
            </w:r>
            <w:r w:rsidR="004060D8" w:rsidRPr="001B53A8">
              <w:rPr>
                <w:rFonts w:ascii="Times New Roman" w:eastAsia="Calibri" w:hAnsi="Times New Roman" w:cs="Times New Roman"/>
                <w:sz w:val="20"/>
                <w:szCs w:val="20"/>
                <w:lang w:val="sr-Latn-BA"/>
              </w:rPr>
              <w:t xml:space="preserve"> </w:t>
            </w:r>
            <w:r w:rsidRPr="001B53A8">
              <w:rPr>
                <w:rFonts w:ascii="Times New Roman" w:eastAsia="Calibri" w:hAnsi="Times New Roman" w:cs="Times New Roman"/>
                <w:sz w:val="20"/>
                <w:szCs w:val="20"/>
                <w:lang w:val="sr-Latn-BA"/>
              </w:rPr>
              <w:t>emitenata</w:t>
            </w:r>
          </w:p>
        </w:tc>
      </w:tr>
      <w:tr w:rsidR="005B21B1" w:rsidRPr="001B53A8" w14:paraId="01B1AD25" w14:textId="77777777" w:rsidTr="000F3F6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tcPr>
          <w:p w14:paraId="560F0E2C" w14:textId="41F17216" w:rsidR="005B21B1" w:rsidRPr="001B53A8" w:rsidRDefault="005B21B1" w:rsidP="005B21B1">
            <w:pPr>
              <w:spacing w:after="0" w:line="240" w:lineRule="auto"/>
              <w:ind w:firstLine="0"/>
              <w:jc w:val="center"/>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2018.</w:t>
            </w:r>
          </w:p>
        </w:tc>
        <w:tc>
          <w:tcPr>
            <w:tcW w:w="1681" w:type="dxa"/>
          </w:tcPr>
          <w:p w14:paraId="1A9F947D" w14:textId="66B29E4A" w:rsidR="005B21B1" w:rsidRPr="001B53A8" w:rsidRDefault="005B21B1" w:rsidP="005B21B1">
            <w:pPr>
              <w:tabs>
                <w:tab w:val="decimal" w:pos="829"/>
              </w:tabs>
              <w:spacing w:after="0" w:line="240" w:lineRule="auto"/>
              <w:ind w:right="38" w:firstLine="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5</w:t>
            </w:r>
          </w:p>
        </w:tc>
        <w:tc>
          <w:tcPr>
            <w:tcW w:w="1595" w:type="dxa"/>
          </w:tcPr>
          <w:p w14:paraId="77104577" w14:textId="6D6F7717" w:rsidR="005B21B1" w:rsidRPr="001B53A8" w:rsidRDefault="005B21B1" w:rsidP="005B21B1">
            <w:pPr>
              <w:tabs>
                <w:tab w:val="decimal" w:pos="900"/>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130</w:t>
            </w:r>
          </w:p>
        </w:tc>
        <w:tc>
          <w:tcPr>
            <w:tcW w:w="1665" w:type="dxa"/>
          </w:tcPr>
          <w:p w14:paraId="4645E010" w14:textId="68389102" w:rsidR="005B21B1" w:rsidRPr="001B53A8" w:rsidRDefault="005B21B1" w:rsidP="005B21B1">
            <w:pPr>
              <w:tabs>
                <w:tab w:val="decimal" w:pos="884"/>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26</w:t>
            </w:r>
          </w:p>
        </w:tc>
      </w:tr>
      <w:tr w:rsidR="005B21B1" w:rsidRPr="001B53A8" w14:paraId="70E56E33" w14:textId="77777777" w:rsidTr="000F3F6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tcPr>
          <w:p w14:paraId="184C0410" w14:textId="5D1FEA0B" w:rsidR="005B21B1" w:rsidRPr="001B53A8" w:rsidRDefault="005B21B1" w:rsidP="005B21B1">
            <w:pPr>
              <w:spacing w:after="0" w:line="240" w:lineRule="auto"/>
              <w:ind w:firstLine="0"/>
              <w:jc w:val="center"/>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2019.</w:t>
            </w:r>
          </w:p>
        </w:tc>
        <w:tc>
          <w:tcPr>
            <w:tcW w:w="1681" w:type="dxa"/>
          </w:tcPr>
          <w:p w14:paraId="3744A651" w14:textId="2C628C8D" w:rsidR="005B21B1" w:rsidRPr="001B53A8" w:rsidRDefault="005B21B1" w:rsidP="005B21B1">
            <w:pPr>
              <w:tabs>
                <w:tab w:val="decimal" w:pos="829"/>
              </w:tabs>
              <w:spacing w:after="0" w:line="240" w:lineRule="auto"/>
              <w:ind w:right="38" w:firstLine="0"/>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7</w:t>
            </w:r>
          </w:p>
        </w:tc>
        <w:tc>
          <w:tcPr>
            <w:tcW w:w="1595" w:type="dxa"/>
          </w:tcPr>
          <w:p w14:paraId="5FAD4D5C" w14:textId="5BB6CDEB" w:rsidR="005B21B1" w:rsidRPr="001B53A8" w:rsidRDefault="005B21B1" w:rsidP="005B21B1">
            <w:pPr>
              <w:tabs>
                <w:tab w:val="decimal" w:pos="900"/>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93</w:t>
            </w:r>
          </w:p>
        </w:tc>
        <w:tc>
          <w:tcPr>
            <w:tcW w:w="1665" w:type="dxa"/>
          </w:tcPr>
          <w:p w14:paraId="167DBDC2" w14:textId="0F06A244" w:rsidR="005B21B1" w:rsidRPr="001B53A8" w:rsidRDefault="005B21B1" w:rsidP="005B21B1">
            <w:pPr>
              <w:tabs>
                <w:tab w:val="decimal" w:pos="884"/>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23</w:t>
            </w:r>
          </w:p>
        </w:tc>
      </w:tr>
      <w:tr w:rsidR="005B21B1" w:rsidRPr="001B53A8" w14:paraId="0E628561" w14:textId="77777777" w:rsidTr="000F3F6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tcPr>
          <w:p w14:paraId="1FAF268E" w14:textId="0C8BC1C7" w:rsidR="005B21B1" w:rsidRPr="001B53A8" w:rsidRDefault="005B21B1" w:rsidP="005B21B1">
            <w:pPr>
              <w:spacing w:after="0" w:line="240" w:lineRule="auto"/>
              <w:ind w:firstLine="0"/>
              <w:jc w:val="center"/>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2020.</w:t>
            </w:r>
          </w:p>
        </w:tc>
        <w:tc>
          <w:tcPr>
            <w:tcW w:w="1681" w:type="dxa"/>
          </w:tcPr>
          <w:p w14:paraId="1D66EB3B" w14:textId="6895B62C" w:rsidR="005B21B1" w:rsidRPr="001B53A8" w:rsidRDefault="005B21B1" w:rsidP="005B21B1">
            <w:pPr>
              <w:tabs>
                <w:tab w:val="decimal" w:pos="829"/>
              </w:tabs>
              <w:spacing w:after="0" w:line="240" w:lineRule="auto"/>
              <w:ind w:right="38" w:firstLine="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7</w:t>
            </w:r>
          </w:p>
        </w:tc>
        <w:tc>
          <w:tcPr>
            <w:tcW w:w="1595" w:type="dxa"/>
          </w:tcPr>
          <w:p w14:paraId="105B0184" w14:textId="527AAFBE" w:rsidR="005B21B1" w:rsidRPr="001B53A8" w:rsidRDefault="005B21B1" w:rsidP="005B21B1">
            <w:pPr>
              <w:tabs>
                <w:tab w:val="decimal" w:pos="900"/>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91</w:t>
            </w:r>
          </w:p>
        </w:tc>
        <w:tc>
          <w:tcPr>
            <w:tcW w:w="1665" w:type="dxa"/>
          </w:tcPr>
          <w:p w14:paraId="0E55D895" w14:textId="47B4EC3B" w:rsidR="005B21B1" w:rsidRPr="001B53A8" w:rsidRDefault="005B21B1" w:rsidP="005B21B1">
            <w:pPr>
              <w:tabs>
                <w:tab w:val="decimal" w:pos="884"/>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16</w:t>
            </w:r>
          </w:p>
        </w:tc>
      </w:tr>
      <w:tr w:rsidR="005B21B1" w:rsidRPr="001B53A8" w14:paraId="69183FD4" w14:textId="77777777" w:rsidTr="000F3F6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tcPr>
          <w:p w14:paraId="2CC1999B" w14:textId="02D775F8" w:rsidR="005B21B1" w:rsidRPr="001B53A8" w:rsidRDefault="005B21B1" w:rsidP="005B21B1">
            <w:pPr>
              <w:spacing w:after="0" w:line="240" w:lineRule="auto"/>
              <w:ind w:firstLine="0"/>
              <w:jc w:val="center"/>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2021.</w:t>
            </w:r>
          </w:p>
        </w:tc>
        <w:tc>
          <w:tcPr>
            <w:tcW w:w="1681" w:type="dxa"/>
          </w:tcPr>
          <w:p w14:paraId="1A2EAB8C" w14:textId="1ED5591A" w:rsidR="005B21B1" w:rsidRPr="001B53A8" w:rsidRDefault="005B21B1" w:rsidP="005B21B1">
            <w:pPr>
              <w:tabs>
                <w:tab w:val="decimal" w:pos="829"/>
              </w:tabs>
              <w:spacing w:after="0" w:line="240" w:lineRule="auto"/>
              <w:ind w:right="38" w:firstLine="0"/>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10</w:t>
            </w:r>
          </w:p>
        </w:tc>
        <w:tc>
          <w:tcPr>
            <w:tcW w:w="1595" w:type="dxa"/>
          </w:tcPr>
          <w:p w14:paraId="0B77E457" w14:textId="79C80227" w:rsidR="005B21B1" w:rsidRPr="001B53A8" w:rsidRDefault="005B21B1" w:rsidP="005B21B1">
            <w:pPr>
              <w:tabs>
                <w:tab w:val="decimal" w:pos="900"/>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183</w:t>
            </w:r>
          </w:p>
        </w:tc>
        <w:tc>
          <w:tcPr>
            <w:tcW w:w="1665" w:type="dxa"/>
          </w:tcPr>
          <w:p w14:paraId="117FA637" w14:textId="09077C7F" w:rsidR="005B21B1" w:rsidRPr="001B53A8" w:rsidRDefault="005B21B1" w:rsidP="005B21B1">
            <w:pPr>
              <w:tabs>
                <w:tab w:val="decimal" w:pos="884"/>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30</w:t>
            </w:r>
          </w:p>
        </w:tc>
      </w:tr>
      <w:tr w:rsidR="005B21B1" w:rsidRPr="001B53A8" w14:paraId="7A071536" w14:textId="77777777" w:rsidTr="000F3F68">
        <w:trPr>
          <w:cnfStyle w:val="000000100000" w:firstRow="0" w:lastRow="0" w:firstColumn="0" w:lastColumn="0" w:oddVBand="0" w:evenVBand="0" w:oddHBand="1" w:evenHBand="0" w:firstRowFirstColumn="0" w:firstRowLastColumn="0" w:lastRowFirstColumn="0" w:lastRowLastColumn="0"/>
          <w:trHeight w:val="92"/>
          <w:jc w:val="center"/>
        </w:trPr>
        <w:tc>
          <w:tcPr>
            <w:cnfStyle w:val="001000000000" w:firstRow="0" w:lastRow="0" w:firstColumn="1" w:lastColumn="0" w:oddVBand="0" w:evenVBand="0" w:oddHBand="0" w:evenHBand="0" w:firstRowFirstColumn="0" w:firstRowLastColumn="0" w:lastRowFirstColumn="0" w:lastRowLastColumn="0"/>
            <w:tcW w:w="1085" w:type="dxa"/>
          </w:tcPr>
          <w:p w14:paraId="307869B4" w14:textId="7F3FBE05" w:rsidR="005B21B1" w:rsidRPr="001B53A8" w:rsidRDefault="005B21B1" w:rsidP="005B21B1">
            <w:pPr>
              <w:spacing w:after="0" w:line="240" w:lineRule="auto"/>
              <w:ind w:firstLine="0"/>
              <w:jc w:val="center"/>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2022.</w:t>
            </w:r>
          </w:p>
        </w:tc>
        <w:tc>
          <w:tcPr>
            <w:tcW w:w="1681" w:type="dxa"/>
          </w:tcPr>
          <w:p w14:paraId="167BE99F" w14:textId="4B69B443" w:rsidR="005B21B1" w:rsidRPr="001B53A8" w:rsidRDefault="005B21B1" w:rsidP="00CF6BE6">
            <w:pPr>
              <w:tabs>
                <w:tab w:val="decimal" w:pos="829"/>
              </w:tabs>
              <w:spacing w:after="0" w:line="240" w:lineRule="auto"/>
              <w:ind w:right="38" w:firstLine="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8</w:t>
            </w:r>
          </w:p>
        </w:tc>
        <w:tc>
          <w:tcPr>
            <w:tcW w:w="1595" w:type="dxa"/>
          </w:tcPr>
          <w:p w14:paraId="2ABE3A53" w14:textId="31353E4A" w:rsidR="005B21B1" w:rsidRPr="001B53A8" w:rsidRDefault="005B21B1" w:rsidP="005B21B1">
            <w:pPr>
              <w:tabs>
                <w:tab w:val="decimal" w:pos="900"/>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173</w:t>
            </w:r>
          </w:p>
        </w:tc>
        <w:tc>
          <w:tcPr>
            <w:tcW w:w="1665" w:type="dxa"/>
          </w:tcPr>
          <w:p w14:paraId="5ED05984" w14:textId="62A36F74" w:rsidR="005B21B1" w:rsidRPr="001B53A8" w:rsidRDefault="005B21B1" w:rsidP="005B21B1">
            <w:pPr>
              <w:tabs>
                <w:tab w:val="decimal" w:pos="884"/>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34</w:t>
            </w:r>
          </w:p>
        </w:tc>
      </w:tr>
      <w:tr w:rsidR="005B21B1" w:rsidRPr="001B53A8" w14:paraId="50780449" w14:textId="77777777" w:rsidTr="000F3F6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tcPr>
          <w:p w14:paraId="3BAA1991" w14:textId="75DF6059" w:rsidR="005B21B1" w:rsidRPr="001B53A8" w:rsidRDefault="005B21B1" w:rsidP="005B21B1">
            <w:pPr>
              <w:spacing w:after="0" w:line="240" w:lineRule="auto"/>
              <w:ind w:firstLine="0"/>
              <w:jc w:val="center"/>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2023.</w:t>
            </w:r>
          </w:p>
        </w:tc>
        <w:tc>
          <w:tcPr>
            <w:tcW w:w="1681" w:type="dxa"/>
          </w:tcPr>
          <w:p w14:paraId="07A3A6F9" w14:textId="188C9EFC" w:rsidR="005B21B1" w:rsidRPr="001B53A8" w:rsidRDefault="005B21B1" w:rsidP="005B21B1">
            <w:pPr>
              <w:tabs>
                <w:tab w:val="decimal" w:pos="829"/>
              </w:tabs>
              <w:spacing w:after="0" w:line="240" w:lineRule="auto"/>
              <w:ind w:right="38" w:firstLine="0"/>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2</w:t>
            </w:r>
          </w:p>
        </w:tc>
        <w:tc>
          <w:tcPr>
            <w:tcW w:w="1595" w:type="dxa"/>
          </w:tcPr>
          <w:p w14:paraId="2C494306" w14:textId="058BF4F0" w:rsidR="005B21B1" w:rsidRPr="001B53A8" w:rsidRDefault="005B21B1" w:rsidP="005B21B1">
            <w:pPr>
              <w:tabs>
                <w:tab w:val="decimal" w:pos="900"/>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106</w:t>
            </w:r>
          </w:p>
        </w:tc>
        <w:tc>
          <w:tcPr>
            <w:tcW w:w="1665" w:type="dxa"/>
          </w:tcPr>
          <w:p w14:paraId="119D093C" w14:textId="71D401DF" w:rsidR="005B21B1" w:rsidRPr="001B53A8" w:rsidRDefault="005B21B1" w:rsidP="005B21B1">
            <w:pPr>
              <w:tabs>
                <w:tab w:val="decimal" w:pos="884"/>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11</w:t>
            </w:r>
          </w:p>
        </w:tc>
      </w:tr>
      <w:tr w:rsidR="005B21B1" w:rsidRPr="001B53A8" w14:paraId="289E4484" w14:textId="77777777" w:rsidTr="0066171A">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vAlign w:val="center"/>
          </w:tcPr>
          <w:p w14:paraId="21CE24F1" w14:textId="6502EA79" w:rsidR="005B21B1" w:rsidRPr="001B53A8" w:rsidRDefault="00003F34" w:rsidP="005B21B1">
            <w:pPr>
              <w:spacing w:after="0" w:line="240" w:lineRule="auto"/>
              <w:ind w:firstLine="0"/>
              <w:jc w:val="center"/>
              <w:rPr>
                <w:rFonts w:ascii="Times New Roman" w:eastAsia="Calibri" w:hAnsi="Times New Roman" w:cs="Times New Roman"/>
                <w:sz w:val="20"/>
                <w:szCs w:val="20"/>
                <w:lang w:val="sr-Latn-BA"/>
              </w:rPr>
            </w:pPr>
            <w:r w:rsidRPr="001B53A8">
              <w:rPr>
                <w:rFonts w:ascii="Times New Roman" w:eastAsia="Calibri" w:hAnsi="Times New Roman" w:cs="Times New Roman"/>
                <w:sz w:val="20"/>
                <w:szCs w:val="20"/>
                <w:lang w:val="sr-Latn-BA"/>
              </w:rPr>
              <w:t>Ukupno</w:t>
            </w:r>
          </w:p>
        </w:tc>
        <w:tc>
          <w:tcPr>
            <w:tcW w:w="1681" w:type="dxa"/>
            <w:vAlign w:val="center"/>
          </w:tcPr>
          <w:p w14:paraId="7C6BE7F2" w14:textId="6F8E5BFC" w:rsidR="005B21B1" w:rsidRPr="001B53A8" w:rsidRDefault="005B21B1" w:rsidP="005B21B1">
            <w:pPr>
              <w:tabs>
                <w:tab w:val="decimal" w:pos="829"/>
              </w:tabs>
              <w:spacing w:after="0" w:line="240" w:lineRule="auto"/>
              <w:ind w:right="38" w:firstLine="0"/>
              <w:jc w:val="left"/>
              <w:cnfStyle w:val="010000000000" w:firstRow="0" w:lastRow="1"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sr-Latn-BA"/>
              </w:rPr>
            </w:pPr>
            <w:r w:rsidRPr="001B53A8">
              <w:rPr>
                <w:rFonts w:eastAsia="Calibri"/>
                <w:sz w:val="20"/>
                <w:szCs w:val="20"/>
                <w:lang w:val="sr-Latn-BA"/>
              </w:rPr>
              <w:fldChar w:fldCharType="begin"/>
            </w:r>
            <w:r w:rsidRPr="001B53A8">
              <w:rPr>
                <w:rFonts w:ascii="Times New Roman" w:eastAsia="Calibri" w:hAnsi="Times New Roman" w:cs="Times New Roman"/>
                <w:sz w:val="20"/>
                <w:szCs w:val="20"/>
                <w:lang w:val="sr-Latn-BA"/>
              </w:rPr>
              <w:instrText xml:space="preserve"> =SUM(ABOVE) </w:instrText>
            </w:r>
            <w:r w:rsidRPr="001B53A8">
              <w:rPr>
                <w:rFonts w:eastAsia="Calibri"/>
                <w:sz w:val="20"/>
                <w:szCs w:val="20"/>
                <w:lang w:val="sr-Latn-BA"/>
              </w:rPr>
              <w:fldChar w:fldCharType="separate"/>
            </w:r>
            <w:r w:rsidRPr="001B53A8">
              <w:rPr>
                <w:rFonts w:ascii="Times New Roman" w:eastAsia="Calibri" w:hAnsi="Times New Roman" w:cs="Times New Roman"/>
                <w:noProof/>
                <w:sz w:val="20"/>
                <w:szCs w:val="20"/>
                <w:lang w:val="sr-Latn-BA"/>
              </w:rPr>
              <w:t>37</w:t>
            </w:r>
            <w:r w:rsidRPr="001B53A8">
              <w:rPr>
                <w:rFonts w:eastAsia="Calibri"/>
                <w:sz w:val="20"/>
                <w:szCs w:val="20"/>
                <w:lang w:val="sr-Latn-BA"/>
              </w:rPr>
              <w:fldChar w:fldCharType="end"/>
            </w:r>
          </w:p>
        </w:tc>
        <w:tc>
          <w:tcPr>
            <w:tcW w:w="1595" w:type="dxa"/>
            <w:vAlign w:val="center"/>
          </w:tcPr>
          <w:p w14:paraId="52AE2A2C" w14:textId="00BE0679" w:rsidR="005B21B1" w:rsidRPr="001B53A8" w:rsidRDefault="005B21B1" w:rsidP="005B21B1">
            <w:pPr>
              <w:tabs>
                <w:tab w:val="decimal" w:pos="900"/>
              </w:tabs>
              <w:spacing w:after="0" w:line="240" w:lineRule="auto"/>
              <w:ind w:firstLine="0"/>
              <w:jc w:val="left"/>
              <w:cnfStyle w:val="010000000000" w:firstRow="0" w:lastRow="1"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sr-Latn-BA"/>
              </w:rPr>
            </w:pPr>
            <w:r w:rsidRPr="001B53A8">
              <w:rPr>
                <w:rFonts w:eastAsia="Calibri"/>
                <w:sz w:val="20"/>
                <w:szCs w:val="20"/>
                <w:lang w:val="sr-Latn-BA"/>
              </w:rPr>
              <w:fldChar w:fldCharType="begin"/>
            </w:r>
            <w:r w:rsidRPr="001B53A8">
              <w:rPr>
                <w:rFonts w:ascii="Times New Roman" w:eastAsia="Calibri" w:hAnsi="Times New Roman" w:cs="Times New Roman"/>
                <w:sz w:val="20"/>
                <w:szCs w:val="20"/>
                <w:lang w:val="sr-Latn-BA"/>
              </w:rPr>
              <w:instrText xml:space="preserve"> =SUM(ABOVE) </w:instrText>
            </w:r>
            <w:r w:rsidRPr="001B53A8">
              <w:rPr>
                <w:rFonts w:eastAsia="Calibri"/>
                <w:sz w:val="20"/>
                <w:szCs w:val="20"/>
                <w:lang w:val="sr-Latn-BA"/>
              </w:rPr>
              <w:fldChar w:fldCharType="separate"/>
            </w:r>
            <w:r w:rsidRPr="001B53A8">
              <w:rPr>
                <w:rFonts w:ascii="Times New Roman" w:eastAsia="Calibri" w:hAnsi="Times New Roman" w:cs="Times New Roman"/>
                <w:noProof/>
                <w:sz w:val="20"/>
                <w:szCs w:val="20"/>
                <w:lang w:val="sr-Latn-BA"/>
              </w:rPr>
              <w:t>776</w:t>
            </w:r>
            <w:r w:rsidRPr="001B53A8">
              <w:rPr>
                <w:rFonts w:eastAsia="Calibri"/>
                <w:sz w:val="20"/>
                <w:szCs w:val="20"/>
                <w:lang w:val="sr-Latn-BA"/>
              </w:rPr>
              <w:fldChar w:fldCharType="end"/>
            </w:r>
          </w:p>
        </w:tc>
        <w:tc>
          <w:tcPr>
            <w:tcW w:w="1665" w:type="dxa"/>
            <w:vAlign w:val="center"/>
          </w:tcPr>
          <w:p w14:paraId="7E94AC2D" w14:textId="64F6AF52" w:rsidR="005B21B1" w:rsidRPr="001B53A8" w:rsidRDefault="005B21B1" w:rsidP="005B21B1">
            <w:pPr>
              <w:tabs>
                <w:tab w:val="decimal" w:pos="884"/>
              </w:tabs>
              <w:spacing w:after="0" w:line="240" w:lineRule="auto"/>
              <w:ind w:firstLine="0"/>
              <w:jc w:val="left"/>
              <w:cnfStyle w:val="010000000000" w:firstRow="0" w:lastRow="1"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sr-Latn-BA"/>
              </w:rPr>
            </w:pPr>
            <w:r w:rsidRPr="001B53A8">
              <w:rPr>
                <w:rFonts w:eastAsia="Calibri"/>
                <w:sz w:val="20"/>
                <w:szCs w:val="20"/>
                <w:lang w:val="sr-Latn-BA"/>
              </w:rPr>
              <w:fldChar w:fldCharType="begin"/>
            </w:r>
            <w:r w:rsidRPr="001B53A8">
              <w:rPr>
                <w:rFonts w:ascii="Times New Roman" w:eastAsia="Calibri" w:hAnsi="Times New Roman" w:cs="Times New Roman"/>
                <w:sz w:val="20"/>
                <w:szCs w:val="20"/>
                <w:lang w:val="sr-Latn-BA"/>
              </w:rPr>
              <w:instrText xml:space="preserve"> =SUM(ABOVE) </w:instrText>
            </w:r>
            <w:r w:rsidRPr="001B53A8">
              <w:rPr>
                <w:rFonts w:eastAsia="Calibri"/>
                <w:sz w:val="20"/>
                <w:szCs w:val="20"/>
                <w:lang w:val="sr-Latn-BA"/>
              </w:rPr>
              <w:fldChar w:fldCharType="separate"/>
            </w:r>
            <w:r w:rsidRPr="001B53A8">
              <w:rPr>
                <w:rFonts w:ascii="Times New Roman" w:eastAsia="Calibri" w:hAnsi="Times New Roman" w:cs="Times New Roman"/>
                <w:noProof/>
                <w:sz w:val="20"/>
                <w:szCs w:val="20"/>
                <w:lang w:val="sr-Latn-BA"/>
              </w:rPr>
              <w:t>140</w:t>
            </w:r>
            <w:r w:rsidRPr="001B53A8">
              <w:rPr>
                <w:rFonts w:eastAsia="Calibri"/>
                <w:sz w:val="20"/>
                <w:szCs w:val="20"/>
                <w:lang w:val="sr-Latn-BA"/>
              </w:rPr>
              <w:fldChar w:fldCharType="end"/>
            </w:r>
          </w:p>
        </w:tc>
      </w:tr>
    </w:tbl>
    <w:p w14:paraId="6F22DC76" w14:textId="0AF2019C" w:rsidR="00523120" w:rsidRPr="001B53A8" w:rsidRDefault="00003F34" w:rsidP="006B6E0C">
      <w:pPr>
        <w:pStyle w:val="Caption"/>
        <w:tabs>
          <w:tab w:val="left" w:pos="1276"/>
        </w:tabs>
        <w:spacing w:after="0"/>
        <w:ind w:left="1276" w:hanging="1276"/>
        <w:jc w:val="both"/>
        <w:rPr>
          <w:rFonts w:ascii="Times New Roman" w:hAnsi="Times New Roman"/>
          <w:b w:val="0"/>
          <w:sz w:val="24"/>
          <w:szCs w:val="24"/>
          <w:lang w:val="sr-Latn-BA"/>
        </w:rPr>
      </w:pPr>
      <w:r w:rsidRPr="001B53A8">
        <w:rPr>
          <w:rFonts w:ascii="Times New Roman" w:hAnsi="Times New Roman"/>
          <w:sz w:val="24"/>
          <w:szCs w:val="24"/>
          <w:lang w:val="sr-Latn-BA"/>
        </w:rPr>
        <w:t>Tabela</w:t>
      </w:r>
      <w:r w:rsidR="004957BF" w:rsidRPr="001B53A8">
        <w:rPr>
          <w:rFonts w:ascii="Times New Roman" w:hAnsi="Times New Roman"/>
          <w:sz w:val="24"/>
          <w:szCs w:val="24"/>
          <w:lang w:val="sr-Latn-BA"/>
        </w:rPr>
        <w:t xml:space="preserve"> </w:t>
      </w:r>
      <w:r w:rsidR="00D3478F" w:rsidRPr="001B53A8">
        <w:rPr>
          <w:rFonts w:ascii="Times New Roman" w:hAnsi="Times New Roman"/>
          <w:sz w:val="24"/>
          <w:szCs w:val="24"/>
          <w:lang w:val="sr-Latn-BA"/>
        </w:rPr>
        <w:fldChar w:fldCharType="begin"/>
      </w:r>
      <w:r w:rsidR="004957BF" w:rsidRPr="001B53A8">
        <w:rPr>
          <w:rFonts w:ascii="Times New Roman" w:hAnsi="Times New Roman"/>
          <w:sz w:val="24"/>
          <w:szCs w:val="24"/>
          <w:lang w:val="sr-Latn-BA"/>
        </w:rPr>
        <w:instrText xml:space="preserve"> SEQ Табела \* ARABIC </w:instrText>
      </w:r>
      <w:r w:rsidR="00D3478F" w:rsidRPr="001B53A8">
        <w:rPr>
          <w:rFonts w:ascii="Times New Roman" w:hAnsi="Times New Roman"/>
          <w:sz w:val="24"/>
          <w:szCs w:val="24"/>
          <w:lang w:val="sr-Latn-BA"/>
        </w:rPr>
        <w:fldChar w:fldCharType="separate"/>
      </w:r>
      <w:r w:rsidR="00E00890" w:rsidRPr="001B53A8">
        <w:rPr>
          <w:rFonts w:ascii="Times New Roman" w:hAnsi="Times New Roman"/>
          <w:noProof/>
          <w:sz w:val="24"/>
          <w:szCs w:val="24"/>
          <w:lang w:val="sr-Latn-BA"/>
        </w:rPr>
        <w:t>4</w:t>
      </w:r>
      <w:r w:rsidR="00D3478F" w:rsidRPr="001B53A8">
        <w:rPr>
          <w:rFonts w:ascii="Times New Roman" w:hAnsi="Times New Roman"/>
          <w:sz w:val="24"/>
          <w:szCs w:val="24"/>
          <w:lang w:val="sr-Latn-BA"/>
        </w:rPr>
        <w:fldChar w:fldCharType="end"/>
      </w:r>
      <w:r w:rsidR="004957BF" w:rsidRPr="001B53A8">
        <w:rPr>
          <w:rFonts w:ascii="Times New Roman" w:hAnsi="Times New Roman"/>
          <w:sz w:val="24"/>
          <w:szCs w:val="24"/>
          <w:lang w:val="sr-Latn-BA"/>
        </w:rPr>
        <w:t>.</w:t>
      </w:r>
      <w:r w:rsidR="004957BF" w:rsidRPr="001B53A8">
        <w:rPr>
          <w:rFonts w:ascii="Times New Roman" w:hAnsi="Times New Roman"/>
          <w:sz w:val="24"/>
          <w:szCs w:val="24"/>
          <w:lang w:val="sr-Latn-BA"/>
        </w:rPr>
        <w:tab/>
      </w:r>
      <w:r w:rsidRPr="001B53A8">
        <w:rPr>
          <w:rFonts w:ascii="Times New Roman" w:hAnsi="Times New Roman"/>
          <w:b w:val="0"/>
          <w:sz w:val="24"/>
          <w:szCs w:val="24"/>
          <w:lang w:val="sr-Latn-BA"/>
        </w:rPr>
        <w:t>Uporedni</w:t>
      </w:r>
      <w:r w:rsidR="004957BF"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pregled</w:t>
      </w:r>
      <w:r w:rsidR="004957BF" w:rsidRPr="001B53A8">
        <w:rPr>
          <w:rFonts w:ascii="Times New Roman" w:hAnsi="Times New Roman"/>
          <w:b w:val="0"/>
          <w:sz w:val="24"/>
          <w:szCs w:val="24"/>
          <w:lang w:val="sr-Latn-BA"/>
        </w:rPr>
        <w:t xml:space="preserve"> </w:t>
      </w:r>
      <w:r w:rsidRPr="001B53A8">
        <w:rPr>
          <w:rFonts w:ascii="Times New Roman" w:hAnsi="Times New Roman"/>
          <w:b w:val="0"/>
          <w:sz w:val="24"/>
          <w:lang w:val="sr-Latn-BA"/>
        </w:rPr>
        <w:t>evidencija</w:t>
      </w:r>
      <w:r w:rsidR="004957BF"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podataka</w:t>
      </w:r>
      <w:r w:rsidR="004957BF"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u</w:t>
      </w:r>
      <w:r w:rsidR="004957BF"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registru</w:t>
      </w:r>
      <w:r w:rsidR="004957BF"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emitenata</w:t>
      </w:r>
      <w:r w:rsidR="004957BF"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u</w:t>
      </w:r>
      <w:r w:rsidR="004957BF"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periodu</w:t>
      </w:r>
      <w:r w:rsidR="004957BF"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od</w:t>
      </w:r>
      <w:r w:rsidR="004957BF" w:rsidRPr="001B53A8">
        <w:rPr>
          <w:rFonts w:ascii="Times New Roman" w:hAnsi="Times New Roman"/>
          <w:b w:val="0"/>
          <w:sz w:val="24"/>
          <w:szCs w:val="24"/>
          <w:lang w:val="sr-Latn-BA"/>
        </w:rPr>
        <w:t xml:space="preserve"> </w:t>
      </w:r>
      <w:r w:rsidR="005B21B1" w:rsidRPr="001B53A8">
        <w:rPr>
          <w:rFonts w:ascii="Times New Roman" w:hAnsi="Times New Roman"/>
          <w:b w:val="0"/>
          <w:sz w:val="24"/>
          <w:szCs w:val="24"/>
          <w:lang w:val="sr-Latn-BA"/>
        </w:rPr>
        <w:t>2018</w:t>
      </w:r>
      <w:r w:rsidR="004957BF"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do</w:t>
      </w:r>
      <w:r w:rsidR="004957BF" w:rsidRPr="001B53A8">
        <w:rPr>
          <w:rFonts w:ascii="Times New Roman" w:hAnsi="Times New Roman"/>
          <w:b w:val="0"/>
          <w:sz w:val="24"/>
          <w:szCs w:val="24"/>
          <w:lang w:val="sr-Latn-BA"/>
        </w:rPr>
        <w:t xml:space="preserve"> </w:t>
      </w:r>
      <w:r w:rsidR="0027056D" w:rsidRPr="001B53A8">
        <w:rPr>
          <w:rFonts w:ascii="Times New Roman" w:hAnsi="Times New Roman"/>
          <w:b w:val="0"/>
          <w:sz w:val="24"/>
          <w:szCs w:val="24"/>
          <w:lang w:val="sr-Latn-BA"/>
        </w:rPr>
        <w:t>31.12.</w:t>
      </w:r>
      <w:r w:rsidR="003A1210" w:rsidRPr="001B53A8">
        <w:rPr>
          <w:rFonts w:ascii="Times New Roman" w:hAnsi="Times New Roman"/>
          <w:b w:val="0"/>
          <w:sz w:val="24"/>
          <w:szCs w:val="24"/>
          <w:lang w:val="sr-Latn-BA"/>
        </w:rPr>
        <w:t>202</w:t>
      </w:r>
      <w:r w:rsidR="005B21B1" w:rsidRPr="001B53A8">
        <w:rPr>
          <w:rFonts w:ascii="Times New Roman" w:hAnsi="Times New Roman"/>
          <w:b w:val="0"/>
          <w:sz w:val="24"/>
          <w:szCs w:val="24"/>
          <w:lang w:val="sr-Latn-BA"/>
        </w:rPr>
        <w:t>3</w:t>
      </w:r>
      <w:r w:rsidR="004957BF"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godine</w:t>
      </w:r>
      <w:bookmarkStart w:id="37" w:name="_Toc194970094"/>
      <w:bookmarkStart w:id="38" w:name="_Toc194970125"/>
      <w:bookmarkStart w:id="39" w:name="_Toc321408891"/>
    </w:p>
    <w:p w14:paraId="168D0C02" w14:textId="276F6CBD" w:rsidR="0053265D" w:rsidRPr="001B53A8" w:rsidRDefault="00003F34" w:rsidP="0053265D">
      <w:pPr>
        <w:rPr>
          <w:rFonts w:eastAsia="Calibri"/>
          <w:lang w:val="sr-Latn-BA"/>
        </w:rPr>
      </w:pPr>
      <w:r w:rsidRPr="001B53A8">
        <w:rPr>
          <w:bCs/>
          <w:lang w:val="sr-Latn-BA"/>
        </w:rPr>
        <w:t>U</w:t>
      </w:r>
      <w:r w:rsidR="0053265D" w:rsidRPr="001B53A8">
        <w:rPr>
          <w:bCs/>
          <w:lang w:val="sr-Latn-BA"/>
        </w:rPr>
        <w:t xml:space="preserve"> </w:t>
      </w:r>
      <w:r w:rsidRPr="001B53A8">
        <w:rPr>
          <w:bCs/>
          <w:lang w:val="sr-Latn-BA"/>
        </w:rPr>
        <w:t>skladu</w:t>
      </w:r>
      <w:r w:rsidR="0053265D" w:rsidRPr="001B53A8">
        <w:rPr>
          <w:bCs/>
          <w:lang w:val="sr-Latn-BA"/>
        </w:rPr>
        <w:t xml:space="preserve"> </w:t>
      </w:r>
      <w:r w:rsidRPr="001B53A8">
        <w:rPr>
          <w:bCs/>
          <w:lang w:val="sr-Latn-BA"/>
        </w:rPr>
        <w:t>sa</w:t>
      </w:r>
      <w:r w:rsidR="0053265D" w:rsidRPr="001B53A8">
        <w:rPr>
          <w:bCs/>
          <w:lang w:val="sr-Latn-BA"/>
        </w:rPr>
        <w:t xml:space="preserve"> </w:t>
      </w:r>
      <w:r w:rsidRPr="001B53A8">
        <w:rPr>
          <w:bCs/>
          <w:lang w:val="sr-Latn-BA"/>
        </w:rPr>
        <w:t>Zakonom</w:t>
      </w:r>
      <w:r w:rsidR="0053265D" w:rsidRPr="001B53A8">
        <w:rPr>
          <w:bCs/>
          <w:lang w:val="sr-Latn-BA"/>
        </w:rPr>
        <w:t xml:space="preserve"> </w:t>
      </w:r>
      <w:r w:rsidRPr="001B53A8">
        <w:rPr>
          <w:bCs/>
          <w:lang w:val="sr-Latn-BA"/>
        </w:rPr>
        <w:t>o</w:t>
      </w:r>
      <w:r w:rsidR="0053265D" w:rsidRPr="001B53A8">
        <w:rPr>
          <w:bCs/>
          <w:lang w:val="sr-Latn-BA"/>
        </w:rPr>
        <w:t xml:space="preserve"> </w:t>
      </w:r>
      <w:r w:rsidRPr="001B53A8">
        <w:rPr>
          <w:bCs/>
          <w:lang w:val="sr-Latn-BA"/>
        </w:rPr>
        <w:t>tržištu</w:t>
      </w:r>
      <w:r w:rsidR="0053265D" w:rsidRPr="001B53A8">
        <w:rPr>
          <w:bCs/>
          <w:lang w:val="sr-Latn-BA"/>
        </w:rPr>
        <w:t xml:space="preserve"> </w:t>
      </w:r>
      <w:r w:rsidRPr="001B53A8">
        <w:rPr>
          <w:bCs/>
          <w:lang w:val="sr-Latn-BA"/>
        </w:rPr>
        <w:t>hartija</w:t>
      </w:r>
      <w:r w:rsidR="0053265D" w:rsidRPr="001B53A8">
        <w:rPr>
          <w:bCs/>
          <w:lang w:val="sr-Latn-BA"/>
        </w:rPr>
        <w:t xml:space="preserve"> </w:t>
      </w:r>
      <w:r w:rsidRPr="001B53A8">
        <w:rPr>
          <w:bCs/>
          <w:lang w:val="sr-Latn-BA"/>
        </w:rPr>
        <w:t>od</w:t>
      </w:r>
      <w:r w:rsidR="0053265D" w:rsidRPr="001B53A8">
        <w:rPr>
          <w:bCs/>
          <w:lang w:val="sr-Latn-BA"/>
        </w:rPr>
        <w:t xml:space="preserve"> </w:t>
      </w:r>
      <w:r w:rsidRPr="001B53A8">
        <w:rPr>
          <w:bCs/>
          <w:lang w:val="sr-Latn-BA"/>
        </w:rPr>
        <w:t>vrijednosti</w:t>
      </w:r>
      <w:r w:rsidR="0053265D" w:rsidRPr="001B53A8">
        <w:rPr>
          <w:bCs/>
          <w:lang w:val="sr-Latn-BA"/>
        </w:rPr>
        <w:t xml:space="preserve">, </w:t>
      </w:r>
      <w:r w:rsidRPr="001B53A8">
        <w:rPr>
          <w:bCs/>
          <w:lang w:val="sr-Latn-BA"/>
        </w:rPr>
        <w:t>Komisija</w:t>
      </w:r>
      <w:r w:rsidR="0053265D" w:rsidRPr="001B53A8">
        <w:rPr>
          <w:bCs/>
          <w:lang w:val="sr-Latn-BA"/>
        </w:rPr>
        <w:t xml:space="preserve"> </w:t>
      </w:r>
      <w:r w:rsidRPr="001B53A8">
        <w:rPr>
          <w:bCs/>
          <w:lang w:val="sr-Latn-BA"/>
        </w:rPr>
        <w:t>je</w:t>
      </w:r>
      <w:r w:rsidR="0053265D" w:rsidRPr="001B53A8">
        <w:rPr>
          <w:bCs/>
          <w:lang w:val="sr-Latn-BA"/>
        </w:rPr>
        <w:t xml:space="preserve"> </w:t>
      </w:r>
      <w:r w:rsidRPr="001B53A8">
        <w:rPr>
          <w:bCs/>
          <w:lang w:val="sr-Latn-BA"/>
        </w:rPr>
        <w:t>ovlašćena</w:t>
      </w:r>
      <w:r w:rsidR="0053265D" w:rsidRPr="001B53A8">
        <w:rPr>
          <w:bCs/>
          <w:lang w:val="sr-Latn-BA"/>
        </w:rPr>
        <w:t xml:space="preserve"> </w:t>
      </w:r>
      <w:r w:rsidRPr="001B53A8">
        <w:rPr>
          <w:bCs/>
          <w:lang w:val="sr-Latn-BA"/>
        </w:rPr>
        <w:t>da</w:t>
      </w:r>
      <w:r w:rsidR="0053265D" w:rsidRPr="001B53A8">
        <w:rPr>
          <w:bCs/>
          <w:lang w:val="sr-Latn-BA"/>
        </w:rPr>
        <w:t xml:space="preserve"> </w:t>
      </w:r>
      <w:r w:rsidRPr="001B53A8">
        <w:rPr>
          <w:rFonts w:eastAsia="Calibri"/>
          <w:lang w:val="sr-Latn-BA"/>
        </w:rPr>
        <w:t>vodi</w:t>
      </w:r>
      <w:r w:rsidR="0053265D" w:rsidRPr="001B53A8">
        <w:rPr>
          <w:rFonts w:eastAsia="Calibri"/>
          <w:lang w:val="sr-Latn-BA"/>
        </w:rPr>
        <w:t xml:space="preserve"> </w:t>
      </w:r>
      <w:r w:rsidRPr="001B53A8">
        <w:rPr>
          <w:rFonts w:eastAsia="Calibri"/>
          <w:lang w:val="sr-Latn-BA"/>
        </w:rPr>
        <w:t>evidenciju</w:t>
      </w:r>
      <w:r w:rsidR="0053265D" w:rsidRPr="001B53A8">
        <w:rPr>
          <w:rFonts w:eastAsia="Calibri"/>
          <w:lang w:val="sr-Latn-BA"/>
        </w:rPr>
        <w:t xml:space="preserve"> </w:t>
      </w:r>
      <w:r w:rsidRPr="001B53A8">
        <w:rPr>
          <w:rFonts w:eastAsia="Calibri"/>
          <w:lang w:val="sr-Latn-BA"/>
        </w:rPr>
        <w:t>pružalaca</w:t>
      </w:r>
      <w:r w:rsidR="0053265D" w:rsidRPr="001B53A8">
        <w:rPr>
          <w:rFonts w:eastAsia="Calibri"/>
          <w:lang w:val="sr-Latn-BA"/>
        </w:rPr>
        <w:t xml:space="preserve"> </w:t>
      </w:r>
      <w:r w:rsidRPr="001B53A8">
        <w:rPr>
          <w:rFonts w:eastAsia="Calibri"/>
          <w:lang w:val="sr-Latn-BA"/>
        </w:rPr>
        <w:t>usluga</w:t>
      </w:r>
      <w:r w:rsidR="0053265D" w:rsidRPr="001B53A8">
        <w:rPr>
          <w:rFonts w:eastAsia="Calibri"/>
          <w:lang w:val="sr-Latn-BA"/>
        </w:rPr>
        <w:t xml:space="preserve"> </w:t>
      </w:r>
      <w:r w:rsidRPr="001B53A8">
        <w:rPr>
          <w:rFonts w:eastAsia="Calibri"/>
          <w:lang w:val="sr-Latn-BA"/>
        </w:rPr>
        <w:t>povezanih</w:t>
      </w:r>
      <w:r w:rsidR="0053265D" w:rsidRPr="001B53A8">
        <w:rPr>
          <w:rFonts w:eastAsia="Calibri"/>
          <w:lang w:val="sr-Latn-BA"/>
        </w:rPr>
        <w:t xml:space="preserve"> </w:t>
      </w:r>
      <w:r w:rsidRPr="001B53A8">
        <w:rPr>
          <w:rFonts w:eastAsia="Calibri"/>
          <w:lang w:val="sr-Latn-BA"/>
        </w:rPr>
        <w:t>sa</w:t>
      </w:r>
      <w:r w:rsidR="0053265D" w:rsidRPr="001B53A8">
        <w:rPr>
          <w:rFonts w:eastAsia="Calibri"/>
          <w:lang w:val="sr-Latn-BA"/>
        </w:rPr>
        <w:t xml:space="preserve"> </w:t>
      </w:r>
      <w:r w:rsidRPr="001B53A8">
        <w:rPr>
          <w:rFonts w:eastAsia="Calibri"/>
          <w:lang w:val="sr-Latn-BA"/>
        </w:rPr>
        <w:t>virtuelnim</w:t>
      </w:r>
      <w:r w:rsidR="0053265D" w:rsidRPr="001B53A8">
        <w:rPr>
          <w:rFonts w:eastAsia="Calibri"/>
          <w:lang w:val="sr-Latn-BA"/>
        </w:rPr>
        <w:t xml:space="preserve"> </w:t>
      </w:r>
      <w:r w:rsidRPr="001B53A8">
        <w:rPr>
          <w:rFonts w:eastAsia="Calibri"/>
          <w:lang w:val="sr-Latn-BA"/>
        </w:rPr>
        <w:t>valutama</w:t>
      </w:r>
      <w:r w:rsidR="0053265D" w:rsidRPr="001B53A8">
        <w:rPr>
          <w:rFonts w:eastAsia="Calibri"/>
          <w:lang w:val="sr-Latn-BA"/>
        </w:rPr>
        <w:t xml:space="preserve">. </w:t>
      </w:r>
    </w:p>
    <w:tbl>
      <w:tblPr>
        <w:tblStyle w:val="LightGrid-Accent11"/>
        <w:tblW w:w="5953" w:type="dxa"/>
        <w:tblInd w:w="1668" w:type="dxa"/>
        <w:tblLayout w:type="fixed"/>
        <w:tblLook w:val="0420" w:firstRow="1" w:lastRow="0" w:firstColumn="0" w:lastColumn="0" w:noHBand="0" w:noVBand="1"/>
      </w:tblPr>
      <w:tblGrid>
        <w:gridCol w:w="5953"/>
      </w:tblGrid>
      <w:tr w:rsidR="0053265D" w:rsidRPr="001B53A8" w14:paraId="13D36FE7" w14:textId="77777777" w:rsidTr="0053265D">
        <w:trPr>
          <w:cnfStyle w:val="100000000000" w:firstRow="1" w:lastRow="0" w:firstColumn="0" w:lastColumn="0" w:oddVBand="0" w:evenVBand="0" w:oddHBand="0" w:evenHBand="0" w:firstRowFirstColumn="0" w:firstRowLastColumn="0" w:lastRowFirstColumn="0" w:lastRowLastColumn="0"/>
          <w:trHeight w:val="280"/>
        </w:trPr>
        <w:tc>
          <w:tcPr>
            <w:tcW w:w="5953" w:type="dxa"/>
            <w:hideMark/>
          </w:tcPr>
          <w:p w14:paraId="01E39B8F" w14:textId="09DBF574" w:rsidR="0053265D" w:rsidRPr="001B53A8" w:rsidRDefault="0053265D" w:rsidP="00003F34">
            <w:pPr>
              <w:spacing w:line="240" w:lineRule="auto"/>
              <w:ind w:firstLine="0"/>
              <w:rPr>
                <w:rFonts w:ascii="Times New Roman" w:eastAsia="Times New Roman" w:hAnsi="Times New Roman" w:cs="Times New Roman"/>
                <w:sz w:val="20"/>
                <w:szCs w:val="20"/>
                <w:lang w:val="sr-Latn-BA" w:eastAsia="sr-Latn-CS"/>
              </w:rPr>
            </w:pPr>
            <w:r w:rsidRPr="001B53A8">
              <w:rPr>
                <w:rFonts w:ascii="Times New Roman" w:hAnsi="Times New Roman" w:cs="Times New Roman"/>
                <w:sz w:val="20"/>
                <w:szCs w:val="20"/>
                <w:lang w:val="sr-Latn-BA"/>
              </w:rPr>
              <w:br w:type="page"/>
            </w:r>
            <w:r w:rsidR="00003F34" w:rsidRPr="001B53A8">
              <w:rPr>
                <w:rFonts w:ascii="Times New Roman" w:eastAsia="Times New Roman" w:hAnsi="Times New Roman" w:cs="Times New Roman"/>
                <w:sz w:val="20"/>
                <w:szCs w:val="20"/>
                <w:lang w:val="sr-Latn-BA" w:eastAsia="sr-Latn-CS"/>
              </w:rPr>
              <w:t>Naziv</w:t>
            </w:r>
            <w:r w:rsidRPr="001B53A8">
              <w:rPr>
                <w:rFonts w:ascii="Times New Roman" w:eastAsia="Times New Roman" w:hAnsi="Times New Roman" w:cs="Times New Roman"/>
                <w:sz w:val="20"/>
                <w:szCs w:val="20"/>
                <w:lang w:val="sr-Latn-BA" w:eastAsia="sr-Latn-CS"/>
              </w:rPr>
              <w:t xml:space="preserve"> </w:t>
            </w:r>
          </w:p>
        </w:tc>
      </w:tr>
      <w:tr w:rsidR="0053265D" w:rsidRPr="001B53A8" w14:paraId="7F3E7D38" w14:textId="77777777" w:rsidTr="0053265D">
        <w:trPr>
          <w:cnfStyle w:val="000000100000" w:firstRow="0" w:lastRow="0" w:firstColumn="0" w:lastColumn="0" w:oddVBand="0" w:evenVBand="0" w:oddHBand="1" w:evenHBand="0" w:firstRowFirstColumn="0" w:firstRowLastColumn="0" w:lastRowFirstColumn="0" w:lastRowLastColumn="0"/>
          <w:trHeight w:val="237"/>
        </w:trPr>
        <w:tc>
          <w:tcPr>
            <w:tcW w:w="5953" w:type="dxa"/>
            <w:hideMark/>
          </w:tcPr>
          <w:p w14:paraId="3178B82E" w14:textId="2162E7C0" w:rsidR="0053265D" w:rsidRPr="001B53A8" w:rsidRDefault="0053265D" w:rsidP="00003F34">
            <w:pPr>
              <w:spacing w:after="60" w:line="240" w:lineRule="auto"/>
              <w:ind w:firstLine="0"/>
              <w:rPr>
                <w:rFonts w:ascii="Times New Roman" w:eastAsia="Times New Roman" w:hAnsi="Times New Roman" w:cs="Times New Roman"/>
                <w:sz w:val="20"/>
                <w:szCs w:val="20"/>
                <w:lang w:val="sr-Latn-BA" w:eastAsia="sr-Latn-CS"/>
              </w:rPr>
            </w:pPr>
            <w:r w:rsidRPr="001B53A8">
              <w:rPr>
                <w:rFonts w:ascii="Times New Roman" w:hAnsi="Times New Roman"/>
                <w:sz w:val="22"/>
                <w:lang w:val="sr-Latn-BA"/>
              </w:rPr>
              <w:t xml:space="preserve">„Digital Asset Management“ </w:t>
            </w:r>
            <w:r w:rsidR="00003F34" w:rsidRPr="001B53A8">
              <w:rPr>
                <w:rFonts w:ascii="Times New Roman" w:hAnsi="Times New Roman"/>
                <w:sz w:val="22"/>
                <w:lang w:val="sr-Latn-BA"/>
              </w:rPr>
              <w:t>d</w:t>
            </w:r>
            <w:r w:rsidRPr="001B53A8">
              <w:rPr>
                <w:rFonts w:ascii="Times New Roman" w:hAnsi="Times New Roman"/>
                <w:sz w:val="22"/>
                <w:lang w:val="sr-Latn-BA"/>
              </w:rPr>
              <w:t>.</w:t>
            </w:r>
            <w:r w:rsidR="00003F34" w:rsidRPr="001B53A8">
              <w:rPr>
                <w:rFonts w:ascii="Times New Roman" w:hAnsi="Times New Roman"/>
                <w:sz w:val="22"/>
                <w:lang w:val="sr-Latn-BA"/>
              </w:rPr>
              <w:t>o</w:t>
            </w:r>
            <w:r w:rsidRPr="001B53A8">
              <w:rPr>
                <w:rFonts w:ascii="Times New Roman" w:hAnsi="Times New Roman"/>
                <w:sz w:val="22"/>
                <w:lang w:val="sr-Latn-BA"/>
              </w:rPr>
              <w:t>.</w:t>
            </w:r>
            <w:r w:rsidR="00003F34" w:rsidRPr="001B53A8">
              <w:rPr>
                <w:rFonts w:ascii="Times New Roman" w:hAnsi="Times New Roman"/>
                <w:sz w:val="22"/>
                <w:lang w:val="sr-Latn-BA"/>
              </w:rPr>
              <w:t>o</w:t>
            </w:r>
            <w:r w:rsidRPr="001B53A8">
              <w:rPr>
                <w:rFonts w:ascii="Times New Roman" w:hAnsi="Times New Roman"/>
                <w:sz w:val="22"/>
                <w:lang w:val="sr-Latn-BA"/>
              </w:rPr>
              <w:t xml:space="preserve">. </w:t>
            </w:r>
            <w:r w:rsidR="00003F34" w:rsidRPr="001B53A8">
              <w:rPr>
                <w:rFonts w:ascii="Times New Roman" w:hAnsi="Times New Roman"/>
                <w:sz w:val="22"/>
                <w:lang w:val="sr-Latn-BA"/>
              </w:rPr>
              <w:t>Banja</w:t>
            </w:r>
            <w:r w:rsidRPr="001B53A8">
              <w:rPr>
                <w:rFonts w:ascii="Times New Roman" w:hAnsi="Times New Roman"/>
                <w:sz w:val="22"/>
                <w:lang w:val="sr-Latn-BA"/>
              </w:rPr>
              <w:t xml:space="preserve"> </w:t>
            </w:r>
            <w:r w:rsidR="00003F34" w:rsidRPr="001B53A8">
              <w:rPr>
                <w:rFonts w:ascii="Times New Roman" w:hAnsi="Times New Roman"/>
                <w:sz w:val="22"/>
                <w:lang w:val="sr-Latn-BA"/>
              </w:rPr>
              <w:t>Luka</w:t>
            </w:r>
            <w:r w:rsidRPr="001B53A8">
              <w:rPr>
                <w:rFonts w:ascii="Times New Roman" w:hAnsi="Times New Roman"/>
                <w:sz w:val="22"/>
                <w:lang w:val="sr-Latn-BA"/>
              </w:rPr>
              <w:t xml:space="preserve"> </w:t>
            </w:r>
          </w:p>
        </w:tc>
      </w:tr>
      <w:tr w:rsidR="0053265D" w:rsidRPr="001B53A8" w14:paraId="6E5A0B89" w14:textId="77777777" w:rsidTr="0053265D">
        <w:trPr>
          <w:cnfStyle w:val="000000010000" w:firstRow="0" w:lastRow="0" w:firstColumn="0" w:lastColumn="0" w:oddVBand="0" w:evenVBand="0" w:oddHBand="0" w:evenHBand="1" w:firstRowFirstColumn="0" w:firstRowLastColumn="0" w:lastRowFirstColumn="0" w:lastRowLastColumn="0"/>
          <w:trHeight w:val="237"/>
        </w:trPr>
        <w:tc>
          <w:tcPr>
            <w:tcW w:w="5953" w:type="dxa"/>
          </w:tcPr>
          <w:p w14:paraId="1B56DC9C" w14:textId="25C93D6B" w:rsidR="0053265D" w:rsidRPr="001B53A8" w:rsidRDefault="0053265D" w:rsidP="00003F34">
            <w:pPr>
              <w:spacing w:after="60" w:line="240" w:lineRule="auto"/>
              <w:ind w:firstLine="0"/>
              <w:rPr>
                <w:rFonts w:ascii="Times New Roman" w:hAnsi="Times New Roman"/>
                <w:sz w:val="22"/>
                <w:lang w:val="sr-Latn-BA"/>
              </w:rPr>
            </w:pPr>
            <w:r w:rsidRPr="001B53A8">
              <w:rPr>
                <w:rFonts w:ascii="Times New Roman" w:hAnsi="Times New Roman"/>
                <w:sz w:val="22"/>
                <w:lang w:val="sr-Latn-BA"/>
              </w:rPr>
              <w:t xml:space="preserve">„Tesla Trade“ </w:t>
            </w:r>
            <w:r w:rsidR="00003F34" w:rsidRPr="001B53A8">
              <w:rPr>
                <w:rFonts w:ascii="Times New Roman" w:hAnsi="Times New Roman"/>
                <w:sz w:val="22"/>
                <w:lang w:val="sr-Latn-BA"/>
              </w:rPr>
              <w:t>d</w:t>
            </w:r>
            <w:r w:rsidRPr="001B53A8">
              <w:rPr>
                <w:rFonts w:ascii="Times New Roman" w:hAnsi="Times New Roman"/>
                <w:sz w:val="22"/>
                <w:lang w:val="sr-Latn-BA"/>
              </w:rPr>
              <w:t>.</w:t>
            </w:r>
            <w:r w:rsidR="00003F34" w:rsidRPr="001B53A8">
              <w:rPr>
                <w:rFonts w:ascii="Times New Roman" w:hAnsi="Times New Roman"/>
                <w:sz w:val="22"/>
                <w:lang w:val="sr-Latn-BA"/>
              </w:rPr>
              <w:t>o</w:t>
            </w:r>
            <w:r w:rsidRPr="001B53A8">
              <w:rPr>
                <w:rFonts w:ascii="Times New Roman" w:hAnsi="Times New Roman"/>
                <w:sz w:val="22"/>
                <w:lang w:val="sr-Latn-BA"/>
              </w:rPr>
              <w:t>.</w:t>
            </w:r>
            <w:r w:rsidR="00003F34" w:rsidRPr="001B53A8">
              <w:rPr>
                <w:rFonts w:ascii="Times New Roman" w:hAnsi="Times New Roman"/>
                <w:sz w:val="22"/>
                <w:lang w:val="sr-Latn-BA"/>
              </w:rPr>
              <w:t>o</w:t>
            </w:r>
            <w:r w:rsidRPr="001B53A8">
              <w:rPr>
                <w:rFonts w:ascii="Times New Roman" w:hAnsi="Times New Roman"/>
                <w:sz w:val="22"/>
                <w:lang w:val="sr-Latn-BA"/>
              </w:rPr>
              <w:t xml:space="preserve">. </w:t>
            </w:r>
            <w:r w:rsidR="00003F34" w:rsidRPr="001B53A8">
              <w:rPr>
                <w:rFonts w:ascii="Times New Roman" w:hAnsi="Times New Roman"/>
                <w:sz w:val="22"/>
                <w:lang w:val="sr-Latn-BA"/>
              </w:rPr>
              <w:t>Bijelјina</w:t>
            </w:r>
          </w:p>
        </w:tc>
      </w:tr>
      <w:tr w:rsidR="0053265D" w:rsidRPr="001B53A8" w14:paraId="40C3983E" w14:textId="77777777" w:rsidTr="0053265D">
        <w:trPr>
          <w:cnfStyle w:val="000000100000" w:firstRow="0" w:lastRow="0" w:firstColumn="0" w:lastColumn="0" w:oddVBand="0" w:evenVBand="0" w:oddHBand="1" w:evenHBand="0" w:firstRowFirstColumn="0" w:firstRowLastColumn="0" w:lastRowFirstColumn="0" w:lastRowLastColumn="0"/>
          <w:trHeight w:val="237"/>
        </w:trPr>
        <w:tc>
          <w:tcPr>
            <w:tcW w:w="5953" w:type="dxa"/>
          </w:tcPr>
          <w:p w14:paraId="0F796FD3" w14:textId="36C485EE" w:rsidR="0053265D" w:rsidRPr="001B53A8" w:rsidRDefault="0053265D" w:rsidP="00003F34">
            <w:pPr>
              <w:spacing w:after="60" w:line="240" w:lineRule="auto"/>
              <w:ind w:firstLine="0"/>
              <w:rPr>
                <w:rFonts w:ascii="Times New Roman" w:hAnsi="Times New Roman"/>
                <w:sz w:val="22"/>
                <w:lang w:val="sr-Latn-BA"/>
              </w:rPr>
            </w:pPr>
            <w:r w:rsidRPr="001B53A8">
              <w:rPr>
                <w:rFonts w:ascii="Times New Roman" w:hAnsi="Times New Roman"/>
                <w:sz w:val="22"/>
                <w:lang w:val="sr-Latn-BA"/>
              </w:rPr>
              <w:t xml:space="preserve">„Digital Crypto Exchange“ </w:t>
            </w:r>
            <w:r w:rsidR="00003F34" w:rsidRPr="001B53A8">
              <w:rPr>
                <w:rFonts w:ascii="Times New Roman" w:hAnsi="Times New Roman"/>
                <w:sz w:val="22"/>
                <w:lang w:val="sr-Latn-BA"/>
              </w:rPr>
              <w:t>d</w:t>
            </w:r>
            <w:r w:rsidRPr="001B53A8">
              <w:rPr>
                <w:rFonts w:ascii="Times New Roman" w:hAnsi="Times New Roman"/>
                <w:sz w:val="22"/>
                <w:lang w:val="sr-Latn-BA"/>
              </w:rPr>
              <w:t>.</w:t>
            </w:r>
            <w:r w:rsidR="00003F34" w:rsidRPr="001B53A8">
              <w:rPr>
                <w:rFonts w:ascii="Times New Roman" w:hAnsi="Times New Roman"/>
                <w:sz w:val="22"/>
                <w:lang w:val="sr-Latn-BA"/>
              </w:rPr>
              <w:t>o</w:t>
            </w:r>
            <w:r w:rsidRPr="001B53A8">
              <w:rPr>
                <w:rFonts w:ascii="Times New Roman" w:hAnsi="Times New Roman"/>
                <w:sz w:val="22"/>
                <w:lang w:val="sr-Latn-BA"/>
              </w:rPr>
              <w:t>.</w:t>
            </w:r>
            <w:r w:rsidR="00003F34" w:rsidRPr="001B53A8">
              <w:rPr>
                <w:rFonts w:ascii="Times New Roman" w:hAnsi="Times New Roman"/>
                <w:sz w:val="22"/>
                <w:lang w:val="sr-Latn-BA"/>
              </w:rPr>
              <w:t>o</w:t>
            </w:r>
            <w:r w:rsidRPr="001B53A8">
              <w:rPr>
                <w:rFonts w:ascii="Times New Roman" w:hAnsi="Times New Roman"/>
                <w:sz w:val="22"/>
                <w:lang w:val="sr-Latn-BA"/>
              </w:rPr>
              <w:t xml:space="preserve">. </w:t>
            </w:r>
            <w:r w:rsidR="00003F34" w:rsidRPr="001B53A8">
              <w:rPr>
                <w:rFonts w:ascii="Times New Roman" w:hAnsi="Times New Roman"/>
                <w:sz w:val="22"/>
                <w:lang w:val="sr-Latn-BA"/>
              </w:rPr>
              <w:t>Banja</w:t>
            </w:r>
            <w:r w:rsidRPr="001B53A8">
              <w:rPr>
                <w:rFonts w:ascii="Times New Roman" w:hAnsi="Times New Roman"/>
                <w:sz w:val="22"/>
                <w:lang w:val="sr-Latn-BA"/>
              </w:rPr>
              <w:t xml:space="preserve"> </w:t>
            </w:r>
            <w:r w:rsidR="00003F34" w:rsidRPr="001B53A8">
              <w:rPr>
                <w:rFonts w:ascii="Times New Roman" w:hAnsi="Times New Roman"/>
                <w:sz w:val="22"/>
                <w:lang w:val="sr-Latn-BA"/>
              </w:rPr>
              <w:t>Luka</w:t>
            </w:r>
          </w:p>
        </w:tc>
      </w:tr>
      <w:tr w:rsidR="0053265D" w:rsidRPr="001B53A8" w14:paraId="61AA6B97" w14:textId="77777777" w:rsidTr="0053265D">
        <w:trPr>
          <w:cnfStyle w:val="000000010000" w:firstRow="0" w:lastRow="0" w:firstColumn="0" w:lastColumn="0" w:oddVBand="0" w:evenVBand="0" w:oddHBand="0" w:evenHBand="1" w:firstRowFirstColumn="0" w:firstRowLastColumn="0" w:lastRowFirstColumn="0" w:lastRowLastColumn="0"/>
          <w:trHeight w:val="237"/>
        </w:trPr>
        <w:tc>
          <w:tcPr>
            <w:tcW w:w="5953" w:type="dxa"/>
          </w:tcPr>
          <w:p w14:paraId="2AB44AE8" w14:textId="00F03B19" w:rsidR="0053265D" w:rsidRPr="001B53A8" w:rsidRDefault="0053265D" w:rsidP="00003F34">
            <w:pPr>
              <w:spacing w:after="60" w:line="240" w:lineRule="auto"/>
              <w:ind w:firstLine="0"/>
              <w:rPr>
                <w:rFonts w:ascii="Times New Roman" w:hAnsi="Times New Roman"/>
                <w:sz w:val="22"/>
                <w:lang w:val="sr-Latn-BA"/>
              </w:rPr>
            </w:pPr>
            <w:r w:rsidRPr="001B53A8">
              <w:rPr>
                <w:rFonts w:ascii="Times New Roman" w:hAnsi="Times New Roman"/>
                <w:sz w:val="22"/>
                <w:lang w:val="sr-Latn-BA"/>
              </w:rPr>
              <w:t xml:space="preserve">„Crypto Trading Management Servis“ </w:t>
            </w:r>
            <w:r w:rsidR="00003F34" w:rsidRPr="001B53A8">
              <w:rPr>
                <w:rFonts w:ascii="Times New Roman" w:hAnsi="Times New Roman"/>
                <w:sz w:val="22"/>
                <w:lang w:val="sr-Latn-BA"/>
              </w:rPr>
              <w:t>d</w:t>
            </w:r>
            <w:r w:rsidRPr="001B53A8">
              <w:rPr>
                <w:rFonts w:ascii="Times New Roman" w:hAnsi="Times New Roman"/>
                <w:sz w:val="22"/>
                <w:lang w:val="sr-Latn-BA"/>
              </w:rPr>
              <w:t>.</w:t>
            </w:r>
            <w:r w:rsidR="00003F34" w:rsidRPr="001B53A8">
              <w:rPr>
                <w:rFonts w:ascii="Times New Roman" w:hAnsi="Times New Roman"/>
                <w:sz w:val="22"/>
                <w:lang w:val="sr-Latn-BA"/>
              </w:rPr>
              <w:t>o</w:t>
            </w:r>
            <w:r w:rsidRPr="001B53A8">
              <w:rPr>
                <w:rFonts w:ascii="Times New Roman" w:hAnsi="Times New Roman"/>
                <w:sz w:val="22"/>
                <w:lang w:val="sr-Latn-BA"/>
              </w:rPr>
              <w:t>.</w:t>
            </w:r>
            <w:r w:rsidR="00003F34" w:rsidRPr="001B53A8">
              <w:rPr>
                <w:rFonts w:ascii="Times New Roman" w:hAnsi="Times New Roman"/>
                <w:sz w:val="22"/>
                <w:lang w:val="sr-Latn-BA"/>
              </w:rPr>
              <w:t>o</w:t>
            </w:r>
            <w:r w:rsidRPr="001B53A8">
              <w:rPr>
                <w:rFonts w:ascii="Times New Roman" w:hAnsi="Times New Roman"/>
                <w:sz w:val="22"/>
                <w:lang w:val="sr-Latn-BA"/>
              </w:rPr>
              <w:t xml:space="preserve">. </w:t>
            </w:r>
            <w:r w:rsidR="00003F34" w:rsidRPr="001B53A8">
              <w:rPr>
                <w:rFonts w:ascii="Times New Roman" w:hAnsi="Times New Roman"/>
                <w:sz w:val="22"/>
                <w:lang w:val="sr-Latn-BA"/>
              </w:rPr>
              <w:t>Banja</w:t>
            </w:r>
            <w:r w:rsidRPr="001B53A8">
              <w:rPr>
                <w:rFonts w:ascii="Times New Roman" w:hAnsi="Times New Roman"/>
                <w:sz w:val="22"/>
                <w:lang w:val="sr-Latn-BA"/>
              </w:rPr>
              <w:t xml:space="preserve"> </w:t>
            </w:r>
            <w:r w:rsidR="00003F34" w:rsidRPr="001B53A8">
              <w:rPr>
                <w:rFonts w:ascii="Times New Roman" w:hAnsi="Times New Roman"/>
                <w:sz w:val="22"/>
                <w:lang w:val="sr-Latn-BA"/>
              </w:rPr>
              <w:t>Luka</w:t>
            </w:r>
          </w:p>
        </w:tc>
      </w:tr>
    </w:tbl>
    <w:p w14:paraId="49DFE9C3" w14:textId="2B0F834A" w:rsidR="0053265D" w:rsidRPr="001B53A8" w:rsidRDefault="00003F34" w:rsidP="0053265D">
      <w:pPr>
        <w:pStyle w:val="Caption"/>
        <w:tabs>
          <w:tab w:val="left" w:pos="1276"/>
        </w:tabs>
        <w:spacing w:after="0"/>
        <w:ind w:left="1276" w:hanging="1276"/>
        <w:jc w:val="both"/>
        <w:rPr>
          <w:lang w:val="sr-Latn-BA"/>
        </w:rPr>
      </w:pPr>
      <w:r w:rsidRPr="001B53A8">
        <w:rPr>
          <w:rFonts w:ascii="Times New Roman" w:hAnsi="Times New Roman"/>
          <w:sz w:val="24"/>
          <w:szCs w:val="24"/>
          <w:lang w:val="sr-Latn-BA"/>
        </w:rPr>
        <w:t>Tabela</w:t>
      </w:r>
      <w:r w:rsidR="0053265D" w:rsidRPr="001B53A8">
        <w:rPr>
          <w:rFonts w:ascii="Times New Roman" w:hAnsi="Times New Roman"/>
          <w:sz w:val="24"/>
          <w:szCs w:val="24"/>
          <w:lang w:val="sr-Latn-BA"/>
        </w:rPr>
        <w:t xml:space="preserve"> </w:t>
      </w:r>
      <w:r w:rsidR="0053265D" w:rsidRPr="001B53A8">
        <w:rPr>
          <w:rFonts w:ascii="Times New Roman" w:hAnsi="Times New Roman"/>
          <w:sz w:val="24"/>
          <w:szCs w:val="24"/>
          <w:lang w:val="sr-Latn-BA"/>
        </w:rPr>
        <w:fldChar w:fldCharType="begin"/>
      </w:r>
      <w:r w:rsidR="0053265D" w:rsidRPr="001B53A8">
        <w:rPr>
          <w:rFonts w:ascii="Times New Roman" w:hAnsi="Times New Roman"/>
          <w:sz w:val="24"/>
          <w:szCs w:val="24"/>
          <w:lang w:val="sr-Latn-BA"/>
        </w:rPr>
        <w:instrText xml:space="preserve"> SEQ Табела \* ARABIC </w:instrText>
      </w:r>
      <w:r w:rsidR="0053265D" w:rsidRPr="001B53A8">
        <w:rPr>
          <w:rFonts w:ascii="Times New Roman" w:hAnsi="Times New Roman"/>
          <w:sz w:val="24"/>
          <w:szCs w:val="24"/>
          <w:lang w:val="sr-Latn-BA"/>
        </w:rPr>
        <w:fldChar w:fldCharType="separate"/>
      </w:r>
      <w:r w:rsidR="0053265D" w:rsidRPr="001B53A8">
        <w:rPr>
          <w:rFonts w:ascii="Times New Roman" w:hAnsi="Times New Roman"/>
          <w:noProof/>
          <w:sz w:val="24"/>
          <w:szCs w:val="24"/>
          <w:lang w:val="sr-Latn-BA"/>
        </w:rPr>
        <w:t>5</w:t>
      </w:r>
      <w:r w:rsidR="0053265D" w:rsidRPr="001B53A8">
        <w:rPr>
          <w:rFonts w:ascii="Times New Roman" w:hAnsi="Times New Roman"/>
          <w:sz w:val="24"/>
          <w:szCs w:val="24"/>
          <w:lang w:val="sr-Latn-BA"/>
        </w:rPr>
        <w:fldChar w:fldCharType="end"/>
      </w:r>
      <w:r w:rsidR="0053265D" w:rsidRPr="001B53A8">
        <w:rPr>
          <w:rFonts w:ascii="Times New Roman" w:hAnsi="Times New Roman"/>
          <w:sz w:val="24"/>
          <w:szCs w:val="24"/>
          <w:lang w:val="sr-Latn-BA"/>
        </w:rPr>
        <w:t>.</w:t>
      </w:r>
      <w:r w:rsidR="0053265D" w:rsidRPr="001B53A8">
        <w:rPr>
          <w:rFonts w:ascii="Times New Roman" w:hAnsi="Times New Roman"/>
          <w:sz w:val="24"/>
          <w:szCs w:val="24"/>
          <w:lang w:val="sr-Latn-BA"/>
        </w:rPr>
        <w:tab/>
      </w:r>
      <w:r w:rsidRPr="001B53A8">
        <w:rPr>
          <w:rFonts w:ascii="Times New Roman" w:hAnsi="Times New Roman"/>
          <w:b w:val="0"/>
          <w:noProof/>
          <w:sz w:val="24"/>
          <w:szCs w:val="24"/>
          <w:lang w:val="sr-Latn-BA"/>
        </w:rPr>
        <w:t>Pregled</w:t>
      </w:r>
      <w:r w:rsidR="0053265D"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pružalaca</w:t>
      </w:r>
      <w:r w:rsidR="0053265D"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usluga</w:t>
      </w:r>
      <w:r w:rsidR="0053265D"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povezanih</w:t>
      </w:r>
      <w:r w:rsidR="0053265D"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sa</w:t>
      </w:r>
      <w:r w:rsidR="0053265D"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virtuelnim</w:t>
      </w:r>
      <w:r w:rsidR="0053265D"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valutama</w:t>
      </w:r>
      <w:r w:rsidR="0053265D"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na</w:t>
      </w:r>
      <w:r w:rsidR="0053265D"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dan</w:t>
      </w:r>
      <w:r w:rsidR="0053265D" w:rsidRPr="001B53A8">
        <w:rPr>
          <w:rFonts w:ascii="Times New Roman" w:hAnsi="Times New Roman"/>
          <w:b w:val="0"/>
          <w:noProof/>
          <w:sz w:val="24"/>
          <w:szCs w:val="24"/>
          <w:lang w:val="sr-Latn-BA"/>
        </w:rPr>
        <w:t xml:space="preserve"> 31.12.2023. </w:t>
      </w:r>
      <w:r w:rsidRPr="001B53A8">
        <w:rPr>
          <w:rFonts w:ascii="Times New Roman" w:hAnsi="Times New Roman"/>
          <w:b w:val="0"/>
          <w:noProof/>
          <w:sz w:val="24"/>
          <w:szCs w:val="24"/>
          <w:lang w:val="sr-Latn-BA"/>
        </w:rPr>
        <w:t>godine</w:t>
      </w:r>
    </w:p>
    <w:p w14:paraId="2F2671E7" w14:textId="36CE144E" w:rsidR="009628CE" w:rsidRPr="001B53A8" w:rsidRDefault="00003F34" w:rsidP="006B6E0C">
      <w:pPr>
        <w:pStyle w:val="Heading1"/>
        <w:shd w:val="clear" w:color="auto" w:fill="auto"/>
        <w:spacing w:before="360" w:line="240" w:lineRule="auto"/>
        <w:ind w:left="567" w:hanging="567"/>
        <w:rPr>
          <w:rFonts w:ascii="Times New Roman" w:hAnsi="Times New Roman"/>
          <w:caps w:val="0"/>
          <w:color w:val="002060"/>
          <w:lang w:val="sr-Latn-BA"/>
        </w:rPr>
      </w:pPr>
      <w:bookmarkStart w:id="40" w:name="_Toc167962110"/>
      <w:r w:rsidRPr="001B53A8">
        <w:rPr>
          <w:rFonts w:ascii="Times New Roman" w:hAnsi="Times New Roman"/>
          <w:caps w:val="0"/>
          <w:color w:val="002060"/>
          <w:lang w:val="sr-Latn-BA"/>
        </w:rPr>
        <w:t>EMISIJA</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HARTIJA</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OD</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VRIJEDNOSTI</w:t>
      </w:r>
      <w:bookmarkEnd w:id="37"/>
      <w:bookmarkEnd w:id="38"/>
      <w:bookmarkEnd w:id="39"/>
      <w:bookmarkEnd w:id="40"/>
    </w:p>
    <w:p w14:paraId="06596974" w14:textId="7D491971" w:rsidR="006F19FB" w:rsidRPr="001B53A8" w:rsidRDefault="00003F34" w:rsidP="006F19FB">
      <w:pPr>
        <w:spacing w:after="0" w:line="240" w:lineRule="auto"/>
        <w:ind w:firstLine="567"/>
        <w:rPr>
          <w:lang w:val="sr-Latn-BA"/>
        </w:rPr>
      </w:pPr>
      <w:bookmarkStart w:id="41" w:name="OLE_LINK88"/>
      <w:r w:rsidRPr="001B53A8">
        <w:rPr>
          <w:lang w:val="sr-Latn-BA"/>
        </w:rPr>
        <w:t>Postupak</w:t>
      </w:r>
      <w:r w:rsidR="006F19FB" w:rsidRPr="001B53A8">
        <w:rPr>
          <w:lang w:val="sr-Latn-BA"/>
        </w:rPr>
        <w:t xml:space="preserve"> </w:t>
      </w:r>
      <w:r w:rsidRPr="001B53A8">
        <w:rPr>
          <w:lang w:val="sr-Latn-BA"/>
        </w:rPr>
        <w:t>emisije</w:t>
      </w:r>
      <w:r w:rsidR="006F19FB" w:rsidRPr="001B53A8">
        <w:rPr>
          <w:lang w:val="sr-Latn-BA"/>
        </w:rPr>
        <w:t xml:space="preserve"> </w:t>
      </w:r>
      <w:r w:rsidRPr="001B53A8">
        <w:rPr>
          <w:lang w:val="sr-Latn-BA"/>
        </w:rPr>
        <w:t>podrazumijeva</w:t>
      </w:r>
      <w:r w:rsidR="006F19FB" w:rsidRPr="001B53A8">
        <w:rPr>
          <w:lang w:val="sr-Latn-BA"/>
        </w:rPr>
        <w:t xml:space="preserve"> </w:t>
      </w:r>
      <w:r w:rsidRPr="001B53A8">
        <w:rPr>
          <w:lang w:val="sr-Latn-BA"/>
        </w:rPr>
        <w:t>skup</w:t>
      </w:r>
      <w:r w:rsidR="006F19FB" w:rsidRPr="001B53A8">
        <w:rPr>
          <w:lang w:val="sr-Latn-BA"/>
        </w:rPr>
        <w:t xml:space="preserve"> </w:t>
      </w:r>
      <w:r w:rsidRPr="001B53A8">
        <w:rPr>
          <w:lang w:val="sr-Latn-BA"/>
        </w:rPr>
        <w:t>radnji</w:t>
      </w:r>
      <w:r w:rsidR="006F19FB" w:rsidRPr="001B53A8">
        <w:rPr>
          <w:lang w:val="sr-Latn-BA"/>
        </w:rPr>
        <w:t xml:space="preserve"> </w:t>
      </w:r>
      <w:r w:rsidRPr="001B53A8">
        <w:rPr>
          <w:lang w:val="sr-Latn-BA"/>
        </w:rPr>
        <w:t>koje</w:t>
      </w:r>
      <w:r w:rsidR="006F19FB" w:rsidRPr="001B53A8">
        <w:rPr>
          <w:lang w:val="sr-Latn-BA"/>
        </w:rPr>
        <w:t xml:space="preserve"> </w:t>
      </w:r>
      <w:r w:rsidRPr="001B53A8">
        <w:rPr>
          <w:lang w:val="sr-Latn-BA"/>
        </w:rPr>
        <w:t>emitent</w:t>
      </w:r>
      <w:r w:rsidR="006F19FB" w:rsidRPr="001B53A8">
        <w:rPr>
          <w:lang w:val="sr-Latn-BA"/>
        </w:rPr>
        <w:t xml:space="preserve"> </w:t>
      </w:r>
      <w:r w:rsidRPr="001B53A8">
        <w:rPr>
          <w:lang w:val="sr-Latn-BA"/>
        </w:rPr>
        <w:t>preduzima</w:t>
      </w:r>
      <w:r w:rsidR="006F19FB" w:rsidRPr="001B53A8">
        <w:rPr>
          <w:lang w:val="sr-Latn-BA"/>
        </w:rPr>
        <w:t xml:space="preserve"> </w:t>
      </w:r>
      <w:r w:rsidRPr="001B53A8">
        <w:rPr>
          <w:lang w:val="sr-Latn-BA"/>
        </w:rPr>
        <w:t>u</w:t>
      </w:r>
      <w:r w:rsidR="006F19FB" w:rsidRPr="001B53A8">
        <w:rPr>
          <w:lang w:val="sr-Latn-BA"/>
        </w:rPr>
        <w:t xml:space="preserve"> </w:t>
      </w:r>
      <w:r w:rsidRPr="001B53A8">
        <w:rPr>
          <w:lang w:val="sr-Latn-BA"/>
        </w:rPr>
        <w:t>svrhu</w:t>
      </w:r>
      <w:r w:rsidR="006F19FB" w:rsidRPr="001B53A8">
        <w:rPr>
          <w:lang w:val="sr-Latn-BA"/>
        </w:rPr>
        <w:t xml:space="preserve"> </w:t>
      </w:r>
      <w:r w:rsidRPr="001B53A8">
        <w:rPr>
          <w:lang w:val="sr-Latn-BA"/>
        </w:rPr>
        <w:t>prikuplјanja</w:t>
      </w:r>
      <w:r w:rsidR="006F19FB" w:rsidRPr="001B53A8">
        <w:rPr>
          <w:lang w:val="sr-Latn-BA"/>
        </w:rPr>
        <w:t xml:space="preserve"> </w:t>
      </w:r>
      <w:r w:rsidRPr="001B53A8">
        <w:rPr>
          <w:lang w:val="sr-Latn-BA"/>
        </w:rPr>
        <w:t>sredstava</w:t>
      </w:r>
      <w:r w:rsidR="006F19FB" w:rsidRPr="001B53A8">
        <w:rPr>
          <w:lang w:val="sr-Latn-BA"/>
        </w:rPr>
        <w:t xml:space="preserve"> </w:t>
      </w:r>
      <w:r w:rsidRPr="001B53A8">
        <w:rPr>
          <w:lang w:val="sr-Latn-BA"/>
        </w:rPr>
        <w:t>prodajom</w:t>
      </w:r>
      <w:r w:rsidR="006F19FB" w:rsidRPr="001B53A8">
        <w:rPr>
          <w:lang w:val="sr-Latn-BA"/>
        </w:rPr>
        <w:t xml:space="preserve"> </w:t>
      </w:r>
      <w:r w:rsidRPr="001B53A8">
        <w:rPr>
          <w:lang w:val="sr-Latn-BA"/>
        </w:rPr>
        <w:t>hartija</w:t>
      </w:r>
      <w:r w:rsidR="006F19FB" w:rsidRPr="001B53A8">
        <w:rPr>
          <w:lang w:val="sr-Latn-BA"/>
        </w:rPr>
        <w:t xml:space="preserve"> </w:t>
      </w:r>
      <w:r w:rsidRPr="001B53A8">
        <w:rPr>
          <w:lang w:val="sr-Latn-BA"/>
        </w:rPr>
        <w:t>od</w:t>
      </w:r>
      <w:r w:rsidR="006F19FB" w:rsidRPr="001B53A8">
        <w:rPr>
          <w:lang w:val="sr-Latn-BA"/>
        </w:rPr>
        <w:t xml:space="preserve"> </w:t>
      </w:r>
      <w:r w:rsidRPr="001B53A8">
        <w:rPr>
          <w:lang w:val="sr-Latn-BA"/>
        </w:rPr>
        <w:t>vrijednosti</w:t>
      </w:r>
      <w:r w:rsidR="006F19FB" w:rsidRPr="001B53A8">
        <w:rPr>
          <w:lang w:val="sr-Latn-BA"/>
        </w:rPr>
        <w:t xml:space="preserve"> </w:t>
      </w:r>
      <w:r w:rsidRPr="001B53A8">
        <w:rPr>
          <w:lang w:val="sr-Latn-BA"/>
        </w:rPr>
        <w:t>prvim</w:t>
      </w:r>
      <w:r w:rsidR="006F19FB" w:rsidRPr="001B53A8">
        <w:rPr>
          <w:lang w:val="sr-Latn-BA"/>
        </w:rPr>
        <w:t xml:space="preserve"> </w:t>
      </w:r>
      <w:r w:rsidRPr="001B53A8">
        <w:rPr>
          <w:lang w:val="sr-Latn-BA"/>
        </w:rPr>
        <w:t>imaocima</w:t>
      </w:r>
      <w:r w:rsidR="006F19FB" w:rsidRPr="001B53A8">
        <w:rPr>
          <w:lang w:val="sr-Latn-BA"/>
        </w:rPr>
        <w:t xml:space="preserve">, </w:t>
      </w:r>
      <w:r w:rsidRPr="001B53A8">
        <w:rPr>
          <w:lang w:val="sr-Latn-BA"/>
        </w:rPr>
        <w:t>uz</w:t>
      </w:r>
      <w:r w:rsidR="006F19FB" w:rsidRPr="001B53A8">
        <w:rPr>
          <w:lang w:val="sr-Latn-BA"/>
        </w:rPr>
        <w:t xml:space="preserve"> </w:t>
      </w:r>
      <w:r w:rsidRPr="001B53A8">
        <w:rPr>
          <w:lang w:val="sr-Latn-BA"/>
        </w:rPr>
        <w:t>obavezu</w:t>
      </w:r>
      <w:r w:rsidR="006F19FB" w:rsidRPr="001B53A8">
        <w:rPr>
          <w:lang w:val="sr-Latn-BA"/>
        </w:rPr>
        <w:t xml:space="preserve"> </w:t>
      </w:r>
      <w:r w:rsidRPr="001B53A8">
        <w:rPr>
          <w:lang w:val="sr-Latn-BA"/>
        </w:rPr>
        <w:t>da</w:t>
      </w:r>
      <w:r w:rsidR="006F19FB" w:rsidRPr="001B53A8">
        <w:rPr>
          <w:lang w:val="sr-Latn-BA"/>
        </w:rPr>
        <w:t xml:space="preserve"> </w:t>
      </w:r>
      <w:r w:rsidRPr="001B53A8">
        <w:rPr>
          <w:lang w:val="sr-Latn-BA"/>
        </w:rPr>
        <w:t>svakom</w:t>
      </w:r>
      <w:r w:rsidR="006F19FB" w:rsidRPr="001B53A8">
        <w:rPr>
          <w:lang w:val="sr-Latn-BA"/>
        </w:rPr>
        <w:t xml:space="preserve"> </w:t>
      </w:r>
      <w:r w:rsidRPr="001B53A8">
        <w:rPr>
          <w:lang w:val="sr-Latn-BA"/>
        </w:rPr>
        <w:t>od</w:t>
      </w:r>
      <w:r w:rsidR="006F19FB" w:rsidRPr="001B53A8">
        <w:rPr>
          <w:lang w:val="sr-Latn-BA"/>
        </w:rPr>
        <w:t xml:space="preserve"> </w:t>
      </w:r>
      <w:r w:rsidRPr="001B53A8">
        <w:rPr>
          <w:lang w:val="sr-Latn-BA"/>
        </w:rPr>
        <w:t>njih</w:t>
      </w:r>
      <w:r w:rsidR="006F19FB" w:rsidRPr="001B53A8">
        <w:rPr>
          <w:lang w:val="sr-Latn-BA"/>
        </w:rPr>
        <w:t xml:space="preserve"> </w:t>
      </w:r>
      <w:r w:rsidRPr="001B53A8">
        <w:rPr>
          <w:lang w:val="sr-Latn-BA"/>
        </w:rPr>
        <w:t>omogući</w:t>
      </w:r>
      <w:r w:rsidR="006F19FB" w:rsidRPr="001B53A8">
        <w:rPr>
          <w:lang w:val="sr-Latn-BA"/>
        </w:rPr>
        <w:t xml:space="preserve"> </w:t>
      </w:r>
      <w:r w:rsidRPr="001B53A8">
        <w:rPr>
          <w:lang w:val="sr-Latn-BA"/>
        </w:rPr>
        <w:t>ostvarivanje</w:t>
      </w:r>
      <w:r w:rsidR="006F19FB" w:rsidRPr="001B53A8">
        <w:rPr>
          <w:lang w:val="sr-Latn-BA"/>
        </w:rPr>
        <w:t xml:space="preserve"> </w:t>
      </w:r>
      <w:r w:rsidRPr="001B53A8">
        <w:rPr>
          <w:lang w:val="sr-Latn-BA"/>
        </w:rPr>
        <w:t>prava</w:t>
      </w:r>
      <w:r w:rsidR="006F19FB" w:rsidRPr="001B53A8">
        <w:rPr>
          <w:lang w:val="sr-Latn-BA"/>
        </w:rPr>
        <w:t xml:space="preserve"> </w:t>
      </w:r>
      <w:r w:rsidRPr="001B53A8">
        <w:rPr>
          <w:lang w:val="sr-Latn-BA"/>
        </w:rPr>
        <w:t>iz</w:t>
      </w:r>
      <w:r w:rsidR="006F19FB" w:rsidRPr="001B53A8">
        <w:rPr>
          <w:lang w:val="sr-Latn-BA"/>
        </w:rPr>
        <w:t xml:space="preserve"> </w:t>
      </w:r>
      <w:r w:rsidRPr="001B53A8">
        <w:rPr>
          <w:lang w:val="sr-Latn-BA"/>
        </w:rPr>
        <w:t>hartije</w:t>
      </w:r>
      <w:r w:rsidR="006F19FB" w:rsidRPr="001B53A8">
        <w:rPr>
          <w:lang w:val="sr-Latn-BA"/>
        </w:rPr>
        <w:t xml:space="preserve"> </w:t>
      </w:r>
      <w:r w:rsidRPr="001B53A8">
        <w:rPr>
          <w:lang w:val="sr-Latn-BA"/>
        </w:rPr>
        <w:t>od</w:t>
      </w:r>
      <w:r w:rsidR="006F19FB" w:rsidRPr="001B53A8">
        <w:rPr>
          <w:lang w:val="sr-Latn-BA"/>
        </w:rPr>
        <w:t xml:space="preserve"> </w:t>
      </w:r>
      <w:r w:rsidRPr="001B53A8">
        <w:rPr>
          <w:lang w:val="sr-Latn-BA"/>
        </w:rPr>
        <w:t>vrijednosti</w:t>
      </w:r>
      <w:r w:rsidR="006F19FB" w:rsidRPr="001B53A8">
        <w:rPr>
          <w:lang w:val="sr-Latn-BA"/>
        </w:rPr>
        <w:t xml:space="preserve"> </w:t>
      </w:r>
      <w:r w:rsidRPr="001B53A8">
        <w:rPr>
          <w:lang w:val="sr-Latn-BA"/>
        </w:rPr>
        <w:t>koju</w:t>
      </w:r>
      <w:r w:rsidR="006F19FB" w:rsidRPr="001B53A8">
        <w:rPr>
          <w:lang w:val="sr-Latn-BA"/>
        </w:rPr>
        <w:t xml:space="preserve"> </w:t>
      </w:r>
      <w:r w:rsidRPr="001B53A8">
        <w:rPr>
          <w:lang w:val="sr-Latn-BA"/>
        </w:rPr>
        <w:t>emituje</w:t>
      </w:r>
      <w:r w:rsidR="006F19FB" w:rsidRPr="001B53A8">
        <w:rPr>
          <w:lang w:val="sr-Latn-BA"/>
        </w:rPr>
        <w:t>.</w:t>
      </w:r>
    </w:p>
    <w:p w14:paraId="2F2F4CAD" w14:textId="19D15C39" w:rsidR="006F19FB" w:rsidRPr="001B53A8" w:rsidRDefault="00003F34" w:rsidP="006F19FB">
      <w:pPr>
        <w:spacing w:after="0" w:line="240" w:lineRule="auto"/>
        <w:ind w:firstLine="567"/>
        <w:rPr>
          <w:lang w:val="sr-Latn-BA"/>
        </w:rPr>
      </w:pPr>
      <w:r w:rsidRPr="001B53A8">
        <w:rPr>
          <w:lang w:val="sr-Latn-BA"/>
        </w:rPr>
        <w:t>Prema</w:t>
      </w:r>
      <w:r w:rsidR="006F19FB" w:rsidRPr="001B53A8">
        <w:rPr>
          <w:lang w:val="sr-Latn-BA"/>
        </w:rPr>
        <w:t xml:space="preserve"> </w:t>
      </w:r>
      <w:r w:rsidRPr="001B53A8">
        <w:rPr>
          <w:lang w:val="sr-Latn-BA"/>
        </w:rPr>
        <w:t>odredbama</w:t>
      </w:r>
      <w:r w:rsidR="006F19FB" w:rsidRPr="001B53A8">
        <w:rPr>
          <w:lang w:val="sr-Latn-BA"/>
        </w:rPr>
        <w:t xml:space="preserve"> </w:t>
      </w:r>
      <w:r w:rsidRPr="001B53A8">
        <w:rPr>
          <w:lang w:val="sr-Latn-BA"/>
        </w:rPr>
        <w:t>Zakona</w:t>
      </w:r>
      <w:r w:rsidR="006F19FB" w:rsidRPr="001B53A8">
        <w:rPr>
          <w:lang w:val="sr-Latn-BA"/>
        </w:rPr>
        <w:t xml:space="preserve"> </w:t>
      </w:r>
      <w:r w:rsidRPr="001B53A8">
        <w:rPr>
          <w:lang w:val="sr-Latn-BA"/>
        </w:rPr>
        <w:t>o</w:t>
      </w:r>
      <w:r w:rsidR="006F19FB" w:rsidRPr="001B53A8">
        <w:rPr>
          <w:lang w:val="sr-Latn-BA"/>
        </w:rPr>
        <w:t xml:space="preserve"> </w:t>
      </w:r>
      <w:r w:rsidRPr="001B53A8">
        <w:rPr>
          <w:lang w:val="sr-Latn-BA"/>
        </w:rPr>
        <w:t>tržištu</w:t>
      </w:r>
      <w:r w:rsidR="006F19FB" w:rsidRPr="001B53A8">
        <w:rPr>
          <w:lang w:val="sr-Latn-BA"/>
        </w:rPr>
        <w:t xml:space="preserve"> </w:t>
      </w:r>
      <w:r w:rsidRPr="001B53A8">
        <w:rPr>
          <w:lang w:val="sr-Latn-BA"/>
        </w:rPr>
        <w:t>hartija</w:t>
      </w:r>
      <w:r w:rsidR="006F19FB" w:rsidRPr="001B53A8">
        <w:rPr>
          <w:lang w:val="sr-Latn-BA"/>
        </w:rPr>
        <w:t xml:space="preserve"> </w:t>
      </w:r>
      <w:r w:rsidRPr="001B53A8">
        <w:rPr>
          <w:lang w:val="sr-Latn-BA"/>
        </w:rPr>
        <w:t>od</w:t>
      </w:r>
      <w:r w:rsidR="006F19FB" w:rsidRPr="001B53A8">
        <w:rPr>
          <w:lang w:val="sr-Latn-BA"/>
        </w:rPr>
        <w:t xml:space="preserve"> </w:t>
      </w:r>
      <w:r w:rsidRPr="001B53A8">
        <w:rPr>
          <w:lang w:val="sr-Latn-BA"/>
        </w:rPr>
        <w:t>vrijednosti</w:t>
      </w:r>
      <w:r w:rsidR="006F19FB" w:rsidRPr="001B53A8">
        <w:rPr>
          <w:lang w:val="sr-Latn-BA"/>
        </w:rPr>
        <w:t xml:space="preserve"> </w:t>
      </w:r>
      <w:r w:rsidRPr="001B53A8">
        <w:rPr>
          <w:lang w:val="sr-Latn-BA"/>
        </w:rPr>
        <w:t>i</w:t>
      </w:r>
      <w:r w:rsidR="006F19FB" w:rsidRPr="001B53A8">
        <w:rPr>
          <w:lang w:val="sr-Latn-BA"/>
        </w:rPr>
        <w:t xml:space="preserve"> </w:t>
      </w:r>
      <w:r w:rsidRPr="001B53A8">
        <w:rPr>
          <w:lang w:val="sr-Latn-BA"/>
        </w:rPr>
        <w:t>Pravilnika</w:t>
      </w:r>
      <w:r w:rsidR="006F19FB" w:rsidRPr="001B53A8">
        <w:rPr>
          <w:lang w:val="sr-Latn-BA"/>
        </w:rPr>
        <w:t xml:space="preserve"> </w:t>
      </w:r>
      <w:r w:rsidRPr="001B53A8">
        <w:rPr>
          <w:lang w:val="sr-Latn-BA"/>
        </w:rPr>
        <w:t>o</w:t>
      </w:r>
      <w:r w:rsidR="006F19FB" w:rsidRPr="001B53A8">
        <w:rPr>
          <w:lang w:val="sr-Latn-BA"/>
        </w:rPr>
        <w:t xml:space="preserve"> </w:t>
      </w:r>
      <w:r w:rsidRPr="001B53A8">
        <w:rPr>
          <w:lang w:val="sr-Latn-BA"/>
        </w:rPr>
        <w:t>uslovima</w:t>
      </w:r>
      <w:r w:rsidR="006F19FB" w:rsidRPr="001B53A8">
        <w:rPr>
          <w:lang w:val="sr-Latn-BA"/>
        </w:rPr>
        <w:t xml:space="preserve"> </w:t>
      </w:r>
      <w:r w:rsidRPr="001B53A8">
        <w:rPr>
          <w:lang w:val="sr-Latn-BA"/>
        </w:rPr>
        <w:t>i</w:t>
      </w:r>
      <w:r w:rsidR="006F19FB" w:rsidRPr="001B53A8">
        <w:rPr>
          <w:lang w:val="sr-Latn-BA"/>
        </w:rPr>
        <w:t xml:space="preserve"> </w:t>
      </w:r>
      <w:r w:rsidRPr="001B53A8">
        <w:rPr>
          <w:lang w:val="sr-Latn-BA"/>
        </w:rPr>
        <w:t>postupku</w:t>
      </w:r>
      <w:r w:rsidR="006F19FB" w:rsidRPr="001B53A8">
        <w:rPr>
          <w:lang w:val="sr-Latn-BA"/>
        </w:rPr>
        <w:t xml:space="preserve"> </w:t>
      </w:r>
      <w:r w:rsidRPr="001B53A8">
        <w:rPr>
          <w:lang w:val="sr-Latn-BA"/>
        </w:rPr>
        <w:t>emisije</w:t>
      </w:r>
      <w:r w:rsidR="006F19FB" w:rsidRPr="001B53A8">
        <w:rPr>
          <w:lang w:val="sr-Latn-BA"/>
        </w:rPr>
        <w:t xml:space="preserve"> </w:t>
      </w:r>
      <w:r w:rsidRPr="001B53A8">
        <w:rPr>
          <w:lang w:val="sr-Latn-BA"/>
        </w:rPr>
        <w:t>hartija</w:t>
      </w:r>
      <w:r w:rsidR="006F19FB" w:rsidRPr="001B53A8">
        <w:rPr>
          <w:lang w:val="sr-Latn-BA"/>
        </w:rPr>
        <w:t xml:space="preserve"> </w:t>
      </w:r>
      <w:r w:rsidRPr="001B53A8">
        <w:rPr>
          <w:lang w:val="sr-Latn-BA"/>
        </w:rPr>
        <w:t>od</w:t>
      </w:r>
      <w:r w:rsidR="006F19FB" w:rsidRPr="001B53A8">
        <w:rPr>
          <w:lang w:val="sr-Latn-BA"/>
        </w:rPr>
        <w:t xml:space="preserve"> </w:t>
      </w:r>
      <w:r w:rsidRPr="001B53A8">
        <w:rPr>
          <w:lang w:val="sr-Latn-BA"/>
        </w:rPr>
        <w:t>vrijednosti</w:t>
      </w:r>
      <w:r w:rsidR="006F19FB" w:rsidRPr="001B53A8">
        <w:rPr>
          <w:vertAlign w:val="superscript"/>
          <w:lang w:val="sr-Latn-BA"/>
        </w:rPr>
        <w:footnoteReference w:id="2"/>
      </w:r>
      <w:r w:rsidR="006F19FB" w:rsidRPr="001B53A8">
        <w:rPr>
          <w:lang w:val="sr-Latn-BA"/>
        </w:rPr>
        <w:t xml:space="preserve">, </w:t>
      </w:r>
      <w:r w:rsidRPr="001B53A8">
        <w:rPr>
          <w:lang w:val="sr-Latn-BA"/>
        </w:rPr>
        <w:t>emisija</w:t>
      </w:r>
      <w:r w:rsidR="006F19FB" w:rsidRPr="001B53A8">
        <w:rPr>
          <w:lang w:val="sr-Latn-BA"/>
        </w:rPr>
        <w:t xml:space="preserve"> </w:t>
      </w:r>
      <w:r w:rsidRPr="001B53A8">
        <w:rPr>
          <w:lang w:val="sr-Latn-BA"/>
        </w:rPr>
        <w:t>hartija</w:t>
      </w:r>
      <w:r w:rsidR="006F19FB" w:rsidRPr="001B53A8">
        <w:rPr>
          <w:lang w:val="sr-Latn-BA"/>
        </w:rPr>
        <w:t xml:space="preserve"> </w:t>
      </w:r>
      <w:r w:rsidRPr="001B53A8">
        <w:rPr>
          <w:lang w:val="sr-Latn-BA"/>
        </w:rPr>
        <w:t>od</w:t>
      </w:r>
      <w:r w:rsidR="006F19FB" w:rsidRPr="001B53A8">
        <w:rPr>
          <w:lang w:val="sr-Latn-BA"/>
        </w:rPr>
        <w:t xml:space="preserve"> </w:t>
      </w:r>
      <w:r w:rsidRPr="001B53A8">
        <w:rPr>
          <w:lang w:val="sr-Latn-BA"/>
        </w:rPr>
        <w:t>vrijednosti</w:t>
      </w:r>
      <w:r w:rsidR="006F19FB" w:rsidRPr="001B53A8">
        <w:rPr>
          <w:lang w:val="sr-Latn-BA"/>
        </w:rPr>
        <w:t xml:space="preserve"> </w:t>
      </w:r>
      <w:r w:rsidRPr="001B53A8">
        <w:rPr>
          <w:lang w:val="sr-Latn-BA"/>
        </w:rPr>
        <w:t>može</w:t>
      </w:r>
      <w:r w:rsidR="006F19FB" w:rsidRPr="001B53A8">
        <w:rPr>
          <w:lang w:val="sr-Latn-BA"/>
        </w:rPr>
        <w:t xml:space="preserve"> </w:t>
      </w:r>
      <w:r w:rsidRPr="001B53A8">
        <w:rPr>
          <w:lang w:val="sr-Latn-BA"/>
        </w:rPr>
        <w:t>se</w:t>
      </w:r>
      <w:r w:rsidR="006F19FB" w:rsidRPr="001B53A8">
        <w:rPr>
          <w:lang w:val="sr-Latn-BA"/>
        </w:rPr>
        <w:t xml:space="preserve"> </w:t>
      </w:r>
      <w:r w:rsidRPr="001B53A8">
        <w:rPr>
          <w:lang w:val="sr-Latn-BA"/>
        </w:rPr>
        <w:t>izvršiti</w:t>
      </w:r>
      <w:r w:rsidR="006F19FB" w:rsidRPr="001B53A8">
        <w:rPr>
          <w:lang w:val="sr-Latn-BA"/>
        </w:rPr>
        <w:t>:</w:t>
      </w:r>
    </w:p>
    <w:bookmarkEnd w:id="41"/>
    <w:p w14:paraId="449D51E7" w14:textId="145AD298" w:rsidR="006F19FB" w:rsidRPr="001B53A8" w:rsidRDefault="00003F34" w:rsidP="006F19FB">
      <w:pPr>
        <w:pStyle w:val="ListParagraph"/>
        <w:numPr>
          <w:ilvl w:val="0"/>
          <w:numId w:val="6"/>
        </w:numPr>
        <w:spacing w:before="0" w:after="0" w:line="240" w:lineRule="auto"/>
        <w:ind w:left="851" w:hanging="284"/>
        <w:contextualSpacing w:val="0"/>
        <w:rPr>
          <w:lang w:val="sr-Latn-BA"/>
        </w:rPr>
      </w:pPr>
      <w:r w:rsidRPr="001B53A8">
        <w:rPr>
          <w:b/>
          <w:lang w:val="sr-Latn-BA"/>
        </w:rPr>
        <w:t>javnom</w:t>
      </w:r>
      <w:r w:rsidR="006F19FB" w:rsidRPr="001B53A8">
        <w:rPr>
          <w:b/>
          <w:lang w:val="sr-Latn-BA"/>
        </w:rPr>
        <w:t xml:space="preserve"> </w:t>
      </w:r>
      <w:r w:rsidRPr="001B53A8">
        <w:rPr>
          <w:b/>
          <w:lang w:val="sr-Latn-BA"/>
        </w:rPr>
        <w:t>ponudom</w:t>
      </w:r>
      <w:r w:rsidR="006F19FB" w:rsidRPr="001B53A8">
        <w:rPr>
          <w:lang w:val="sr-Latn-BA"/>
        </w:rPr>
        <w:t xml:space="preserve">, </w:t>
      </w:r>
      <w:r w:rsidRPr="001B53A8">
        <w:rPr>
          <w:lang w:val="sr-Latn-BA"/>
        </w:rPr>
        <w:t>u</w:t>
      </w:r>
      <w:r w:rsidR="006F19FB" w:rsidRPr="001B53A8">
        <w:rPr>
          <w:lang w:val="sr-Latn-BA"/>
        </w:rPr>
        <w:t xml:space="preserve"> </w:t>
      </w:r>
      <w:r w:rsidRPr="001B53A8">
        <w:rPr>
          <w:lang w:val="sr-Latn-BA"/>
        </w:rPr>
        <w:t>kojoj</w:t>
      </w:r>
      <w:r w:rsidR="006F19FB" w:rsidRPr="001B53A8">
        <w:rPr>
          <w:lang w:val="sr-Latn-BA"/>
        </w:rPr>
        <w:t xml:space="preserve"> </w:t>
      </w:r>
      <w:r w:rsidRPr="001B53A8">
        <w:rPr>
          <w:lang w:val="sr-Latn-BA"/>
        </w:rPr>
        <w:t>se</w:t>
      </w:r>
      <w:r w:rsidR="006F19FB" w:rsidRPr="001B53A8">
        <w:rPr>
          <w:lang w:val="sr-Latn-BA"/>
        </w:rPr>
        <w:t xml:space="preserve"> </w:t>
      </w:r>
      <w:r w:rsidRPr="001B53A8">
        <w:rPr>
          <w:lang w:val="sr-Latn-BA"/>
        </w:rPr>
        <w:t>upis</w:t>
      </w:r>
      <w:r w:rsidR="006F19FB" w:rsidRPr="001B53A8">
        <w:rPr>
          <w:lang w:val="sr-Latn-BA"/>
        </w:rPr>
        <w:t xml:space="preserve"> </w:t>
      </w:r>
      <w:r w:rsidRPr="001B53A8">
        <w:rPr>
          <w:lang w:val="sr-Latn-BA"/>
        </w:rPr>
        <w:t>i</w:t>
      </w:r>
      <w:r w:rsidR="006F19FB" w:rsidRPr="001B53A8">
        <w:rPr>
          <w:lang w:val="sr-Latn-BA"/>
        </w:rPr>
        <w:t xml:space="preserve"> </w:t>
      </w:r>
      <w:r w:rsidRPr="001B53A8">
        <w:rPr>
          <w:lang w:val="sr-Latn-BA"/>
        </w:rPr>
        <w:t>uplata</w:t>
      </w:r>
      <w:r w:rsidR="006F19FB" w:rsidRPr="001B53A8">
        <w:rPr>
          <w:lang w:val="sr-Latn-BA"/>
        </w:rPr>
        <w:t xml:space="preserve"> </w:t>
      </w:r>
      <w:r w:rsidRPr="001B53A8">
        <w:rPr>
          <w:lang w:val="sr-Latn-BA"/>
        </w:rPr>
        <w:t>hartija</w:t>
      </w:r>
      <w:r w:rsidR="006F19FB" w:rsidRPr="001B53A8">
        <w:rPr>
          <w:lang w:val="sr-Latn-BA"/>
        </w:rPr>
        <w:t xml:space="preserve"> </w:t>
      </w:r>
      <w:r w:rsidRPr="001B53A8">
        <w:rPr>
          <w:lang w:val="sr-Latn-BA"/>
        </w:rPr>
        <w:t>od</w:t>
      </w:r>
      <w:r w:rsidR="006F19FB" w:rsidRPr="001B53A8">
        <w:rPr>
          <w:lang w:val="sr-Latn-BA"/>
        </w:rPr>
        <w:t xml:space="preserve"> </w:t>
      </w:r>
      <w:r w:rsidRPr="001B53A8">
        <w:rPr>
          <w:lang w:val="sr-Latn-BA"/>
        </w:rPr>
        <w:t>vrijednosti</w:t>
      </w:r>
      <w:r w:rsidR="006F19FB" w:rsidRPr="001B53A8">
        <w:rPr>
          <w:lang w:val="sr-Latn-BA"/>
        </w:rPr>
        <w:t xml:space="preserve"> </w:t>
      </w:r>
      <w:r w:rsidRPr="001B53A8">
        <w:rPr>
          <w:lang w:val="sr-Latn-BA"/>
        </w:rPr>
        <w:t>vrši</w:t>
      </w:r>
      <w:r w:rsidR="006F19FB" w:rsidRPr="001B53A8">
        <w:rPr>
          <w:lang w:val="sr-Latn-BA"/>
        </w:rPr>
        <w:t xml:space="preserve"> </w:t>
      </w:r>
      <w:r w:rsidRPr="001B53A8">
        <w:rPr>
          <w:lang w:val="sr-Latn-BA"/>
        </w:rPr>
        <w:t>na</w:t>
      </w:r>
      <w:r w:rsidR="006F19FB" w:rsidRPr="001B53A8">
        <w:rPr>
          <w:lang w:val="sr-Latn-BA"/>
        </w:rPr>
        <w:t xml:space="preserve"> </w:t>
      </w:r>
      <w:r w:rsidRPr="001B53A8">
        <w:rPr>
          <w:lang w:val="sr-Latn-BA"/>
        </w:rPr>
        <w:t>osnovu</w:t>
      </w:r>
      <w:r w:rsidR="006F19FB" w:rsidRPr="001B53A8">
        <w:rPr>
          <w:lang w:val="sr-Latn-BA"/>
        </w:rPr>
        <w:t xml:space="preserve"> </w:t>
      </w:r>
      <w:r w:rsidRPr="001B53A8">
        <w:rPr>
          <w:lang w:val="sr-Latn-BA"/>
        </w:rPr>
        <w:t>javnog</w:t>
      </w:r>
      <w:r w:rsidR="006F19FB" w:rsidRPr="001B53A8">
        <w:rPr>
          <w:lang w:val="sr-Latn-BA"/>
        </w:rPr>
        <w:t xml:space="preserve"> </w:t>
      </w:r>
      <w:r w:rsidRPr="001B53A8">
        <w:rPr>
          <w:lang w:val="sr-Latn-BA"/>
        </w:rPr>
        <w:t>poziva</w:t>
      </w:r>
      <w:r w:rsidR="006F19FB" w:rsidRPr="001B53A8">
        <w:rPr>
          <w:lang w:val="sr-Latn-BA"/>
        </w:rPr>
        <w:t xml:space="preserve"> </w:t>
      </w:r>
      <w:r w:rsidRPr="001B53A8">
        <w:rPr>
          <w:lang w:val="sr-Latn-BA"/>
        </w:rPr>
        <w:t>neodređenom</w:t>
      </w:r>
      <w:r w:rsidR="006F19FB" w:rsidRPr="001B53A8">
        <w:rPr>
          <w:lang w:val="sr-Latn-BA"/>
        </w:rPr>
        <w:t xml:space="preserve"> </w:t>
      </w:r>
      <w:r w:rsidRPr="001B53A8">
        <w:rPr>
          <w:lang w:val="sr-Latn-BA"/>
        </w:rPr>
        <w:t>broju</w:t>
      </w:r>
      <w:r w:rsidR="006F19FB" w:rsidRPr="001B53A8">
        <w:rPr>
          <w:lang w:val="sr-Latn-BA"/>
        </w:rPr>
        <w:t xml:space="preserve"> </w:t>
      </w:r>
      <w:r w:rsidRPr="001B53A8">
        <w:rPr>
          <w:lang w:val="sr-Latn-BA"/>
        </w:rPr>
        <w:t>lica</w:t>
      </w:r>
      <w:r w:rsidR="006F19FB" w:rsidRPr="001B53A8">
        <w:rPr>
          <w:lang w:val="sr-Latn-BA"/>
        </w:rPr>
        <w:t xml:space="preserve">, </w:t>
      </w:r>
      <w:r w:rsidRPr="001B53A8">
        <w:rPr>
          <w:lang w:val="sr-Latn-BA"/>
        </w:rPr>
        <w:t>pri</w:t>
      </w:r>
      <w:r w:rsidR="006F19FB" w:rsidRPr="001B53A8">
        <w:rPr>
          <w:lang w:val="sr-Latn-BA"/>
        </w:rPr>
        <w:t xml:space="preserve"> </w:t>
      </w:r>
      <w:r w:rsidRPr="001B53A8">
        <w:rPr>
          <w:lang w:val="sr-Latn-BA"/>
        </w:rPr>
        <w:t>čemu</w:t>
      </w:r>
      <w:r w:rsidR="006F19FB" w:rsidRPr="001B53A8">
        <w:rPr>
          <w:lang w:val="sr-Latn-BA"/>
        </w:rPr>
        <w:t xml:space="preserve"> </w:t>
      </w:r>
      <w:r w:rsidRPr="001B53A8">
        <w:rPr>
          <w:lang w:val="sr-Latn-BA"/>
        </w:rPr>
        <w:t>postoji</w:t>
      </w:r>
      <w:r w:rsidR="006F19FB" w:rsidRPr="001B53A8">
        <w:rPr>
          <w:lang w:val="sr-Latn-BA"/>
        </w:rPr>
        <w:t xml:space="preserve"> </w:t>
      </w:r>
      <w:r w:rsidRPr="001B53A8">
        <w:rPr>
          <w:lang w:val="sr-Latn-BA"/>
        </w:rPr>
        <w:t>obaveza</w:t>
      </w:r>
      <w:r w:rsidR="006F19FB" w:rsidRPr="001B53A8">
        <w:rPr>
          <w:lang w:val="sr-Latn-BA"/>
        </w:rPr>
        <w:t xml:space="preserve"> </w:t>
      </w:r>
      <w:r w:rsidRPr="001B53A8">
        <w:rPr>
          <w:lang w:val="sr-Latn-BA"/>
        </w:rPr>
        <w:t>emitenta</w:t>
      </w:r>
      <w:r w:rsidR="006F19FB" w:rsidRPr="001B53A8">
        <w:rPr>
          <w:lang w:val="sr-Latn-BA"/>
        </w:rPr>
        <w:t xml:space="preserve"> </w:t>
      </w:r>
      <w:r w:rsidRPr="001B53A8">
        <w:rPr>
          <w:lang w:val="sr-Latn-BA"/>
        </w:rPr>
        <w:t>da</w:t>
      </w:r>
      <w:r w:rsidR="006F19FB" w:rsidRPr="001B53A8">
        <w:rPr>
          <w:lang w:val="sr-Latn-BA"/>
        </w:rPr>
        <w:t xml:space="preserve"> </w:t>
      </w:r>
      <w:r w:rsidRPr="001B53A8">
        <w:rPr>
          <w:lang w:val="sr-Latn-BA"/>
        </w:rPr>
        <w:t>objavi</w:t>
      </w:r>
      <w:r w:rsidR="006F19FB" w:rsidRPr="001B53A8">
        <w:rPr>
          <w:lang w:val="sr-Latn-BA"/>
        </w:rPr>
        <w:t xml:space="preserve"> </w:t>
      </w:r>
      <w:r w:rsidRPr="001B53A8">
        <w:rPr>
          <w:lang w:val="sr-Latn-BA"/>
        </w:rPr>
        <w:t>prospekt</w:t>
      </w:r>
      <w:r w:rsidR="006F19FB" w:rsidRPr="001B53A8">
        <w:rPr>
          <w:lang w:val="sr-Latn-BA"/>
        </w:rPr>
        <w:t xml:space="preserve">, </w:t>
      </w:r>
      <w:r w:rsidRPr="001B53A8">
        <w:rPr>
          <w:lang w:val="sr-Latn-BA"/>
        </w:rPr>
        <w:t>te</w:t>
      </w:r>
      <w:r w:rsidR="006F19FB" w:rsidRPr="001B53A8">
        <w:rPr>
          <w:lang w:val="sr-Latn-BA"/>
        </w:rPr>
        <w:t xml:space="preserve"> </w:t>
      </w:r>
    </w:p>
    <w:p w14:paraId="625BE894" w14:textId="63E629F5" w:rsidR="006F19FB" w:rsidRPr="001B53A8" w:rsidRDefault="00003F34" w:rsidP="006F19FB">
      <w:pPr>
        <w:pStyle w:val="ListParagraph"/>
        <w:numPr>
          <w:ilvl w:val="0"/>
          <w:numId w:val="6"/>
        </w:numPr>
        <w:spacing w:before="0" w:after="0" w:line="240" w:lineRule="auto"/>
        <w:ind w:left="851" w:hanging="284"/>
        <w:contextualSpacing w:val="0"/>
        <w:rPr>
          <w:lang w:val="sr-Latn-BA"/>
        </w:rPr>
      </w:pPr>
      <w:r w:rsidRPr="001B53A8">
        <w:rPr>
          <w:b/>
          <w:lang w:val="sr-Latn-BA"/>
        </w:rPr>
        <w:t>bez</w:t>
      </w:r>
      <w:r w:rsidR="006F19FB" w:rsidRPr="001B53A8">
        <w:rPr>
          <w:b/>
          <w:lang w:val="sr-Latn-BA"/>
        </w:rPr>
        <w:t xml:space="preserve"> </w:t>
      </w:r>
      <w:r w:rsidRPr="001B53A8">
        <w:rPr>
          <w:b/>
          <w:lang w:val="sr-Latn-BA"/>
        </w:rPr>
        <w:t>obaveze</w:t>
      </w:r>
      <w:r w:rsidR="006F19FB" w:rsidRPr="001B53A8">
        <w:rPr>
          <w:b/>
          <w:lang w:val="sr-Latn-BA"/>
        </w:rPr>
        <w:t xml:space="preserve"> </w:t>
      </w:r>
      <w:r w:rsidRPr="001B53A8">
        <w:rPr>
          <w:b/>
          <w:lang w:val="sr-Latn-BA"/>
        </w:rPr>
        <w:t>objavlјivanja</w:t>
      </w:r>
      <w:r w:rsidR="006F19FB" w:rsidRPr="001B53A8">
        <w:rPr>
          <w:b/>
          <w:lang w:val="sr-Latn-BA"/>
        </w:rPr>
        <w:t xml:space="preserve"> </w:t>
      </w:r>
      <w:r w:rsidRPr="001B53A8">
        <w:rPr>
          <w:b/>
          <w:lang w:val="sr-Latn-BA"/>
        </w:rPr>
        <w:t>prospekta</w:t>
      </w:r>
      <w:r w:rsidR="006F19FB" w:rsidRPr="001B53A8">
        <w:rPr>
          <w:lang w:val="sr-Latn-BA"/>
        </w:rPr>
        <w:t xml:space="preserve">, </w:t>
      </w:r>
      <w:r w:rsidRPr="001B53A8">
        <w:rPr>
          <w:lang w:val="sr-Latn-BA"/>
        </w:rPr>
        <w:t>pri</w:t>
      </w:r>
      <w:r w:rsidR="006F19FB" w:rsidRPr="001B53A8">
        <w:rPr>
          <w:lang w:val="sr-Latn-BA"/>
        </w:rPr>
        <w:t xml:space="preserve"> </w:t>
      </w:r>
      <w:r w:rsidRPr="001B53A8">
        <w:rPr>
          <w:lang w:val="sr-Latn-BA"/>
        </w:rPr>
        <w:t>čemu</w:t>
      </w:r>
      <w:r w:rsidR="006F19FB" w:rsidRPr="001B53A8">
        <w:rPr>
          <w:lang w:val="sr-Latn-BA"/>
        </w:rPr>
        <w:t xml:space="preserve"> </w:t>
      </w:r>
      <w:r w:rsidRPr="001B53A8">
        <w:rPr>
          <w:lang w:val="sr-Latn-BA"/>
        </w:rPr>
        <w:t>postoji</w:t>
      </w:r>
      <w:r w:rsidR="006F19FB" w:rsidRPr="001B53A8">
        <w:rPr>
          <w:lang w:val="sr-Latn-BA"/>
        </w:rPr>
        <w:t xml:space="preserve"> </w:t>
      </w:r>
      <w:r w:rsidRPr="001B53A8">
        <w:rPr>
          <w:lang w:val="sr-Latn-BA"/>
        </w:rPr>
        <w:t>obaveza</w:t>
      </w:r>
      <w:r w:rsidR="006F19FB" w:rsidRPr="001B53A8">
        <w:rPr>
          <w:lang w:val="sr-Latn-BA"/>
        </w:rPr>
        <w:t xml:space="preserve"> </w:t>
      </w:r>
      <w:r w:rsidRPr="001B53A8">
        <w:rPr>
          <w:lang w:val="sr-Latn-BA"/>
        </w:rPr>
        <w:t>emitenta</w:t>
      </w:r>
      <w:r w:rsidR="006F19FB" w:rsidRPr="001B53A8">
        <w:rPr>
          <w:lang w:val="sr-Latn-BA"/>
        </w:rPr>
        <w:t xml:space="preserve"> </w:t>
      </w:r>
      <w:r w:rsidRPr="001B53A8">
        <w:rPr>
          <w:lang w:val="sr-Latn-BA"/>
        </w:rPr>
        <w:t>da</w:t>
      </w:r>
      <w:r w:rsidR="006F19FB" w:rsidRPr="001B53A8">
        <w:rPr>
          <w:lang w:val="sr-Latn-BA"/>
        </w:rPr>
        <w:t xml:space="preserve"> </w:t>
      </w:r>
      <w:r w:rsidRPr="001B53A8">
        <w:rPr>
          <w:lang w:val="sr-Latn-BA"/>
        </w:rPr>
        <w:t>obavijesti</w:t>
      </w:r>
      <w:r w:rsidR="006F19FB" w:rsidRPr="001B53A8">
        <w:rPr>
          <w:lang w:val="sr-Latn-BA"/>
        </w:rPr>
        <w:t xml:space="preserve"> </w:t>
      </w:r>
      <w:r w:rsidRPr="001B53A8">
        <w:rPr>
          <w:lang w:val="sr-Latn-BA"/>
        </w:rPr>
        <w:t>Komisiju</w:t>
      </w:r>
      <w:r w:rsidR="006F19FB" w:rsidRPr="001B53A8">
        <w:rPr>
          <w:lang w:val="sr-Latn-BA"/>
        </w:rPr>
        <w:t xml:space="preserve"> </w:t>
      </w:r>
      <w:r w:rsidRPr="001B53A8">
        <w:rPr>
          <w:lang w:val="sr-Latn-BA"/>
        </w:rPr>
        <w:t>o</w:t>
      </w:r>
      <w:r w:rsidR="006F19FB" w:rsidRPr="001B53A8">
        <w:rPr>
          <w:lang w:val="sr-Latn-BA"/>
        </w:rPr>
        <w:t xml:space="preserve"> </w:t>
      </w:r>
      <w:r w:rsidRPr="001B53A8">
        <w:rPr>
          <w:lang w:val="sr-Latn-BA"/>
        </w:rPr>
        <w:t>donesenoj</w:t>
      </w:r>
      <w:r w:rsidR="006F19FB" w:rsidRPr="001B53A8">
        <w:rPr>
          <w:lang w:val="sr-Latn-BA"/>
        </w:rPr>
        <w:t xml:space="preserve"> </w:t>
      </w:r>
      <w:r w:rsidRPr="001B53A8">
        <w:rPr>
          <w:lang w:val="sr-Latn-BA"/>
        </w:rPr>
        <w:t>odluci</w:t>
      </w:r>
      <w:r w:rsidR="006F19FB" w:rsidRPr="001B53A8">
        <w:rPr>
          <w:lang w:val="sr-Latn-BA"/>
        </w:rPr>
        <w:t xml:space="preserve"> </w:t>
      </w:r>
      <w:r w:rsidRPr="001B53A8">
        <w:rPr>
          <w:lang w:val="sr-Latn-BA"/>
        </w:rPr>
        <w:t>o</w:t>
      </w:r>
      <w:r w:rsidR="006F19FB" w:rsidRPr="001B53A8">
        <w:rPr>
          <w:lang w:val="sr-Latn-BA"/>
        </w:rPr>
        <w:t xml:space="preserve"> </w:t>
      </w:r>
      <w:r w:rsidRPr="001B53A8">
        <w:rPr>
          <w:lang w:val="sr-Latn-BA"/>
        </w:rPr>
        <w:t>emisiji</w:t>
      </w:r>
      <w:r w:rsidR="006F19FB" w:rsidRPr="001B53A8">
        <w:rPr>
          <w:lang w:val="sr-Latn-BA"/>
        </w:rPr>
        <w:t xml:space="preserve">, </w:t>
      </w:r>
      <w:r w:rsidRPr="001B53A8">
        <w:rPr>
          <w:lang w:val="sr-Latn-BA"/>
        </w:rPr>
        <w:t>te</w:t>
      </w:r>
      <w:r w:rsidR="006F19FB" w:rsidRPr="001B53A8">
        <w:rPr>
          <w:lang w:val="sr-Latn-BA"/>
        </w:rPr>
        <w:t xml:space="preserve"> </w:t>
      </w:r>
      <w:r w:rsidRPr="001B53A8">
        <w:rPr>
          <w:lang w:val="sr-Latn-BA"/>
        </w:rPr>
        <w:t>podnese</w:t>
      </w:r>
      <w:r w:rsidR="006F19FB" w:rsidRPr="001B53A8">
        <w:rPr>
          <w:lang w:val="sr-Latn-BA"/>
        </w:rPr>
        <w:t xml:space="preserve"> </w:t>
      </w:r>
      <w:r w:rsidRPr="001B53A8">
        <w:rPr>
          <w:lang w:val="sr-Latn-BA"/>
        </w:rPr>
        <w:t>prijavu</w:t>
      </w:r>
      <w:r w:rsidR="006F19FB" w:rsidRPr="001B53A8">
        <w:rPr>
          <w:lang w:val="sr-Latn-BA"/>
        </w:rPr>
        <w:t xml:space="preserve"> </w:t>
      </w:r>
      <w:r w:rsidRPr="001B53A8">
        <w:rPr>
          <w:lang w:val="sr-Latn-BA"/>
        </w:rPr>
        <w:t>za</w:t>
      </w:r>
      <w:r w:rsidR="006F19FB" w:rsidRPr="001B53A8">
        <w:rPr>
          <w:lang w:val="sr-Latn-BA"/>
        </w:rPr>
        <w:t xml:space="preserve"> </w:t>
      </w:r>
      <w:r w:rsidRPr="001B53A8">
        <w:rPr>
          <w:lang w:val="sr-Latn-BA"/>
        </w:rPr>
        <w:t>upis</w:t>
      </w:r>
      <w:r w:rsidR="006F19FB" w:rsidRPr="001B53A8">
        <w:rPr>
          <w:lang w:val="sr-Latn-BA"/>
        </w:rPr>
        <w:t xml:space="preserve"> </w:t>
      </w:r>
      <w:r w:rsidRPr="001B53A8">
        <w:rPr>
          <w:lang w:val="sr-Latn-BA"/>
        </w:rPr>
        <w:t>emisije</w:t>
      </w:r>
      <w:r w:rsidR="006F19FB" w:rsidRPr="001B53A8">
        <w:rPr>
          <w:lang w:val="sr-Latn-BA"/>
        </w:rPr>
        <w:t xml:space="preserve"> </w:t>
      </w:r>
      <w:r w:rsidRPr="001B53A8">
        <w:rPr>
          <w:lang w:val="sr-Latn-BA"/>
        </w:rPr>
        <w:t>u</w:t>
      </w:r>
      <w:r w:rsidR="006F19FB" w:rsidRPr="001B53A8">
        <w:rPr>
          <w:lang w:val="sr-Latn-BA"/>
        </w:rPr>
        <w:t xml:space="preserve"> </w:t>
      </w:r>
      <w:r w:rsidRPr="001B53A8">
        <w:rPr>
          <w:lang w:val="sr-Latn-BA"/>
        </w:rPr>
        <w:t>Registru</w:t>
      </w:r>
      <w:r w:rsidR="006F19FB" w:rsidRPr="001B53A8">
        <w:rPr>
          <w:lang w:val="sr-Latn-BA"/>
        </w:rPr>
        <w:t xml:space="preserve"> </w:t>
      </w:r>
      <w:r w:rsidRPr="001B53A8">
        <w:rPr>
          <w:lang w:val="sr-Latn-BA"/>
        </w:rPr>
        <w:t>emitenata</w:t>
      </w:r>
      <w:r w:rsidR="006F19FB" w:rsidRPr="001B53A8">
        <w:rPr>
          <w:lang w:val="sr-Latn-BA"/>
        </w:rPr>
        <w:t xml:space="preserve">, </w:t>
      </w:r>
      <w:r w:rsidRPr="001B53A8">
        <w:rPr>
          <w:lang w:val="sr-Latn-BA"/>
        </w:rPr>
        <w:t>a</w:t>
      </w:r>
      <w:r w:rsidR="006F19FB" w:rsidRPr="001B53A8">
        <w:rPr>
          <w:lang w:val="sr-Latn-BA"/>
        </w:rPr>
        <w:t xml:space="preserve"> </w:t>
      </w:r>
      <w:r w:rsidRPr="001B53A8">
        <w:rPr>
          <w:lang w:val="sr-Latn-BA"/>
        </w:rPr>
        <w:t>u</w:t>
      </w:r>
      <w:r w:rsidR="006F19FB" w:rsidRPr="001B53A8">
        <w:rPr>
          <w:lang w:val="sr-Latn-BA"/>
        </w:rPr>
        <w:t xml:space="preserve"> </w:t>
      </w:r>
      <w:r w:rsidRPr="001B53A8">
        <w:rPr>
          <w:lang w:val="sr-Latn-BA"/>
        </w:rPr>
        <w:t>emisiji</w:t>
      </w:r>
      <w:r w:rsidR="006F19FB" w:rsidRPr="001B53A8">
        <w:rPr>
          <w:lang w:val="sr-Latn-BA"/>
        </w:rPr>
        <w:t xml:space="preserve"> </w:t>
      </w:r>
      <w:r w:rsidRPr="001B53A8">
        <w:rPr>
          <w:lang w:val="sr-Latn-BA"/>
        </w:rPr>
        <w:t>učestvuje</w:t>
      </w:r>
      <w:r w:rsidR="006F19FB" w:rsidRPr="001B53A8">
        <w:rPr>
          <w:lang w:val="sr-Latn-BA"/>
        </w:rPr>
        <w:t xml:space="preserve"> </w:t>
      </w:r>
      <w:r w:rsidRPr="001B53A8">
        <w:rPr>
          <w:lang w:val="sr-Latn-BA"/>
        </w:rPr>
        <w:t>ograničen</w:t>
      </w:r>
      <w:r w:rsidR="006F19FB" w:rsidRPr="001B53A8">
        <w:rPr>
          <w:lang w:val="sr-Latn-BA"/>
        </w:rPr>
        <w:t xml:space="preserve"> </w:t>
      </w:r>
      <w:r w:rsidRPr="001B53A8">
        <w:rPr>
          <w:lang w:val="sr-Latn-BA"/>
        </w:rPr>
        <w:t>broj</w:t>
      </w:r>
      <w:r w:rsidR="006F19FB" w:rsidRPr="001B53A8">
        <w:rPr>
          <w:lang w:val="sr-Latn-BA"/>
        </w:rPr>
        <w:t xml:space="preserve"> </w:t>
      </w:r>
      <w:r w:rsidRPr="001B53A8">
        <w:rPr>
          <w:lang w:val="sr-Latn-BA"/>
        </w:rPr>
        <w:t>investitora</w:t>
      </w:r>
      <w:r w:rsidR="006F19FB" w:rsidRPr="001B53A8">
        <w:rPr>
          <w:lang w:val="sr-Latn-BA"/>
        </w:rPr>
        <w:t>.</w:t>
      </w:r>
    </w:p>
    <w:p w14:paraId="7AF6518D" w14:textId="70DEB993" w:rsidR="006F19FB" w:rsidRPr="001B53A8" w:rsidRDefault="00003F34" w:rsidP="006F19FB">
      <w:pPr>
        <w:spacing w:after="0" w:line="240" w:lineRule="auto"/>
        <w:ind w:firstLine="567"/>
        <w:rPr>
          <w:lang w:val="sr-Latn-BA"/>
        </w:rPr>
      </w:pPr>
      <w:r w:rsidRPr="001B53A8">
        <w:rPr>
          <w:lang w:val="sr-Latn-BA"/>
        </w:rPr>
        <w:t>U</w:t>
      </w:r>
      <w:r w:rsidR="006F19FB" w:rsidRPr="001B53A8">
        <w:rPr>
          <w:lang w:val="sr-Latn-BA"/>
        </w:rPr>
        <w:t xml:space="preserve"> </w:t>
      </w:r>
      <w:r w:rsidRPr="001B53A8">
        <w:rPr>
          <w:lang w:val="sr-Latn-BA"/>
        </w:rPr>
        <w:t>slučaju</w:t>
      </w:r>
      <w:r w:rsidR="006F19FB" w:rsidRPr="001B53A8">
        <w:rPr>
          <w:lang w:val="sr-Latn-BA"/>
        </w:rPr>
        <w:t xml:space="preserve"> </w:t>
      </w:r>
      <w:r w:rsidRPr="001B53A8">
        <w:rPr>
          <w:lang w:val="sr-Latn-BA"/>
        </w:rPr>
        <w:t>da</w:t>
      </w:r>
      <w:r w:rsidR="006F19FB" w:rsidRPr="001B53A8">
        <w:rPr>
          <w:lang w:val="sr-Latn-BA"/>
        </w:rPr>
        <w:t xml:space="preserve"> </w:t>
      </w:r>
      <w:r w:rsidRPr="001B53A8">
        <w:rPr>
          <w:lang w:val="sr-Latn-BA"/>
        </w:rPr>
        <w:t>se</w:t>
      </w:r>
      <w:r w:rsidR="006F19FB" w:rsidRPr="001B53A8">
        <w:rPr>
          <w:lang w:val="sr-Latn-BA"/>
        </w:rPr>
        <w:t xml:space="preserve"> </w:t>
      </w:r>
      <w:r w:rsidRPr="001B53A8">
        <w:rPr>
          <w:lang w:val="sr-Latn-BA"/>
        </w:rPr>
        <w:t>postupak</w:t>
      </w:r>
      <w:r w:rsidR="006F19FB" w:rsidRPr="001B53A8">
        <w:rPr>
          <w:lang w:val="sr-Latn-BA"/>
        </w:rPr>
        <w:t xml:space="preserve"> </w:t>
      </w:r>
      <w:r w:rsidRPr="001B53A8">
        <w:rPr>
          <w:lang w:val="sr-Latn-BA"/>
        </w:rPr>
        <w:t>emisije</w:t>
      </w:r>
      <w:r w:rsidR="006F19FB" w:rsidRPr="001B53A8">
        <w:rPr>
          <w:lang w:val="sr-Latn-BA"/>
        </w:rPr>
        <w:t xml:space="preserve"> </w:t>
      </w:r>
      <w:r w:rsidRPr="001B53A8">
        <w:rPr>
          <w:lang w:val="sr-Latn-BA"/>
        </w:rPr>
        <w:t>odvija</w:t>
      </w:r>
      <w:r w:rsidR="006F19FB" w:rsidRPr="001B53A8">
        <w:rPr>
          <w:lang w:val="sr-Latn-BA"/>
        </w:rPr>
        <w:t xml:space="preserve"> </w:t>
      </w:r>
      <w:r w:rsidRPr="001B53A8">
        <w:rPr>
          <w:lang w:val="sr-Latn-BA"/>
        </w:rPr>
        <w:t>javnom</w:t>
      </w:r>
      <w:r w:rsidR="006F19FB" w:rsidRPr="001B53A8">
        <w:rPr>
          <w:lang w:val="sr-Latn-BA"/>
        </w:rPr>
        <w:t xml:space="preserve"> </w:t>
      </w:r>
      <w:r w:rsidRPr="001B53A8">
        <w:rPr>
          <w:lang w:val="sr-Latn-BA"/>
        </w:rPr>
        <w:t>ponudom</w:t>
      </w:r>
      <w:r w:rsidR="006F19FB" w:rsidRPr="001B53A8">
        <w:rPr>
          <w:lang w:val="sr-Latn-BA"/>
        </w:rPr>
        <w:t xml:space="preserve">, </w:t>
      </w:r>
      <w:r w:rsidRPr="001B53A8">
        <w:rPr>
          <w:lang w:val="sr-Latn-BA"/>
        </w:rPr>
        <w:t>emitent</w:t>
      </w:r>
      <w:r w:rsidR="006F19FB" w:rsidRPr="001B53A8">
        <w:rPr>
          <w:lang w:val="sr-Latn-BA"/>
        </w:rPr>
        <w:t xml:space="preserve"> </w:t>
      </w:r>
      <w:r w:rsidRPr="001B53A8">
        <w:rPr>
          <w:lang w:val="sr-Latn-BA"/>
        </w:rPr>
        <w:t>podnosi</w:t>
      </w:r>
      <w:r w:rsidR="006F19FB" w:rsidRPr="001B53A8">
        <w:rPr>
          <w:lang w:val="sr-Latn-BA"/>
        </w:rPr>
        <w:t xml:space="preserve"> </w:t>
      </w:r>
      <w:r w:rsidRPr="001B53A8">
        <w:rPr>
          <w:lang w:val="sr-Latn-BA"/>
        </w:rPr>
        <w:t>Komisiji</w:t>
      </w:r>
      <w:r w:rsidR="006F19FB" w:rsidRPr="001B53A8">
        <w:rPr>
          <w:lang w:val="sr-Latn-BA"/>
        </w:rPr>
        <w:t xml:space="preserve"> </w:t>
      </w:r>
      <w:r w:rsidRPr="001B53A8">
        <w:rPr>
          <w:lang w:val="sr-Latn-BA"/>
        </w:rPr>
        <w:t>zahtjev</w:t>
      </w:r>
      <w:r w:rsidR="006F19FB" w:rsidRPr="001B53A8">
        <w:rPr>
          <w:lang w:val="sr-Latn-BA"/>
        </w:rPr>
        <w:t xml:space="preserve"> </w:t>
      </w:r>
      <w:r w:rsidRPr="001B53A8">
        <w:rPr>
          <w:lang w:val="sr-Latn-BA"/>
        </w:rPr>
        <w:t>za</w:t>
      </w:r>
      <w:r w:rsidR="006F19FB" w:rsidRPr="001B53A8">
        <w:rPr>
          <w:lang w:val="sr-Latn-BA"/>
        </w:rPr>
        <w:t xml:space="preserve"> </w:t>
      </w:r>
      <w:r w:rsidRPr="001B53A8">
        <w:rPr>
          <w:lang w:val="sr-Latn-BA"/>
        </w:rPr>
        <w:t>odobrenje</w:t>
      </w:r>
      <w:r w:rsidR="006F19FB" w:rsidRPr="001B53A8">
        <w:rPr>
          <w:lang w:val="sr-Latn-BA"/>
        </w:rPr>
        <w:t xml:space="preserve"> </w:t>
      </w:r>
      <w:r w:rsidRPr="001B53A8">
        <w:rPr>
          <w:lang w:val="sr-Latn-BA"/>
        </w:rPr>
        <w:t>prospekta</w:t>
      </w:r>
      <w:r w:rsidR="006F19FB" w:rsidRPr="001B53A8">
        <w:rPr>
          <w:lang w:val="sr-Latn-BA"/>
        </w:rPr>
        <w:t xml:space="preserve">. </w:t>
      </w:r>
      <w:r w:rsidRPr="001B53A8">
        <w:rPr>
          <w:lang w:val="sr-Latn-BA"/>
        </w:rPr>
        <w:t>U</w:t>
      </w:r>
      <w:r w:rsidR="006F19FB" w:rsidRPr="001B53A8">
        <w:rPr>
          <w:lang w:val="sr-Latn-BA"/>
        </w:rPr>
        <w:t xml:space="preserve"> </w:t>
      </w:r>
      <w:r w:rsidRPr="001B53A8">
        <w:rPr>
          <w:lang w:val="sr-Latn-BA"/>
        </w:rPr>
        <w:t>postupku</w:t>
      </w:r>
      <w:r w:rsidR="006F19FB" w:rsidRPr="001B53A8">
        <w:rPr>
          <w:lang w:val="sr-Latn-BA"/>
        </w:rPr>
        <w:t xml:space="preserve"> </w:t>
      </w:r>
      <w:r w:rsidRPr="001B53A8">
        <w:rPr>
          <w:lang w:val="sr-Latn-BA"/>
        </w:rPr>
        <w:t>odobravanja</w:t>
      </w:r>
      <w:r w:rsidR="006F19FB" w:rsidRPr="001B53A8">
        <w:rPr>
          <w:lang w:val="sr-Latn-BA"/>
        </w:rPr>
        <w:t xml:space="preserve"> </w:t>
      </w:r>
      <w:r w:rsidRPr="001B53A8">
        <w:rPr>
          <w:lang w:val="sr-Latn-BA"/>
        </w:rPr>
        <w:t>ovih</w:t>
      </w:r>
      <w:r w:rsidR="006F19FB" w:rsidRPr="001B53A8">
        <w:rPr>
          <w:lang w:val="sr-Latn-BA"/>
        </w:rPr>
        <w:t xml:space="preserve"> </w:t>
      </w:r>
      <w:r w:rsidRPr="001B53A8">
        <w:rPr>
          <w:lang w:val="sr-Latn-BA"/>
        </w:rPr>
        <w:t>zahtjeva</w:t>
      </w:r>
      <w:r w:rsidR="006F19FB" w:rsidRPr="001B53A8">
        <w:rPr>
          <w:lang w:val="sr-Latn-BA"/>
        </w:rPr>
        <w:t xml:space="preserve"> </w:t>
      </w:r>
      <w:r w:rsidRPr="001B53A8">
        <w:rPr>
          <w:lang w:val="sr-Latn-BA"/>
        </w:rPr>
        <w:t>Komisija</w:t>
      </w:r>
      <w:r w:rsidR="006F19FB" w:rsidRPr="001B53A8">
        <w:rPr>
          <w:lang w:val="sr-Latn-BA"/>
        </w:rPr>
        <w:t xml:space="preserve"> </w:t>
      </w:r>
      <w:r w:rsidRPr="001B53A8">
        <w:rPr>
          <w:lang w:val="sr-Latn-BA"/>
        </w:rPr>
        <w:t>cijeni</w:t>
      </w:r>
      <w:r w:rsidR="006F19FB" w:rsidRPr="001B53A8">
        <w:rPr>
          <w:lang w:val="sr-Latn-BA"/>
        </w:rPr>
        <w:t xml:space="preserve">, </w:t>
      </w:r>
      <w:r w:rsidRPr="001B53A8">
        <w:rPr>
          <w:lang w:val="sr-Latn-BA"/>
        </w:rPr>
        <w:t>uz</w:t>
      </w:r>
      <w:r w:rsidR="006F19FB" w:rsidRPr="001B53A8">
        <w:rPr>
          <w:lang w:val="sr-Latn-BA"/>
        </w:rPr>
        <w:t xml:space="preserve"> </w:t>
      </w:r>
      <w:r w:rsidRPr="001B53A8">
        <w:rPr>
          <w:lang w:val="sr-Latn-BA"/>
        </w:rPr>
        <w:t>potpunost</w:t>
      </w:r>
      <w:r w:rsidR="006F19FB" w:rsidRPr="001B53A8">
        <w:rPr>
          <w:lang w:val="sr-Latn-BA"/>
        </w:rPr>
        <w:t xml:space="preserve"> </w:t>
      </w:r>
      <w:r w:rsidRPr="001B53A8">
        <w:rPr>
          <w:lang w:val="sr-Latn-BA"/>
        </w:rPr>
        <w:t>i</w:t>
      </w:r>
      <w:r w:rsidR="006F19FB" w:rsidRPr="001B53A8">
        <w:rPr>
          <w:lang w:val="sr-Latn-BA"/>
        </w:rPr>
        <w:t xml:space="preserve"> </w:t>
      </w:r>
      <w:r w:rsidRPr="001B53A8">
        <w:rPr>
          <w:lang w:val="sr-Latn-BA"/>
        </w:rPr>
        <w:t>urednost</w:t>
      </w:r>
      <w:r w:rsidR="006F19FB" w:rsidRPr="001B53A8">
        <w:rPr>
          <w:lang w:val="sr-Latn-BA"/>
        </w:rPr>
        <w:t xml:space="preserve"> </w:t>
      </w:r>
      <w:r w:rsidRPr="001B53A8">
        <w:rPr>
          <w:lang w:val="sr-Latn-BA"/>
        </w:rPr>
        <w:t>podnesene</w:t>
      </w:r>
      <w:r w:rsidR="006F19FB" w:rsidRPr="001B53A8">
        <w:rPr>
          <w:lang w:val="sr-Latn-BA"/>
        </w:rPr>
        <w:t xml:space="preserve"> </w:t>
      </w:r>
      <w:r w:rsidRPr="001B53A8">
        <w:rPr>
          <w:lang w:val="sr-Latn-BA"/>
        </w:rPr>
        <w:t>dokumentacije</w:t>
      </w:r>
      <w:r w:rsidR="006F19FB" w:rsidRPr="001B53A8">
        <w:rPr>
          <w:lang w:val="sr-Latn-BA"/>
        </w:rPr>
        <w:t xml:space="preserve"> </w:t>
      </w:r>
      <w:r w:rsidRPr="001B53A8">
        <w:rPr>
          <w:lang w:val="sr-Latn-BA"/>
        </w:rPr>
        <w:t>i</w:t>
      </w:r>
      <w:r w:rsidR="006F19FB" w:rsidRPr="001B53A8">
        <w:rPr>
          <w:lang w:val="sr-Latn-BA"/>
        </w:rPr>
        <w:t xml:space="preserve"> </w:t>
      </w:r>
      <w:r w:rsidRPr="001B53A8">
        <w:rPr>
          <w:lang w:val="sr-Latn-BA"/>
        </w:rPr>
        <w:t>elemente</w:t>
      </w:r>
      <w:r w:rsidR="006F19FB" w:rsidRPr="001B53A8">
        <w:rPr>
          <w:lang w:val="sr-Latn-BA"/>
        </w:rPr>
        <w:t xml:space="preserve"> </w:t>
      </w:r>
      <w:r w:rsidRPr="001B53A8">
        <w:rPr>
          <w:lang w:val="sr-Latn-BA"/>
        </w:rPr>
        <w:t>sadržane</w:t>
      </w:r>
      <w:r w:rsidR="006F19FB" w:rsidRPr="001B53A8">
        <w:rPr>
          <w:lang w:val="sr-Latn-BA"/>
        </w:rPr>
        <w:t xml:space="preserve"> </w:t>
      </w:r>
      <w:r w:rsidRPr="001B53A8">
        <w:rPr>
          <w:lang w:val="sr-Latn-BA"/>
        </w:rPr>
        <w:t>u</w:t>
      </w:r>
      <w:r w:rsidR="006F19FB" w:rsidRPr="001B53A8">
        <w:rPr>
          <w:lang w:val="sr-Latn-BA"/>
        </w:rPr>
        <w:t xml:space="preserve"> </w:t>
      </w:r>
      <w:r w:rsidRPr="001B53A8">
        <w:rPr>
          <w:lang w:val="sr-Latn-BA"/>
        </w:rPr>
        <w:t>odluci</w:t>
      </w:r>
      <w:r w:rsidR="006F19FB" w:rsidRPr="001B53A8">
        <w:rPr>
          <w:lang w:val="sr-Latn-BA"/>
        </w:rPr>
        <w:t xml:space="preserve"> </w:t>
      </w:r>
      <w:r w:rsidRPr="001B53A8">
        <w:rPr>
          <w:lang w:val="sr-Latn-BA"/>
        </w:rPr>
        <w:t>o</w:t>
      </w:r>
      <w:r w:rsidR="006F19FB" w:rsidRPr="001B53A8">
        <w:rPr>
          <w:lang w:val="sr-Latn-BA"/>
        </w:rPr>
        <w:t xml:space="preserve"> </w:t>
      </w:r>
      <w:r w:rsidRPr="001B53A8">
        <w:rPr>
          <w:lang w:val="sr-Latn-BA"/>
        </w:rPr>
        <w:t>emisiji</w:t>
      </w:r>
      <w:r w:rsidR="006F19FB" w:rsidRPr="001B53A8">
        <w:rPr>
          <w:lang w:val="sr-Latn-BA"/>
        </w:rPr>
        <w:t xml:space="preserve"> </w:t>
      </w:r>
      <w:r w:rsidRPr="001B53A8">
        <w:rPr>
          <w:lang w:val="sr-Latn-BA"/>
        </w:rPr>
        <w:t>sa</w:t>
      </w:r>
      <w:r w:rsidR="006F19FB" w:rsidRPr="001B53A8">
        <w:rPr>
          <w:lang w:val="sr-Latn-BA"/>
        </w:rPr>
        <w:t xml:space="preserve"> </w:t>
      </w:r>
      <w:r w:rsidRPr="001B53A8">
        <w:rPr>
          <w:lang w:val="sr-Latn-BA"/>
        </w:rPr>
        <w:t>aspekta</w:t>
      </w:r>
      <w:r w:rsidR="006F19FB" w:rsidRPr="001B53A8">
        <w:rPr>
          <w:lang w:val="sr-Latn-BA"/>
        </w:rPr>
        <w:t xml:space="preserve"> </w:t>
      </w:r>
      <w:r w:rsidRPr="001B53A8">
        <w:rPr>
          <w:lang w:val="sr-Latn-BA"/>
        </w:rPr>
        <w:t>ravnopravnosti</w:t>
      </w:r>
      <w:r w:rsidR="006F19FB" w:rsidRPr="001B53A8">
        <w:rPr>
          <w:lang w:val="sr-Latn-BA"/>
        </w:rPr>
        <w:t xml:space="preserve"> </w:t>
      </w:r>
      <w:r w:rsidRPr="001B53A8">
        <w:rPr>
          <w:lang w:val="sr-Latn-BA"/>
        </w:rPr>
        <w:t>akcionara</w:t>
      </w:r>
      <w:r w:rsidR="006F19FB" w:rsidRPr="001B53A8">
        <w:rPr>
          <w:lang w:val="sr-Latn-BA"/>
        </w:rPr>
        <w:t xml:space="preserve"> </w:t>
      </w:r>
      <w:r w:rsidRPr="001B53A8">
        <w:rPr>
          <w:lang w:val="sr-Latn-BA"/>
        </w:rPr>
        <w:t>i</w:t>
      </w:r>
      <w:r w:rsidR="006F19FB" w:rsidRPr="001B53A8">
        <w:rPr>
          <w:lang w:val="sr-Latn-BA"/>
        </w:rPr>
        <w:t xml:space="preserve"> </w:t>
      </w:r>
      <w:r w:rsidRPr="001B53A8">
        <w:rPr>
          <w:lang w:val="sr-Latn-BA"/>
        </w:rPr>
        <w:t>zaštite</w:t>
      </w:r>
      <w:r w:rsidR="006F19FB" w:rsidRPr="001B53A8">
        <w:rPr>
          <w:lang w:val="sr-Latn-BA"/>
        </w:rPr>
        <w:t xml:space="preserve"> </w:t>
      </w:r>
      <w:r w:rsidRPr="001B53A8">
        <w:rPr>
          <w:lang w:val="sr-Latn-BA"/>
        </w:rPr>
        <w:t>njihovih</w:t>
      </w:r>
      <w:r w:rsidR="006F19FB" w:rsidRPr="001B53A8">
        <w:rPr>
          <w:lang w:val="sr-Latn-BA"/>
        </w:rPr>
        <w:t xml:space="preserve"> </w:t>
      </w:r>
      <w:r w:rsidRPr="001B53A8">
        <w:rPr>
          <w:lang w:val="sr-Latn-BA"/>
        </w:rPr>
        <w:t>prava</w:t>
      </w:r>
      <w:r w:rsidR="006F19FB" w:rsidRPr="001B53A8">
        <w:rPr>
          <w:lang w:val="sr-Latn-BA"/>
        </w:rPr>
        <w:t xml:space="preserve"> </w:t>
      </w:r>
      <w:r w:rsidRPr="001B53A8">
        <w:rPr>
          <w:lang w:val="sr-Latn-BA"/>
        </w:rPr>
        <w:t>u</w:t>
      </w:r>
      <w:r w:rsidR="006F19FB" w:rsidRPr="001B53A8">
        <w:rPr>
          <w:lang w:val="sr-Latn-BA"/>
        </w:rPr>
        <w:t xml:space="preserve"> </w:t>
      </w:r>
      <w:r w:rsidRPr="001B53A8">
        <w:rPr>
          <w:lang w:val="sr-Latn-BA"/>
        </w:rPr>
        <w:t>pogledu</w:t>
      </w:r>
      <w:r w:rsidR="006F19FB" w:rsidRPr="001B53A8">
        <w:rPr>
          <w:lang w:val="sr-Latn-BA"/>
        </w:rPr>
        <w:t xml:space="preserve"> </w:t>
      </w:r>
      <w:r w:rsidRPr="001B53A8">
        <w:rPr>
          <w:lang w:val="sr-Latn-BA"/>
        </w:rPr>
        <w:t>informisanosti</w:t>
      </w:r>
      <w:r w:rsidR="006F19FB" w:rsidRPr="001B53A8">
        <w:rPr>
          <w:lang w:val="sr-Latn-BA"/>
        </w:rPr>
        <w:t>.</w:t>
      </w:r>
    </w:p>
    <w:p w14:paraId="56A37B9E" w14:textId="5904CA41" w:rsidR="006F19FB" w:rsidRPr="001B53A8" w:rsidRDefault="00003F34" w:rsidP="006F19FB">
      <w:pPr>
        <w:spacing w:after="0" w:line="240" w:lineRule="auto"/>
        <w:ind w:firstLine="567"/>
        <w:rPr>
          <w:lang w:val="sr-Latn-BA"/>
        </w:rPr>
      </w:pPr>
      <w:r w:rsidRPr="001B53A8">
        <w:rPr>
          <w:lang w:val="sr-Latn-BA"/>
        </w:rPr>
        <w:t>Emisija</w:t>
      </w:r>
      <w:r w:rsidR="006F19FB" w:rsidRPr="001B53A8">
        <w:rPr>
          <w:lang w:val="sr-Latn-BA"/>
        </w:rPr>
        <w:t xml:space="preserve"> </w:t>
      </w:r>
      <w:r w:rsidRPr="001B53A8">
        <w:rPr>
          <w:lang w:val="sr-Latn-BA"/>
        </w:rPr>
        <w:t>bez</w:t>
      </w:r>
      <w:r w:rsidR="006F19FB" w:rsidRPr="001B53A8">
        <w:rPr>
          <w:lang w:val="sr-Latn-BA"/>
        </w:rPr>
        <w:t xml:space="preserve"> </w:t>
      </w:r>
      <w:r w:rsidRPr="001B53A8">
        <w:rPr>
          <w:lang w:val="sr-Latn-BA"/>
        </w:rPr>
        <w:t>obaveze</w:t>
      </w:r>
      <w:r w:rsidR="006F19FB" w:rsidRPr="001B53A8">
        <w:rPr>
          <w:lang w:val="sr-Latn-BA"/>
        </w:rPr>
        <w:t xml:space="preserve"> </w:t>
      </w:r>
      <w:r w:rsidRPr="001B53A8">
        <w:rPr>
          <w:lang w:val="sr-Latn-BA"/>
        </w:rPr>
        <w:t>objavlјivanja</w:t>
      </w:r>
      <w:r w:rsidR="006F19FB" w:rsidRPr="001B53A8">
        <w:rPr>
          <w:lang w:val="sr-Latn-BA"/>
        </w:rPr>
        <w:t xml:space="preserve"> </w:t>
      </w:r>
      <w:r w:rsidRPr="001B53A8">
        <w:rPr>
          <w:lang w:val="sr-Latn-BA"/>
        </w:rPr>
        <w:t>prospekta</w:t>
      </w:r>
      <w:r w:rsidR="006F19FB" w:rsidRPr="001B53A8">
        <w:rPr>
          <w:lang w:val="sr-Latn-BA"/>
        </w:rPr>
        <w:t xml:space="preserve">, </w:t>
      </w:r>
      <w:r w:rsidRPr="001B53A8">
        <w:rPr>
          <w:lang w:val="sr-Latn-BA"/>
        </w:rPr>
        <w:t>podrazumijeva</w:t>
      </w:r>
      <w:r w:rsidR="006F19FB" w:rsidRPr="001B53A8">
        <w:rPr>
          <w:lang w:val="sr-Latn-BA"/>
        </w:rPr>
        <w:t>:</w:t>
      </w:r>
    </w:p>
    <w:p w14:paraId="58CA3DBB" w14:textId="2FFC925C" w:rsidR="006F19FB" w:rsidRPr="001B53A8" w:rsidRDefault="00003F34" w:rsidP="006F19FB">
      <w:pPr>
        <w:spacing w:before="0" w:after="0" w:line="240" w:lineRule="auto"/>
        <w:ind w:left="851" w:hanging="284"/>
        <w:rPr>
          <w:rFonts w:eastAsia="Calibri"/>
          <w:shd w:val="solid" w:color="FFFFFF" w:fill="FFFFFF"/>
          <w:lang w:val="sr-Latn-BA" w:eastAsia="sr-Latn-BA"/>
        </w:rPr>
      </w:pPr>
      <w:r w:rsidRPr="001B53A8">
        <w:rPr>
          <w:rFonts w:eastAsia="Calibri"/>
          <w:shd w:val="solid" w:color="FFFFFF" w:fill="FFFFFF"/>
          <w:lang w:val="sr-Latn-BA" w:eastAsia="sr-Latn-BA"/>
        </w:rPr>
        <w:t>a</w:t>
      </w:r>
      <w:r w:rsidR="006F19FB" w:rsidRPr="001B53A8">
        <w:rPr>
          <w:rFonts w:eastAsia="Calibri"/>
          <w:shd w:val="solid" w:color="FFFFFF" w:fill="FFFFFF"/>
          <w:lang w:val="sr-Latn-BA" w:eastAsia="sr-Latn-BA"/>
        </w:rPr>
        <w:t>)</w:t>
      </w:r>
      <w:r w:rsidR="006F19FB" w:rsidRPr="001B53A8">
        <w:rPr>
          <w:rFonts w:eastAsia="Calibri"/>
          <w:shd w:val="solid" w:color="FFFFFF" w:fill="FFFFFF"/>
          <w:lang w:val="sr-Latn-BA" w:eastAsia="sr-Latn-BA"/>
        </w:rPr>
        <w:tab/>
      </w:r>
      <w:r w:rsidRPr="001B53A8">
        <w:rPr>
          <w:rFonts w:eastAsia="Calibri"/>
          <w:shd w:val="solid" w:color="FFFFFF" w:fill="FFFFFF"/>
          <w:lang w:val="sr-Latn-BA" w:eastAsia="sr-Latn-BA"/>
        </w:rPr>
        <w:t>ponudu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koja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upućena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samo</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kvalifikovanim</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investitorima</w:t>
      </w:r>
      <w:r w:rsidR="006F19FB" w:rsidRPr="001B53A8">
        <w:rPr>
          <w:rFonts w:eastAsia="Calibri"/>
          <w:shd w:val="solid" w:color="FFFFFF" w:fill="FFFFFF"/>
          <w:lang w:val="sr-Latn-BA" w:eastAsia="sr-Latn-BA"/>
        </w:rPr>
        <w:t>,</w:t>
      </w:r>
    </w:p>
    <w:p w14:paraId="61AF06E6" w14:textId="3D60723F" w:rsidR="006F19FB" w:rsidRPr="001B53A8" w:rsidRDefault="00003F34" w:rsidP="006F19FB">
      <w:pPr>
        <w:spacing w:before="0" w:after="0" w:line="240" w:lineRule="auto"/>
        <w:ind w:left="851" w:hanging="284"/>
        <w:rPr>
          <w:rFonts w:eastAsia="Calibri"/>
          <w:shd w:val="solid" w:color="FFFFFF" w:fill="FFFFFF"/>
          <w:lang w:val="sr-Latn-BA" w:eastAsia="sr-Latn-BA"/>
        </w:rPr>
      </w:pPr>
      <w:r w:rsidRPr="001B53A8">
        <w:rPr>
          <w:rFonts w:eastAsia="Calibri"/>
          <w:shd w:val="solid" w:color="FFFFFF" w:fill="FFFFFF"/>
          <w:lang w:val="sr-Latn-BA" w:eastAsia="sr-Latn-BA"/>
        </w:rPr>
        <w:t>b</w:t>
      </w:r>
      <w:r w:rsidR="006F19FB" w:rsidRPr="001B53A8">
        <w:rPr>
          <w:rFonts w:eastAsia="Calibri"/>
          <w:shd w:val="solid" w:color="FFFFFF" w:fill="FFFFFF"/>
          <w:lang w:val="sr-Latn-BA" w:eastAsia="sr-Latn-BA"/>
        </w:rPr>
        <w:t>)</w:t>
      </w:r>
      <w:r w:rsidR="006F19FB" w:rsidRPr="001B53A8">
        <w:rPr>
          <w:rFonts w:eastAsia="Calibri"/>
          <w:shd w:val="solid" w:color="FFFFFF" w:fill="FFFFFF"/>
          <w:lang w:val="sr-Latn-BA" w:eastAsia="sr-Latn-BA"/>
        </w:rPr>
        <w:tab/>
      </w:r>
      <w:r w:rsidRPr="001B53A8">
        <w:rPr>
          <w:rFonts w:eastAsia="Calibri"/>
          <w:shd w:val="solid" w:color="FFFFFF" w:fill="FFFFFF"/>
          <w:lang w:val="sr-Latn-BA" w:eastAsia="sr-Latn-BA"/>
        </w:rPr>
        <w:t>ponudu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koja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upućena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fizičkim</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ili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pravnim</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licima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Bosni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Hercegovini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čiji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broj</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ne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može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biti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veći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od</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deset</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koji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nisu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kvalifikovani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investitori</w:t>
      </w:r>
      <w:r w:rsidR="006F19FB" w:rsidRPr="001B53A8">
        <w:rPr>
          <w:rFonts w:eastAsia="Calibri"/>
          <w:shd w:val="solid" w:color="FFFFFF" w:fill="FFFFFF"/>
          <w:lang w:val="sr-Latn-BA" w:eastAsia="sr-Latn-BA"/>
        </w:rPr>
        <w:t>,</w:t>
      </w:r>
    </w:p>
    <w:p w14:paraId="12A888D6" w14:textId="326674A0" w:rsidR="006F19FB" w:rsidRPr="001B53A8" w:rsidRDefault="00003F34" w:rsidP="006F19FB">
      <w:pPr>
        <w:spacing w:before="0" w:after="0" w:line="240" w:lineRule="auto"/>
        <w:ind w:left="851" w:hanging="284"/>
        <w:rPr>
          <w:rFonts w:eastAsia="Calibri"/>
          <w:shd w:val="solid" w:color="FFFFFF" w:fill="FFFFFF"/>
          <w:lang w:val="sr-Latn-BA" w:eastAsia="sr-Latn-BA"/>
        </w:rPr>
      </w:pPr>
      <w:r w:rsidRPr="001B53A8">
        <w:rPr>
          <w:rFonts w:eastAsia="Calibri"/>
          <w:shd w:val="solid" w:color="FFFFFF" w:fill="FFFFFF"/>
          <w:lang w:val="sr-Latn-BA" w:eastAsia="sr-Latn-BA"/>
        </w:rPr>
        <w:t>v</w:t>
      </w:r>
      <w:r w:rsidR="006F19FB" w:rsidRPr="001B53A8">
        <w:rPr>
          <w:rFonts w:eastAsia="Calibri"/>
          <w:shd w:val="solid" w:color="FFFFFF" w:fill="FFFFFF"/>
          <w:lang w:val="sr-Latn-BA" w:eastAsia="sr-Latn-BA"/>
        </w:rPr>
        <w:t>)</w:t>
      </w:r>
      <w:r w:rsidR="006F19FB" w:rsidRPr="001B53A8">
        <w:rPr>
          <w:rFonts w:eastAsia="Calibri"/>
          <w:shd w:val="solid" w:color="FFFFFF" w:fill="FFFFFF"/>
          <w:lang w:val="sr-Latn-BA" w:eastAsia="sr-Latn-BA"/>
        </w:rPr>
        <w:tab/>
      </w:r>
      <w:r w:rsidRPr="001B53A8">
        <w:rPr>
          <w:rFonts w:eastAsia="Calibri"/>
          <w:shd w:val="solid" w:color="FFFFFF" w:fill="FFFFFF"/>
          <w:lang w:val="sr-Latn-BA" w:eastAsia="sr-Latn-BA"/>
        </w:rPr>
        <w:t>ponudu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koja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upućena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investitorima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koji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će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za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upisane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hartije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od</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vrijednosti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uplatiti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iznos</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od</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najmanje</w:t>
      </w:r>
      <w:r w:rsidR="006F19FB" w:rsidRPr="001B53A8">
        <w:rPr>
          <w:rFonts w:eastAsia="Calibri"/>
          <w:shd w:val="solid" w:color="FFFFFF" w:fill="FFFFFF"/>
          <w:lang w:val="sr-Latn-BA" w:eastAsia="sr-Latn-BA"/>
        </w:rPr>
        <w:t xml:space="preserve"> 100.000 </w:t>
      </w:r>
      <w:r w:rsidRPr="001B53A8">
        <w:rPr>
          <w:rFonts w:eastAsia="Calibri"/>
          <w:shd w:val="solid" w:color="FFFFFF" w:fill="FFFFFF"/>
          <w:lang w:val="sr-Latn-BA" w:eastAsia="sr-Latn-BA"/>
        </w:rPr>
        <w:t>KM</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investitoru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za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svaku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pojedinačnu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ponudu</w:t>
      </w:r>
      <w:r w:rsidR="006F19FB" w:rsidRPr="001B53A8">
        <w:rPr>
          <w:rFonts w:eastAsia="Calibri"/>
          <w:shd w:val="solid" w:color="FFFFFF" w:fill="FFFFFF"/>
          <w:lang w:val="sr-Latn-BA" w:eastAsia="sr-Latn-BA"/>
        </w:rPr>
        <w:t>,</w:t>
      </w:r>
    </w:p>
    <w:p w14:paraId="66964711" w14:textId="51F35510" w:rsidR="006F19FB" w:rsidRPr="001B53A8" w:rsidRDefault="00003F34" w:rsidP="006F19FB">
      <w:pPr>
        <w:spacing w:before="0" w:after="0" w:line="240" w:lineRule="auto"/>
        <w:ind w:left="851" w:hanging="284"/>
        <w:rPr>
          <w:rFonts w:eastAsia="Calibri"/>
          <w:shd w:val="solid" w:color="FFFFFF" w:fill="FFFFFF"/>
          <w:lang w:val="sr-Latn-BA" w:eastAsia="sr-Latn-BA"/>
        </w:rPr>
      </w:pPr>
      <w:r w:rsidRPr="001B53A8">
        <w:rPr>
          <w:rFonts w:eastAsia="Calibri"/>
          <w:shd w:val="solid" w:color="FFFFFF" w:fill="FFFFFF"/>
          <w:lang w:val="sr-Latn-BA" w:eastAsia="sr-Latn-BA"/>
        </w:rPr>
        <w:lastRenderedPageBreak/>
        <w:t>g</w:t>
      </w:r>
      <w:r w:rsidR="006F19FB" w:rsidRPr="001B53A8">
        <w:rPr>
          <w:rFonts w:eastAsia="Calibri"/>
          <w:shd w:val="solid" w:color="FFFFFF" w:fill="FFFFFF"/>
          <w:lang w:val="sr-Latn-BA" w:eastAsia="sr-Latn-BA"/>
        </w:rPr>
        <w:t>)</w:t>
      </w:r>
      <w:r w:rsidR="006F19FB" w:rsidRPr="001B53A8">
        <w:rPr>
          <w:rFonts w:eastAsia="Calibri"/>
          <w:shd w:val="solid" w:color="FFFFFF" w:fill="FFFFFF"/>
          <w:lang w:val="sr-Latn-BA" w:eastAsia="sr-Latn-BA"/>
        </w:rPr>
        <w:tab/>
      </w:r>
      <w:r w:rsidRPr="001B53A8">
        <w:rPr>
          <w:rFonts w:eastAsia="Calibri"/>
          <w:shd w:val="solid" w:color="FFFFFF" w:fill="FFFFFF"/>
          <w:lang w:val="sr-Latn-BA" w:eastAsia="sr-Latn-BA"/>
        </w:rPr>
        <w:t>ponudu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hartija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od</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vrijednosti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čija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pojedinačna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nominalna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vrijednost</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iznosi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najmanje</w:t>
      </w:r>
      <w:r w:rsidR="006F19FB" w:rsidRPr="001B53A8">
        <w:rPr>
          <w:rFonts w:eastAsia="Calibri"/>
          <w:shd w:val="solid" w:color="FFFFFF" w:fill="FFFFFF"/>
          <w:lang w:val="sr-Latn-BA" w:eastAsia="sr-Latn-BA"/>
        </w:rPr>
        <w:t xml:space="preserve"> 100.000 </w:t>
      </w:r>
      <w:r w:rsidRPr="001B53A8">
        <w:rPr>
          <w:rFonts w:eastAsia="Calibri"/>
          <w:shd w:val="solid" w:color="FFFFFF" w:fill="FFFFFF"/>
          <w:lang w:val="sr-Latn-BA" w:eastAsia="sr-Latn-BA"/>
        </w:rPr>
        <w:t>KM</w:t>
      </w:r>
      <w:r w:rsidR="006F19FB" w:rsidRPr="001B53A8">
        <w:rPr>
          <w:rFonts w:eastAsia="Calibri"/>
          <w:shd w:val="solid" w:color="FFFFFF" w:fill="FFFFFF"/>
          <w:lang w:val="sr-Latn-BA" w:eastAsia="sr-Latn-BA"/>
        </w:rPr>
        <w:t>,</w:t>
      </w:r>
    </w:p>
    <w:p w14:paraId="2E314266" w14:textId="393AA98E" w:rsidR="006F19FB" w:rsidRPr="001B53A8" w:rsidRDefault="00003F34" w:rsidP="006F19FB">
      <w:pPr>
        <w:spacing w:before="0" w:after="0" w:line="240" w:lineRule="auto"/>
        <w:ind w:left="851" w:hanging="284"/>
        <w:rPr>
          <w:rFonts w:eastAsia="Calibri"/>
          <w:shd w:val="solid" w:color="FFFFFF" w:fill="FFFFFF"/>
          <w:lang w:val="sr-Latn-BA" w:eastAsia="sr-Latn-BA"/>
        </w:rPr>
      </w:pPr>
      <w:r w:rsidRPr="001B53A8">
        <w:rPr>
          <w:rFonts w:eastAsia="Calibri"/>
          <w:shd w:val="solid" w:color="FFFFFF" w:fill="FFFFFF"/>
          <w:lang w:val="sr-Latn-BA" w:eastAsia="sr-Latn-BA"/>
        </w:rPr>
        <w:t>d</w:t>
      </w:r>
      <w:r w:rsidR="006F19FB" w:rsidRPr="001B53A8">
        <w:rPr>
          <w:rFonts w:eastAsia="Calibri"/>
          <w:shd w:val="solid" w:color="FFFFFF" w:fill="FFFFFF"/>
          <w:lang w:val="sr-Latn-BA" w:eastAsia="sr-Latn-BA"/>
        </w:rPr>
        <w:t>)</w:t>
      </w:r>
      <w:r w:rsidR="006F19FB" w:rsidRPr="001B53A8">
        <w:rPr>
          <w:rFonts w:eastAsia="Calibri"/>
          <w:shd w:val="solid" w:color="FFFFFF" w:fill="FFFFFF"/>
          <w:lang w:val="sr-Latn-BA" w:eastAsia="sr-Latn-BA"/>
        </w:rPr>
        <w:tab/>
      </w:r>
      <w:r w:rsidRPr="001B53A8">
        <w:rPr>
          <w:rFonts w:eastAsia="Calibri"/>
          <w:shd w:val="solid" w:color="FFFFFF" w:fill="FFFFFF"/>
          <w:lang w:val="sr-Latn-BA" w:eastAsia="sr-Latn-BA"/>
        </w:rPr>
        <w:t>ponudu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sa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ukupnom</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vrijednosti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za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hartije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od</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vrijednosti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koja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manja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od</w:t>
      </w:r>
      <w:r w:rsidR="006F19FB" w:rsidRPr="001B53A8">
        <w:rPr>
          <w:rFonts w:eastAsia="Calibri"/>
          <w:shd w:val="solid" w:color="FFFFFF" w:fill="FFFFFF"/>
          <w:lang w:val="sr-Latn-BA" w:eastAsia="sr-Latn-BA"/>
        </w:rPr>
        <w:t xml:space="preserve"> 1.000.000 </w:t>
      </w:r>
      <w:r w:rsidRPr="001B53A8">
        <w:rPr>
          <w:rFonts w:eastAsia="Calibri"/>
          <w:shd w:val="solid" w:color="FFFFFF" w:fill="FFFFFF"/>
          <w:lang w:val="sr-Latn-BA" w:eastAsia="sr-Latn-BA"/>
        </w:rPr>
        <w:t>KM</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pri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čemu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se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ovaj</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iznos</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računa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tokom</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perioda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od</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godinu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dana</w:t>
      </w:r>
      <w:r w:rsidR="006F19FB" w:rsidRPr="001B53A8">
        <w:rPr>
          <w:rFonts w:eastAsia="Calibri"/>
          <w:shd w:val="solid" w:color="FFFFFF" w:fill="FFFFFF"/>
          <w:lang w:val="sr-Latn-BA" w:eastAsia="sr-Latn-BA"/>
        </w:rPr>
        <w:t>,</w:t>
      </w:r>
    </w:p>
    <w:p w14:paraId="32CD1A1F" w14:textId="3E67578A" w:rsidR="006F19FB" w:rsidRPr="001B53A8" w:rsidRDefault="00003F34" w:rsidP="006F19FB">
      <w:pPr>
        <w:spacing w:before="0" w:after="0" w:line="240" w:lineRule="auto"/>
        <w:ind w:left="851" w:hanging="284"/>
        <w:rPr>
          <w:rFonts w:eastAsia="Calibri"/>
          <w:shd w:val="solid" w:color="FFFFFF" w:fill="FFFFFF"/>
          <w:lang w:val="sr-Latn-BA" w:eastAsia="sr-Latn-BA"/>
        </w:rPr>
      </w:pPr>
      <w:r w:rsidRPr="001B53A8">
        <w:rPr>
          <w:rFonts w:eastAsia="Calibri"/>
          <w:shd w:val="solid" w:color="FFFFFF" w:fill="FFFFFF"/>
          <w:lang w:val="sr-Latn-BA" w:eastAsia="sr-Latn-BA"/>
        </w:rPr>
        <w:t>đ</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instrumenata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tržišta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novca</w:t>
      </w:r>
      <w:r w:rsidR="006F19FB" w:rsidRPr="001B53A8">
        <w:rPr>
          <w:rFonts w:eastAsia="Calibri"/>
          <w:shd w:val="solid" w:color="FFFFFF" w:fill="FFFFFF"/>
          <w:lang w:val="sr-Latn-BA" w:eastAsia="sr-Latn-BA"/>
        </w:rPr>
        <w:t>,</w:t>
      </w:r>
    </w:p>
    <w:p w14:paraId="016FF3A7" w14:textId="224A2D55" w:rsidR="006F19FB" w:rsidRPr="001B53A8" w:rsidRDefault="00003F34" w:rsidP="006F19FB">
      <w:pPr>
        <w:spacing w:before="0" w:after="0" w:line="240" w:lineRule="auto"/>
        <w:ind w:left="851" w:hanging="284"/>
        <w:rPr>
          <w:rFonts w:eastAsia="Calibri"/>
          <w:shd w:val="solid" w:color="FFFFFF" w:fill="FFFFFF"/>
          <w:lang w:val="sr-Latn-BA" w:eastAsia="sr-Latn-BA"/>
        </w:rPr>
      </w:pPr>
      <w:r w:rsidRPr="001B53A8">
        <w:rPr>
          <w:rFonts w:eastAsia="Calibri"/>
          <w:shd w:val="solid" w:color="FFFFFF" w:fill="FFFFFF"/>
          <w:lang w:val="sr-Latn-BA" w:eastAsia="sr-Latn-BA"/>
        </w:rPr>
        <w:t>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ponudu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akcija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koje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se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emituju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zamjenu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za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već</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emitovane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akcije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iste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klase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ukoliko</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emisija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takvih</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novih</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akcija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ne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podrazumijeva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povećanje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osnovnog</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kapitala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društva</w:t>
      </w:r>
      <w:r w:rsidR="006F19FB" w:rsidRPr="001B53A8">
        <w:rPr>
          <w:rFonts w:eastAsia="Calibri"/>
          <w:shd w:val="solid" w:color="FFFFFF" w:fill="FFFFFF"/>
          <w:lang w:val="sr-Latn-BA" w:eastAsia="sr-Latn-BA"/>
        </w:rPr>
        <w:t>,</w:t>
      </w:r>
    </w:p>
    <w:p w14:paraId="3EE2FFB8" w14:textId="64266F1E" w:rsidR="006F19FB" w:rsidRPr="001B53A8" w:rsidRDefault="00003F34" w:rsidP="006F19FB">
      <w:pPr>
        <w:spacing w:before="0" w:after="0" w:line="240" w:lineRule="auto"/>
        <w:ind w:left="851" w:hanging="284"/>
        <w:rPr>
          <w:rFonts w:eastAsia="Calibri"/>
          <w:shd w:val="solid" w:color="FFFFFF" w:fill="FFFFFF"/>
          <w:lang w:val="sr-Latn-BA" w:eastAsia="sr-Latn-BA"/>
        </w:rPr>
      </w:pPr>
      <w:r w:rsidRPr="001B53A8">
        <w:rPr>
          <w:rFonts w:eastAsia="Calibri"/>
          <w:shd w:val="solid" w:color="FFFFFF" w:fill="FFFFFF"/>
          <w:lang w:val="sr-Latn-BA" w:eastAsia="sr-Latn-BA"/>
        </w:rPr>
        <w:t>ž</w:t>
      </w:r>
      <w:r w:rsidR="006F19FB" w:rsidRPr="001B53A8">
        <w:rPr>
          <w:rFonts w:eastAsia="Calibri"/>
          <w:shd w:val="solid" w:color="FFFFFF" w:fill="FFFFFF"/>
          <w:lang w:val="sr-Latn-BA" w:eastAsia="sr-Latn-BA"/>
        </w:rPr>
        <w:t>)</w:t>
      </w:r>
      <w:r w:rsidR="006F19FB" w:rsidRPr="001B53A8">
        <w:rPr>
          <w:rFonts w:eastAsia="Calibri"/>
          <w:shd w:val="solid" w:color="FFFFFF" w:fill="FFFFFF"/>
          <w:lang w:val="sr-Latn-BA" w:eastAsia="sr-Latn-BA"/>
        </w:rPr>
        <w:tab/>
      </w:r>
      <w:r w:rsidRPr="001B53A8">
        <w:rPr>
          <w:rFonts w:eastAsia="Calibri"/>
          <w:shd w:val="solid" w:color="FFFFFF" w:fill="FFFFFF"/>
          <w:lang w:val="sr-Latn-BA" w:eastAsia="sr-Latn-BA"/>
        </w:rPr>
        <w:t>hartije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od</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vrijednosti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koje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se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nude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dodjelјuju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ili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će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biti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dodijelјene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postupku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statusnih</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promjena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društava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pod</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uslovom</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za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te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hartije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od</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vrijednosti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postoji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dokument</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sa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podacima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koje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Komisija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smatra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ekvivalentnim</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podacima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iz</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prospekta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uzimajući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obzir</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odredbe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zakona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kojim</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se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uređuje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poslovanje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privrednih</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društava</w:t>
      </w:r>
      <w:r w:rsidR="006F19FB" w:rsidRPr="001B53A8">
        <w:rPr>
          <w:rFonts w:eastAsia="Calibri"/>
          <w:shd w:val="solid" w:color="FFFFFF" w:fill="FFFFFF"/>
          <w:lang w:val="sr-Latn-BA" w:eastAsia="sr-Latn-BA"/>
        </w:rPr>
        <w:t>,</w:t>
      </w:r>
    </w:p>
    <w:p w14:paraId="25791C93" w14:textId="3846D53B" w:rsidR="006F19FB" w:rsidRPr="001B53A8" w:rsidRDefault="00003F34" w:rsidP="006F19FB">
      <w:pPr>
        <w:spacing w:before="0" w:after="0" w:line="240" w:lineRule="auto"/>
        <w:ind w:left="851" w:hanging="284"/>
        <w:rPr>
          <w:rFonts w:eastAsia="Calibri"/>
          <w:shd w:val="solid" w:color="FFFFFF" w:fill="FFFFFF"/>
          <w:lang w:val="sr-Latn-BA" w:eastAsia="sr-Latn-BA"/>
        </w:rPr>
      </w:pPr>
      <w:r w:rsidRPr="001B53A8">
        <w:rPr>
          <w:rFonts w:eastAsia="Calibri"/>
          <w:shd w:val="solid" w:color="FFFFFF" w:fill="FFFFFF"/>
          <w:lang w:val="sr-Latn-BA" w:eastAsia="sr-Latn-BA"/>
        </w:rPr>
        <w:t>z</w:t>
      </w:r>
      <w:r w:rsidR="006F19FB" w:rsidRPr="001B53A8">
        <w:rPr>
          <w:rFonts w:eastAsia="Calibri"/>
          <w:shd w:val="solid" w:color="FFFFFF" w:fill="FFFFFF"/>
          <w:lang w:val="sr-Latn-BA" w:eastAsia="sr-Latn-BA"/>
        </w:rPr>
        <w:t>)</w:t>
      </w:r>
      <w:r w:rsidR="006F19FB" w:rsidRPr="001B53A8">
        <w:rPr>
          <w:rFonts w:eastAsia="Calibri"/>
          <w:shd w:val="solid" w:color="FFFFFF" w:fill="FFFFFF"/>
          <w:lang w:val="sr-Latn-BA" w:eastAsia="sr-Latn-BA"/>
        </w:rPr>
        <w:tab/>
      </w:r>
      <w:r w:rsidRPr="001B53A8">
        <w:rPr>
          <w:rFonts w:eastAsia="Calibri"/>
          <w:shd w:val="solid" w:color="FFFFFF" w:fill="FFFFFF"/>
          <w:lang w:val="sr-Latn-BA" w:eastAsia="sr-Latn-BA"/>
        </w:rPr>
        <w:t>akcije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koje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se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nude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dodjelјuju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ili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će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biti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dodijelјene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bez</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naknade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postojećim</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akcionarima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ili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kao</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dividende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isplaćene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vidu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akcija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iste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klase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kao</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akcije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vezi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sa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kojima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su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dividende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isplaćene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pod</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uslovom</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postoji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dokument</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sa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podacima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o</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broju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pravima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iz</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akcija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kao</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razlozima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detalјima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vezi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sa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ponudom</w:t>
      </w:r>
      <w:r w:rsidR="006F19FB" w:rsidRPr="001B53A8">
        <w:rPr>
          <w:rFonts w:eastAsia="Calibri"/>
          <w:shd w:val="solid" w:color="FFFFFF" w:fill="FFFFFF"/>
          <w:lang w:val="sr-Latn-BA" w:eastAsia="sr-Latn-BA"/>
        </w:rPr>
        <w:t>,</w:t>
      </w:r>
    </w:p>
    <w:p w14:paraId="3249F378" w14:textId="46CF407F" w:rsidR="006F19FB" w:rsidRPr="001B53A8" w:rsidRDefault="00003F34" w:rsidP="006F19FB">
      <w:pPr>
        <w:spacing w:before="0" w:after="0" w:line="240" w:lineRule="auto"/>
        <w:ind w:left="851" w:hanging="284"/>
        <w:rPr>
          <w:rFonts w:eastAsia="Calibri"/>
          <w:shd w:val="solid" w:color="FFFFFF" w:fill="FFFFFF"/>
          <w:lang w:val="sr-Latn-BA" w:eastAsia="sr-Latn-BA"/>
        </w:rPr>
      </w:pPr>
      <w:r w:rsidRPr="001B53A8">
        <w:rPr>
          <w:rFonts w:eastAsia="Calibri"/>
          <w:shd w:val="solid" w:color="FFFFFF" w:fill="FFFFFF"/>
          <w:lang w:val="sr-Latn-BA" w:eastAsia="sr-Latn-BA"/>
        </w:rPr>
        <w:t>i</w:t>
      </w:r>
      <w:r w:rsidR="006F19FB" w:rsidRPr="001B53A8">
        <w:rPr>
          <w:rFonts w:eastAsia="Calibri"/>
          <w:shd w:val="solid" w:color="FFFFFF" w:fill="FFFFFF"/>
          <w:lang w:val="sr-Latn-BA" w:eastAsia="sr-Latn-BA"/>
        </w:rPr>
        <w:t>)</w:t>
      </w:r>
      <w:r w:rsidR="006F19FB" w:rsidRPr="001B53A8">
        <w:rPr>
          <w:rFonts w:eastAsia="Calibri"/>
          <w:shd w:val="solid" w:color="FFFFFF" w:fill="FFFFFF"/>
          <w:lang w:val="sr-Latn-BA" w:eastAsia="sr-Latn-BA"/>
        </w:rPr>
        <w:tab/>
      </w:r>
      <w:r w:rsidRPr="001B53A8">
        <w:rPr>
          <w:rFonts w:eastAsia="Calibri"/>
          <w:shd w:val="solid" w:color="FFFFFF" w:fill="FFFFFF"/>
          <w:lang w:val="sr-Latn-BA" w:eastAsia="sr-Latn-BA"/>
        </w:rPr>
        <w:t>hartije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od</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vrijednosti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koje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nudi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ili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će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ponuditi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emitent</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čije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su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hartije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od</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vrijednosti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uklјučene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na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berzu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odnosno</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drugo</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uređeno</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javno</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tržište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ili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društvo</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koje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povezano</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sa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emitentom</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koje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nudi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ili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će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ponuditi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sadašnjim</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ili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bivšim</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članovima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uprave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ili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zaposlenima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pod</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uslovom</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postoji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dokument</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sa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podacima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o</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broju</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prirodi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hartija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od</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vrijednosti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kao</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razlozima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detalјima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koji</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se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odnose</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na</w:t>
      </w:r>
      <w:r w:rsidR="006F19FB" w:rsidRPr="001B53A8">
        <w:rPr>
          <w:rFonts w:eastAsia="Calibri"/>
          <w:shd w:val="solid" w:color="FFFFFF" w:fill="FFFFFF"/>
          <w:lang w:val="sr-Latn-BA" w:eastAsia="sr-Latn-BA"/>
        </w:rPr>
        <w:t xml:space="preserve"> </w:t>
      </w:r>
      <w:r w:rsidRPr="001B53A8">
        <w:rPr>
          <w:rFonts w:eastAsia="Calibri"/>
          <w:shd w:val="solid" w:color="FFFFFF" w:fill="FFFFFF"/>
          <w:lang w:val="sr-Latn-BA" w:eastAsia="sr-Latn-BA"/>
        </w:rPr>
        <w:t>ponudu</w:t>
      </w:r>
      <w:r w:rsidR="006F19FB" w:rsidRPr="001B53A8">
        <w:rPr>
          <w:rFonts w:eastAsia="Calibri"/>
          <w:shd w:val="solid" w:color="FFFFFF" w:fill="FFFFFF"/>
          <w:lang w:val="sr-Latn-BA" w:eastAsia="sr-Latn-BA"/>
        </w:rPr>
        <w:t>.</w:t>
      </w:r>
    </w:p>
    <w:p w14:paraId="5A0E01AF" w14:textId="0EE965AE" w:rsidR="006F19FB" w:rsidRPr="001B53A8" w:rsidRDefault="00003F34" w:rsidP="006F19FB">
      <w:pPr>
        <w:spacing w:after="0" w:line="240" w:lineRule="auto"/>
        <w:ind w:firstLine="567"/>
        <w:rPr>
          <w:lang w:val="sr-Latn-BA"/>
        </w:rPr>
      </w:pPr>
      <w:r w:rsidRPr="001B53A8">
        <w:rPr>
          <w:lang w:val="sr-Latn-BA"/>
        </w:rPr>
        <w:t>Kod</w:t>
      </w:r>
      <w:r w:rsidR="006F19FB" w:rsidRPr="001B53A8">
        <w:rPr>
          <w:lang w:val="sr-Latn-BA"/>
        </w:rPr>
        <w:t xml:space="preserve"> </w:t>
      </w:r>
      <w:r w:rsidRPr="001B53A8">
        <w:rPr>
          <w:lang w:val="sr-Latn-BA"/>
        </w:rPr>
        <w:t>ove</w:t>
      </w:r>
      <w:r w:rsidR="006F19FB" w:rsidRPr="001B53A8">
        <w:rPr>
          <w:lang w:val="sr-Latn-BA"/>
        </w:rPr>
        <w:t xml:space="preserve"> </w:t>
      </w:r>
      <w:r w:rsidRPr="001B53A8">
        <w:rPr>
          <w:lang w:val="sr-Latn-BA"/>
        </w:rPr>
        <w:t>vrste</w:t>
      </w:r>
      <w:r w:rsidR="006F19FB" w:rsidRPr="001B53A8">
        <w:rPr>
          <w:lang w:val="sr-Latn-BA"/>
        </w:rPr>
        <w:t xml:space="preserve"> </w:t>
      </w:r>
      <w:r w:rsidRPr="001B53A8">
        <w:rPr>
          <w:lang w:val="sr-Latn-BA"/>
        </w:rPr>
        <w:t>emisije</w:t>
      </w:r>
      <w:r w:rsidR="006F19FB" w:rsidRPr="001B53A8">
        <w:rPr>
          <w:lang w:val="sr-Latn-BA"/>
        </w:rPr>
        <w:t xml:space="preserve"> </w:t>
      </w:r>
      <w:r w:rsidRPr="001B53A8">
        <w:rPr>
          <w:lang w:val="sr-Latn-BA"/>
        </w:rPr>
        <w:t>emitent</w:t>
      </w:r>
      <w:r w:rsidR="006F19FB" w:rsidRPr="001B53A8">
        <w:rPr>
          <w:lang w:val="sr-Latn-BA"/>
        </w:rPr>
        <w:t xml:space="preserve"> </w:t>
      </w:r>
      <w:r w:rsidRPr="001B53A8">
        <w:rPr>
          <w:lang w:val="sr-Latn-BA"/>
        </w:rPr>
        <w:t>je</w:t>
      </w:r>
      <w:r w:rsidR="006F19FB" w:rsidRPr="001B53A8">
        <w:rPr>
          <w:lang w:val="sr-Latn-BA"/>
        </w:rPr>
        <w:t xml:space="preserve"> </w:t>
      </w:r>
      <w:r w:rsidRPr="001B53A8">
        <w:rPr>
          <w:lang w:val="sr-Latn-BA"/>
        </w:rPr>
        <w:t>obavezan</w:t>
      </w:r>
      <w:r w:rsidR="006F19FB" w:rsidRPr="001B53A8">
        <w:rPr>
          <w:lang w:val="sr-Latn-BA"/>
        </w:rPr>
        <w:t xml:space="preserve"> </w:t>
      </w:r>
      <w:r w:rsidRPr="001B53A8">
        <w:rPr>
          <w:lang w:val="sr-Latn-BA"/>
        </w:rPr>
        <w:t>da</w:t>
      </w:r>
      <w:r w:rsidR="006F19FB" w:rsidRPr="001B53A8">
        <w:rPr>
          <w:lang w:val="sr-Latn-BA"/>
        </w:rPr>
        <w:t xml:space="preserve">, </w:t>
      </w:r>
      <w:r w:rsidRPr="001B53A8">
        <w:rPr>
          <w:lang w:val="sr-Latn-BA"/>
        </w:rPr>
        <w:t>u</w:t>
      </w:r>
      <w:r w:rsidR="006F19FB" w:rsidRPr="001B53A8">
        <w:rPr>
          <w:lang w:val="sr-Latn-BA"/>
        </w:rPr>
        <w:t xml:space="preserve"> </w:t>
      </w:r>
      <w:r w:rsidRPr="001B53A8">
        <w:rPr>
          <w:lang w:val="sr-Latn-BA"/>
        </w:rPr>
        <w:t>određenom</w:t>
      </w:r>
      <w:r w:rsidR="006F19FB" w:rsidRPr="001B53A8">
        <w:rPr>
          <w:lang w:val="sr-Latn-BA"/>
        </w:rPr>
        <w:t xml:space="preserve"> </w:t>
      </w:r>
      <w:r w:rsidRPr="001B53A8">
        <w:rPr>
          <w:lang w:val="sr-Latn-BA"/>
        </w:rPr>
        <w:t>roku</w:t>
      </w:r>
      <w:r w:rsidR="006F19FB" w:rsidRPr="001B53A8">
        <w:rPr>
          <w:lang w:val="sr-Latn-BA"/>
        </w:rPr>
        <w:t xml:space="preserve"> (</w:t>
      </w:r>
      <w:r w:rsidRPr="001B53A8">
        <w:rPr>
          <w:lang w:val="sr-Latn-BA"/>
        </w:rPr>
        <w:t>sedam</w:t>
      </w:r>
      <w:r w:rsidR="006F19FB" w:rsidRPr="001B53A8">
        <w:rPr>
          <w:lang w:val="sr-Latn-BA"/>
        </w:rPr>
        <w:t xml:space="preserve"> </w:t>
      </w:r>
      <w:r w:rsidRPr="001B53A8">
        <w:rPr>
          <w:lang w:val="sr-Latn-BA"/>
        </w:rPr>
        <w:t>dana</w:t>
      </w:r>
      <w:r w:rsidR="006F19FB" w:rsidRPr="001B53A8">
        <w:rPr>
          <w:lang w:val="sr-Latn-BA"/>
        </w:rPr>
        <w:t xml:space="preserve"> </w:t>
      </w:r>
      <w:r w:rsidRPr="001B53A8">
        <w:rPr>
          <w:lang w:val="sr-Latn-BA"/>
        </w:rPr>
        <w:t>od</w:t>
      </w:r>
      <w:r w:rsidR="006F19FB" w:rsidRPr="001B53A8">
        <w:rPr>
          <w:lang w:val="sr-Latn-BA"/>
        </w:rPr>
        <w:t xml:space="preserve"> </w:t>
      </w:r>
      <w:r w:rsidRPr="001B53A8">
        <w:rPr>
          <w:lang w:val="sr-Latn-BA"/>
        </w:rPr>
        <w:t>dana</w:t>
      </w:r>
      <w:r w:rsidR="006F19FB" w:rsidRPr="001B53A8">
        <w:rPr>
          <w:lang w:val="sr-Latn-BA"/>
        </w:rPr>
        <w:t xml:space="preserve"> </w:t>
      </w:r>
      <w:r w:rsidRPr="001B53A8">
        <w:rPr>
          <w:lang w:val="sr-Latn-BA"/>
        </w:rPr>
        <w:t>donošenja</w:t>
      </w:r>
      <w:r w:rsidR="006F19FB" w:rsidRPr="001B53A8">
        <w:rPr>
          <w:lang w:val="sr-Latn-BA"/>
        </w:rPr>
        <w:t xml:space="preserve"> </w:t>
      </w:r>
      <w:r w:rsidRPr="001B53A8">
        <w:rPr>
          <w:lang w:val="sr-Latn-BA"/>
        </w:rPr>
        <w:t>odluke</w:t>
      </w:r>
      <w:r w:rsidR="006F19FB" w:rsidRPr="001B53A8">
        <w:rPr>
          <w:lang w:val="sr-Latn-BA"/>
        </w:rPr>
        <w:t xml:space="preserve">) </w:t>
      </w:r>
      <w:r w:rsidRPr="001B53A8">
        <w:rPr>
          <w:lang w:val="sr-Latn-BA"/>
        </w:rPr>
        <w:t>obavijesti</w:t>
      </w:r>
      <w:r w:rsidR="006F19FB" w:rsidRPr="001B53A8">
        <w:rPr>
          <w:lang w:val="sr-Latn-BA"/>
        </w:rPr>
        <w:t xml:space="preserve"> </w:t>
      </w:r>
      <w:r w:rsidRPr="001B53A8">
        <w:rPr>
          <w:lang w:val="sr-Latn-BA"/>
        </w:rPr>
        <w:t>Komisiju</w:t>
      </w:r>
      <w:r w:rsidR="006F19FB" w:rsidRPr="001B53A8">
        <w:rPr>
          <w:lang w:val="sr-Latn-BA"/>
        </w:rPr>
        <w:t xml:space="preserve"> </w:t>
      </w:r>
      <w:r w:rsidRPr="001B53A8">
        <w:rPr>
          <w:lang w:val="sr-Latn-BA"/>
        </w:rPr>
        <w:t>o</w:t>
      </w:r>
      <w:r w:rsidR="006F19FB" w:rsidRPr="001B53A8">
        <w:rPr>
          <w:lang w:val="sr-Latn-BA"/>
        </w:rPr>
        <w:t xml:space="preserve"> </w:t>
      </w:r>
      <w:r w:rsidRPr="001B53A8">
        <w:rPr>
          <w:lang w:val="sr-Latn-BA"/>
        </w:rPr>
        <w:t>donesenoj</w:t>
      </w:r>
      <w:r w:rsidR="006F19FB" w:rsidRPr="001B53A8">
        <w:rPr>
          <w:lang w:val="sr-Latn-BA"/>
        </w:rPr>
        <w:t xml:space="preserve"> </w:t>
      </w:r>
      <w:r w:rsidRPr="001B53A8">
        <w:rPr>
          <w:lang w:val="sr-Latn-BA"/>
        </w:rPr>
        <w:t>odluci</w:t>
      </w:r>
      <w:r w:rsidR="006F19FB" w:rsidRPr="001B53A8">
        <w:rPr>
          <w:lang w:val="sr-Latn-BA"/>
        </w:rPr>
        <w:t xml:space="preserve"> </w:t>
      </w:r>
      <w:r w:rsidRPr="001B53A8">
        <w:rPr>
          <w:lang w:val="sr-Latn-BA"/>
        </w:rPr>
        <w:t>o</w:t>
      </w:r>
      <w:r w:rsidR="006F19FB" w:rsidRPr="001B53A8">
        <w:rPr>
          <w:lang w:val="sr-Latn-BA"/>
        </w:rPr>
        <w:t xml:space="preserve"> </w:t>
      </w:r>
      <w:r w:rsidRPr="001B53A8">
        <w:rPr>
          <w:lang w:val="sr-Latn-BA"/>
        </w:rPr>
        <w:t>emisiji</w:t>
      </w:r>
      <w:r w:rsidR="006F19FB" w:rsidRPr="001B53A8">
        <w:rPr>
          <w:lang w:val="sr-Latn-BA"/>
        </w:rPr>
        <w:t xml:space="preserve">, </w:t>
      </w:r>
      <w:r w:rsidRPr="001B53A8">
        <w:rPr>
          <w:lang w:val="sr-Latn-BA"/>
        </w:rPr>
        <w:t>te</w:t>
      </w:r>
      <w:r w:rsidR="006F19FB" w:rsidRPr="001B53A8">
        <w:rPr>
          <w:lang w:val="sr-Latn-BA"/>
        </w:rPr>
        <w:t xml:space="preserve"> </w:t>
      </w:r>
      <w:r w:rsidRPr="001B53A8">
        <w:rPr>
          <w:lang w:val="sr-Latn-BA"/>
        </w:rPr>
        <w:t>dostavi</w:t>
      </w:r>
      <w:r w:rsidR="006F19FB" w:rsidRPr="001B53A8">
        <w:rPr>
          <w:lang w:val="sr-Latn-BA"/>
        </w:rPr>
        <w:t xml:space="preserve"> </w:t>
      </w:r>
      <w:r w:rsidRPr="001B53A8">
        <w:rPr>
          <w:lang w:val="sr-Latn-BA"/>
        </w:rPr>
        <w:t>odluku</w:t>
      </w:r>
      <w:r w:rsidR="006F19FB" w:rsidRPr="001B53A8">
        <w:rPr>
          <w:lang w:val="sr-Latn-BA"/>
        </w:rPr>
        <w:t xml:space="preserve"> </w:t>
      </w:r>
      <w:r w:rsidRPr="001B53A8">
        <w:rPr>
          <w:lang w:val="sr-Latn-BA"/>
        </w:rPr>
        <w:t>i</w:t>
      </w:r>
      <w:r w:rsidR="006F19FB" w:rsidRPr="001B53A8">
        <w:rPr>
          <w:lang w:val="sr-Latn-BA"/>
        </w:rPr>
        <w:t xml:space="preserve"> </w:t>
      </w:r>
      <w:r w:rsidRPr="001B53A8">
        <w:rPr>
          <w:lang w:val="sr-Latn-BA"/>
        </w:rPr>
        <w:t>druge</w:t>
      </w:r>
      <w:r w:rsidR="006F19FB" w:rsidRPr="001B53A8">
        <w:rPr>
          <w:lang w:val="sr-Latn-BA"/>
        </w:rPr>
        <w:t xml:space="preserve"> </w:t>
      </w:r>
      <w:r w:rsidRPr="001B53A8">
        <w:rPr>
          <w:lang w:val="sr-Latn-BA"/>
        </w:rPr>
        <w:t>priloge</w:t>
      </w:r>
      <w:r w:rsidR="006F19FB" w:rsidRPr="001B53A8">
        <w:rPr>
          <w:lang w:val="sr-Latn-BA"/>
        </w:rPr>
        <w:t xml:space="preserve">. </w:t>
      </w:r>
      <w:r w:rsidRPr="001B53A8">
        <w:rPr>
          <w:lang w:val="sr-Latn-BA"/>
        </w:rPr>
        <w:t>Emitent</w:t>
      </w:r>
      <w:r w:rsidR="006F19FB" w:rsidRPr="001B53A8">
        <w:rPr>
          <w:lang w:val="sr-Latn-BA"/>
        </w:rPr>
        <w:t xml:space="preserve"> </w:t>
      </w:r>
      <w:r w:rsidRPr="001B53A8">
        <w:rPr>
          <w:lang w:val="sr-Latn-BA"/>
        </w:rPr>
        <w:t>koji</w:t>
      </w:r>
      <w:r w:rsidR="006F19FB" w:rsidRPr="001B53A8">
        <w:rPr>
          <w:lang w:val="sr-Latn-BA"/>
        </w:rPr>
        <w:t xml:space="preserve"> </w:t>
      </w:r>
      <w:r w:rsidRPr="001B53A8">
        <w:rPr>
          <w:lang w:val="sr-Latn-BA"/>
        </w:rPr>
        <w:t>je</w:t>
      </w:r>
      <w:r w:rsidR="006F19FB" w:rsidRPr="001B53A8">
        <w:rPr>
          <w:lang w:val="sr-Latn-BA"/>
        </w:rPr>
        <w:t xml:space="preserve"> </w:t>
      </w:r>
      <w:r w:rsidRPr="001B53A8">
        <w:rPr>
          <w:lang w:val="sr-Latn-BA"/>
        </w:rPr>
        <w:t>emitovao</w:t>
      </w:r>
      <w:r w:rsidR="006F19FB" w:rsidRPr="001B53A8">
        <w:rPr>
          <w:lang w:val="sr-Latn-BA"/>
        </w:rPr>
        <w:t xml:space="preserve"> </w:t>
      </w:r>
      <w:r w:rsidRPr="001B53A8">
        <w:rPr>
          <w:lang w:val="sr-Latn-BA"/>
        </w:rPr>
        <w:t>vlasničke</w:t>
      </w:r>
      <w:r w:rsidR="006F19FB" w:rsidRPr="001B53A8">
        <w:rPr>
          <w:lang w:val="sr-Latn-BA"/>
        </w:rPr>
        <w:t xml:space="preserve"> </w:t>
      </w:r>
      <w:r w:rsidRPr="001B53A8">
        <w:rPr>
          <w:lang w:val="sr-Latn-BA"/>
        </w:rPr>
        <w:t>hartije</w:t>
      </w:r>
      <w:r w:rsidR="006F19FB" w:rsidRPr="001B53A8">
        <w:rPr>
          <w:lang w:val="sr-Latn-BA"/>
        </w:rPr>
        <w:t xml:space="preserve"> </w:t>
      </w:r>
      <w:r w:rsidRPr="001B53A8">
        <w:rPr>
          <w:lang w:val="sr-Latn-BA"/>
        </w:rPr>
        <w:t>od</w:t>
      </w:r>
      <w:r w:rsidR="006F19FB" w:rsidRPr="001B53A8">
        <w:rPr>
          <w:lang w:val="sr-Latn-BA"/>
        </w:rPr>
        <w:t xml:space="preserve"> </w:t>
      </w:r>
      <w:r w:rsidRPr="001B53A8">
        <w:rPr>
          <w:lang w:val="sr-Latn-BA"/>
        </w:rPr>
        <w:t>vrijednosti</w:t>
      </w:r>
      <w:r w:rsidR="006F19FB" w:rsidRPr="001B53A8">
        <w:rPr>
          <w:lang w:val="sr-Latn-BA"/>
        </w:rPr>
        <w:t xml:space="preserve"> </w:t>
      </w:r>
      <w:r w:rsidRPr="001B53A8">
        <w:rPr>
          <w:lang w:val="sr-Latn-BA"/>
        </w:rPr>
        <w:t>u</w:t>
      </w:r>
      <w:r w:rsidR="006F19FB" w:rsidRPr="001B53A8">
        <w:rPr>
          <w:lang w:val="sr-Latn-BA"/>
        </w:rPr>
        <w:t xml:space="preserve"> </w:t>
      </w:r>
      <w:r w:rsidRPr="001B53A8">
        <w:rPr>
          <w:lang w:val="sr-Latn-BA"/>
        </w:rPr>
        <w:t>skladu</w:t>
      </w:r>
      <w:r w:rsidR="006F19FB" w:rsidRPr="001B53A8">
        <w:rPr>
          <w:lang w:val="sr-Latn-BA"/>
        </w:rPr>
        <w:t xml:space="preserve"> </w:t>
      </w:r>
      <w:r w:rsidRPr="001B53A8">
        <w:rPr>
          <w:lang w:val="sr-Latn-BA"/>
        </w:rPr>
        <w:t>sa</w:t>
      </w:r>
      <w:r w:rsidR="006F19FB" w:rsidRPr="001B53A8">
        <w:rPr>
          <w:lang w:val="sr-Latn-BA"/>
        </w:rPr>
        <w:t xml:space="preserve"> </w:t>
      </w:r>
      <w:r w:rsidRPr="001B53A8">
        <w:rPr>
          <w:lang w:val="sr-Latn-BA"/>
        </w:rPr>
        <w:t>stavom</w:t>
      </w:r>
      <w:r w:rsidR="006F19FB" w:rsidRPr="001B53A8">
        <w:rPr>
          <w:lang w:val="sr-Latn-BA"/>
        </w:rPr>
        <w:t xml:space="preserve"> 1. </w:t>
      </w:r>
      <w:r w:rsidRPr="001B53A8">
        <w:rPr>
          <w:lang w:val="sr-Latn-BA"/>
        </w:rPr>
        <w:t>tačke</w:t>
      </w:r>
      <w:r w:rsidR="006F19FB" w:rsidRPr="001B53A8">
        <w:rPr>
          <w:lang w:val="sr-Latn-BA"/>
        </w:rPr>
        <w:t xml:space="preserve"> </w:t>
      </w:r>
      <w:r w:rsidRPr="001B53A8">
        <w:rPr>
          <w:lang w:val="sr-Latn-BA"/>
        </w:rPr>
        <w:t>a</w:t>
      </w:r>
      <w:r w:rsidR="006F19FB" w:rsidRPr="001B53A8">
        <w:rPr>
          <w:lang w:val="sr-Latn-BA"/>
        </w:rPr>
        <w:t xml:space="preserve">) </w:t>
      </w:r>
      <w:r w:rsidRPr="001B53A8">
        <w:rPr>
          <w:lang w:val="sr-Latn-BA"/>
        </w:rPr>
        <w:t>do</w:t>
      </w:r>
      <w:r w:rsidR="006F19FB" w:rsidRPr="001B53A8">
        <w:rPr>
          <w:lang w:val="sr-Latn-BA"/>
        </w:rPr>
        <w:t xml:space="preserve"> </w:t>
      </w:r>
      <w:r w:rsidRPr="001B53A8">
        <w:rPr>
          <w:lang w:val="sr-Latn-BA"/>
        </w:rPr>
        <w:t>d</w:t>
      </w:r>
      <w:r w:rsidR="006F19FB" w:rsidRPr="001B53A8">
        <w:rPr>
          <w:lang w:val="sr-Latn-BA"/>
        </w:rPr>
        <w:t xml:space="preserve">) </w:t>
      </w:r>
      <w:r w:rsidRPr="001B53A8">
        <w:rPr>
          <w:lang w:val="sr-Latn-BA"/>
        </w:rPr>
        <w:t>člana</w:t>
      </w:r>
      <w:r w:rsidR="006F19FB" w:rsidRPr="001B53A8">
        <w:rPr>
          <w:lang w:val="sr-Latn-BA"/>
        </w:rPr>
        <w:t xml:space="preserve"> 60. </w:t>
      </w:r>
      <w:r w:rsidRPr="001B53A8">
        <w:rPr>
          <w:lang w:val="sr-Latn-BA"/>
        </w:rPr>
        <w:t>Zakona</w:t>
      </w:r>
      <w:r w:rsidR="006F19FB" w:rsidRPr="001B53A8">
        <w:rPr>
          <w:lang w:val="sr-Latn-BA"/>
        </w:rPr>
        <w:t xml:space="preserve">, </w:t>
      </w:r>
      <w:r w:rsidRPr="001B53A8">
        <w:rPr>
          <w:lang w:val="sr-Latn-BA"/>
        </w:rPr>
        <w:t>a</w:t>
      </w:r>
      <w:r w:rsidR="006F19FB" w:rsidRPr="001B53A8">
        <w:rPr>
          <w:lang w:val="sr-Latn-BA"/>
        </w:rPr>
        <w:t xml:space="preserve"> </w:t>
      </w:r>
      <w:r w:rsidRPr="001B53A8">
        <w:rPr>
          <w:lang w:val="sr-Latn-BA"/>
        </w:rPr>
        <w:t>kojim</w:t>
      </w:r>
      <w:r w:rsidR="006F19FB" w:rsidRPr="001B53A8">
        <w:rPr>
          <w:lang w:val="sr-Latn-BA"/>
        </w:rPr>
        <w:t xml:space="preserve"> </w:t>
      </w:r>
      <w:r w:rsidRPr="001B53A8">
        <w:rPr>
          <w:lang w:val="sr-Latn-BA"/>
        </w:rPr>
        <w:t>su</w:t>
      </w:r>
      <w:r w:rsidR="006F19FB" w:rsidRPr="001B53A8">
        <w:rPr>
          <w:lang w:val="sr-Latn-BA"/>
        </w:rPr>
        <w:t xml:space="preserve"> </w:t>
      </w:r>
      <w:r w:rsidRPr="001B53A8">
        <w:rPr>
          <w:lang w:val="sr-Latn-BA"/>
        </w:rPr>
        <w:t>propisane</w:t>
      </w:r>
      <w:r w:rsidR="006F19FB" w:rsidRPr="001B53A8">
        <w:rPr>
          <w:lang w:val="sr-Latn-BA"/>
        </w:rPr>
        <w:t xml:space="preserve"> </w:t>
      </w:r>
      <w:r w:rsidRPr="001B53A8">
        <w:rPr>
          <w:lang w:val="sr-Latn-BA"/>
        </w:rPr>
        <w:t>ove</w:t>
      </w:r>
      <w:r w:rsidR="006F19FB" w:rsidRPr="001B53A8">
        <w:rPr>
          <w:lang w:val="sr-Latn-BA"/>
        </w:rPr>
        <w:t xml:space="preserve"> </w:t>
      </w:r>
      <w:r w:rsidRPr="001B53A8">
        <w:rPr>
          <w:lang w:val="sr-Latn-BA"/>
        </w:rPr>
        <w:t>vrste</w:t>
      </w:r>
      <w:r w:rsidR="006F19FB" w:rsidRPr="001B53A8">
        <w:rPr>
          <w:lang w:val="sr-Latn-BA"/>
        </w:rPr>
        <w:t xml:space="preserve"> </w:t>
      </w:r>
      <w:r w:rsidRPr="001B53A8">
        <w:rPr>
          <w:lang w:val="sr-Latn-BA"/>
        </w:rPr>
        <w:t>emisija</w:t>
      </w:r>
      <w:r w:rsidR="006F19FB" w:rsidRPr="001B53A8">
        <w:rPr>
          <w:lang w:val="sr-Latn-BA"/>
        </w:rPr>
        <w:t xml:space="preserve">, </w:t>
      </w:r>
      <w:r w:rsidRPr="001B53A8">
        <w:rPr>
          <w:lang w:val="sr-Latn-BA"/>
        </w:rPr>
        <w:t>dužan</w:t>
      </w:r>
      <w:r w:rsidR="006F19FB" w:rsidRPr="001B53A8">
        <w:rPr>
          <w:lang w:val="sr-Latn-BA"/>
        </w:rPr>
        <w:t xml:space="preserve"> </w:t>
      </w:r>
      <w:r w:rsidRPr="001B53A8">
        <w:rPr>
          <w:lang w:val="sr-Latn-BA"/>
        </w:rPr>
        <w:t>je</w:t>
      </w:r>
      <w:r w:rsidR="006F19FB" w:rsidRPr="001B53A8">
        <w:rPr>
          <w:lang w:val="sr-Latn-BA"/>
        </w:rPr>
        <w:t xml:space="preserve"> </w:t>
      </w:r>
      <w:r w:rsidRPr="001B53A8">
        <w:rPr>
          <w:lang w:val="sr-Latn-BA"/>
        </w:rPr>
        <w:t>da</w:t>
      </w:r>
      <w:r w:rsidR="006F19FB" w:rsidRPr="001B53A8">
        <w:rPr>
          <w:lang w:val="sr-Latn-BA"/>
        </w:rPr>
        <w:t xml:space="preserve">, </w:t>
      </w:r>
      <w:r w:rsidRPr="001B53A8">
        <w:rPr>
          <w:lang w:val="sr-Latn-BA"/>
        </w:rPr>
        <w:t>najkasnije</w:t>
      </w:r>
      <w:r w:rsidR="006F19FB" w:rsidRPr="001B53A8">
        <w:rPr>
          <w:lang w:val="sr-Latn-BA"/>
        </w:rPr>
        <w:t xml:space="preserve"> </w:t>
      </w:r>
      <w:r w:rsidRPr="001B53A8">
        <w:rPr>
          <w:lang w:val="sr-Latn-BA"/>
        </w:rPr>
        <w:t>u</w:t>
      </w:r>
      <w:r w:rsidR="006F19FB" w:rsidRPr="001B53A8">
        <w:rPr>
          <w:lang w:val="sr-Latn-BA"/>
        </w:rPr>
        <w:t xml:space="preserve"> </w:t>
      </w:r>
      <w:r w:rsidRPr="001B53A8">
        <w:rPr>
          <w:lang w:val="sr-Latn-BA"/>
        </w:rPr>
        <w:t>roku</w:t>
      </w:r>
      <w:r w:rsidR="006F19FB" w:rsidRPr="001B53A8">
        <w:rPr>
          <w:lang w:val="sr-Latn-BA"/>
        </w:rPr>
        <w:t xml:space="preserve"> </w:t>
      </w:r>
      <w:r w:rsidRPr="001B53A8">
        <w:rPr>
          <w:lang w:val="sr-Latn-BA"/>
        </w:rPr>
        <w:t>od</w:t>
      </w:r>
      <w:r w:rsidR="006F19FB" w:rsidRPr="001B53A8">
        <w:rPr>
          <w:lang w:val="sr-Latn-BA"/>
        </w:rPr>
        <w:t xml:space="preserve"> </w:t>
      </w:r>
      <w:r w:rsidRPr="001B53A8">
        <w:rPr>
          <w:lang w:val="sr-Latn-BA"/>
        </w:rPr>
        <w:t>jedne</w:t>
      </w:r>
      <w:r w:rsidR="006F19FB" w:rsidRPr="001B53A8">
        <w:rPr>
          <w:lang w:val="sr-Latn-BA"/>
        </w:rPr>
        <w:t xml:space="preserve"> </w:t>
      </w:r>
      <w:r w:rsidRPr="001B53A8">
        <w:rPr>
          <w:lang w:val="sr-Latn-BA"/>
        </w:rPr>
        <w:t>godine</w:t>
      </w:r>
      <w:r w:rsidR="006F19FB" w:rsidRPr="001B53A8">
        <w:rPr>
          <w:lang w:val="sr-Latn-BA"/>
        </w:rPr>
        <w:t xml:space="preserve"> </w:t>
      </w:r>
      <w:r w:rsidRPr="001B53A8">
        <w:rPr>
          <w:lang w:val="sr-Latn-BA"/>
        </w:rPr>
        <w:t>od</w:t>
      </w:r>
      <w:r w:rsidR="006F19FB" w:rsidRPr="001B53A8">
        <w:rPr>
          <w:lang w:val="sr-Latn-BA"/>
        </w:rPr>
        <w:t xml:space="preserve"> </w:t>
      </w:r>
      <w:r w:rsidRPr="001B53A8">
        <w:rPr>
          <w:lang w:val="sr-Latn-BA"/>
        </w:rPr>
        <w:t>upisa</w:t>
      </w:r>
      <w:r w:rsidR="006F19FB" w:rsidRPr="001B53A8">
        <w:rPr>
          <w:lang w:val="sr-Latn-BA"/>
        </w:rPr>
        <w:t xml:space="preserve"> </w:t>
      </w:r>
      <w:r w:rsidRPr="001B53A8">
        <w:rPr>
          <w:lang w:val="sr-Latn-BA"/>
        </w:rPr>
        <w:t>tih</w:t>
      </w:r>
      <w:r w:rsidR="006F19FB" w:rsidRPr="001B53A8">
        <w:rPr>
          <w:lang w:val="sr-Latn-BA"/>
        </w:rPr>
        <w:t xml:space="preserve"> </w:t>
      </w:r>
      <w:r w:rsidRPr="001B53A8">
        <w:rPr>
          <w:lang w:val="sr-Latn-BA"/>
        </w:rPr>
        <w:t>hartija</w:t>
      </w:r>
      <w:r w:rsidR="006F19FB" w:rsidRPr="001B53A8">
        <w:rPr>
          <w:lang w:val="sr-Latn-BA"/>
        </w:rPr>
        <w:t xml:space="preserve"> </w:t>
      </w:r>
      <w:r w:rsidRPr="001B53A8">
        <w:rPr>
          <w:lang w:val="sr-Latn-BA"/>
        </w:rPr>
        <w:t>od</w:t>
      </w:r>
      <w:r w:rsidR="006F19FB" w:rsidRPr="001B53A8">
        <w:rPr>
          <w:lang w:val="sr-Latn-BA"/>
        </w:rPr>
        <w:t xml:space="preserve"> </w:t>
      </w:r>
      <w:r w:rsidRPr="001B53A8">
        <w:rPr>
          <w:lang w:val="sr-Latn-BA"/>
        </w:rPr>
        <w:t>vrijednosti</w:t>
      </w:r>
      <w:r w:rsidR="006F19FB" w:rsidRPr="001B53A8">
        <w:rPr>
          <w:lang w:val="sr-Latn-BA"/>
        </w:rPr>
        <w:t xml:space="preserve"> </w:t>
      </w:r>
      <w:r w:rsidRPr="001B53A8">
        <w:rPr>
          <w:lang w:val="sr-Latn-BA"/>
        </w:rPr>
        <w:t>u</w:t>
      </w:r>
      <w:r w:rsidR="006F19FB" w:rsidRPr="001B53A8">
        <w:rPr>
          <w:lang w:val="sr-Latn-BA"/>
        </w:rPr>
        <w:t xml:space="preserve"> </w:t>
      </w:r>
      <w:r w:rsidRPr="001B53A8">
        <w:rPr>
          <w:lang w:val="sr-Latn-BA"/>
        </w:rPr>
        <w:t>Registar</w:t>
      </w:r>
      <w:r w:rsidR="006F19FB" w:rsidRPr="001B53A8">
        <w:rPr>
          <w:lang w:val="sr-Latn-BA"/>
        </w:rPr>
        <w:t xml:space="preserve"> </w:t>
      </w:r>
      <w:r w:rsidRPr="001B53A8">
        <w:rPr>
          <w:lang w:val="sr-Latn-BA"/>
        </w:rPr>
        <w:t>emitenata</w:t>
      </w:r>
      <w:r w:rsidR="006F19FB" w:rsidRPr="001B53A8">
        <w:rPr>
          <w:lang w:val="sr-Latn-BA"/>
        </w:rPr>
        <w:t xml:space="preserve"> </w:t>
      </w:r>
      <w:r w:rsidRPr="001B53A8">
        <w:rPr>
          <w:lang w:val="sr-Latn-BA"/>
        </w:rPr>
        <w:t>kod</w:t>
      </w:r>
      <w:r w:rsidR="006F19FB" w:rsidRPr="001B53A8">
        <w:rPr>
          <w:lang w:val="sr-Latn-BA"/>
        </w:rPr>
        <w:t xml:space="preserve"> </w:t>
      </w:r>
      <w:r w:rsidRPr="001B53A8">
        <w:rPr>
          <w:lang w:val="sr-Latn-BA"/>
        </w:rPr>
        <w:t>Komisije</w:t>
      </w:r>
      <w:r w:rsidR="006F19FB" w:rsidRPr="001B53A8">
        <w:rPr>
          <w:lang w:val="sr-Latn-BA"/>
        </w:rPr>
        <w:t xml:space="preserve">, </w:t>
      </w:r>
      <w:r w:rsidRPr="001B53A8">
        <w:rPr>
          <w:lang w:val="sr-Latn-BA"/>
        </w:rPr>
        <w:t>objavi</w:t>
      </w:r>
      <w:r w:rsidR="006F19FB" w:rsidRPr="001B53A8">
        <w:rPr>
          <w:lang w:val="sr-Latn-BA"/>
        </w:rPr>
        <w:t xml:space="preserve"> </w:t>
      </w:r>
      <w:r w:rsidRPr="001B53A8">
        <w:rPr>
          <w:lang w:val="sr-Latn-BA"/>
        </w:rPr>
        <w:t>prospekt</w:t>
      </w:r>
      <w:r w:rsidR="006F19FB" w:rsidRPr="001B53A8">
        <w:rPr>
          <w:lang w:val="sr-Latn-BA"/>
        </w:rPr>
        <w:t>.</w:t>
      </w:r>
    </w:p>
    <w:p w14:paraId="66636E2A" w14:textId="7011D8B2" w:rsidR="006F19FB" w:rsidRPr="001B53A8" w:rsidRDefault="00003F34" w:rsidP="006F19FB">
      <w:pPr>
        <w:spacing w:after="0" w:line="240" w:lineRule="auto"/>
        <w:ind w:firstLine="567"/>
        <w:rPr>
          <w:lang w:val="sr-Latn-BA"/>
        </w:rPr>
      </w:pPr>
      <w:r w:rsidRPr="001B53A8">
        <w:rPr>
          <w:lang w:val="sr-Latn-BA"/>
        </w:rPr>
        <w:t>Emitent</w:t>
      </w:r>
      <w:r w:rsidR="006F19FB" w:rsidRPr="001B53A8">
        <w:rPr>
          <w:lang w:val="sr-Latn-BA"/>
        </w:rPr>
        <w:t xml:space="preserve"> </w:t>
      </w:r>
      <w:r w:rsidRPr="001B53A8">
        <w:rPr>
          <w:lang w:val="sr-Latn-BA"/>
        </w:rPr>
        <w:t>koji</w:t>
      </w:r>
      <w:r w:rsidR="006F19FB" w:rsidRPr="001B53A8">
        <w:rPr>
          <w:lang w:val="sr-Latn-BA"/>
        </w:rPr>
        <w:t xml:space="preserve"> </w:t>
      </w:r>
      <w:r w:rsidRPr="001B53A8">
        <w:rPr>
          <w:lang w:val="sr-Latn-BA"/>
        </w:rPr>
        <w:t>je</w:t>
      </w:r>
      <w:r w:rsidR="006F19FB" w:rsidRPr="001B53A8">
        <w:rPr>
          <w:lang w:val="sr-Latn-BA"/>
        </w:rPr>
        <w:t xml:space="preserve"> </w:t>
      </w:r>
      <w:r w:rsidRPr="001B53A8">
        <w:rPr>
          <w:lang w:val="sr-Latn-BA"/>
        </w:rPr>
        <w:t>emitovao</w:t>
      </w:r>
      <w:r w:rsidR="006F19FB" w:rsidRPr="001B53A8">
        <w:rPr>
          <w:lang w:val="sr-Latn-BA"/>
        </w:rPr>
        <w:t xml:space="preserve"> </w:t>
      </w:r>
      <w:r w:rsidRPr="001B53A8">
        <w:rPr>
          <w:lang w:val="sr-Latn-BA"/>
        </w:rPr>
        <w:t>dužničke</w:t>
      </w:r>
      <w:r w:rsidR="006F19FB" w:rsidRPr="001B53A8">
        <w:rPr>
          <w:lang w:val="sr-Latn-BA"/>
        </w:rPr>
        <w:t xml:space="preserve"> </w:t>
      </w:r>
      <w:r w:rsidRPr="001B53A8">
        <w:rPr>
          <w:lang w:val="sr-Latn-BA"/>
        </w:rPr>
        <w:t>hartije</w:t>
      </w:r>
      <w:r w:rsidR="006F19FB" w:rsidRPr="001B53A8">
        <w:rPr>
          <w:lang w:val="sr-Latn-BA"/>
        </w:rPr>
        <w:t xml:space="preserve"> </w:t>
      </w:r>
      <w:r w:rsidRPr="001B53A8">
        <w:rPr>
          <w:lang w:val="sr-Latn-BA"/>
        </w:rPr>
        <w:t>od</w:t>
      </w:r>
      <w:r w:rsidR="006F19FB" w:rsidRPr="001B53A8">
        <w:rPr>
          <w:lang w:val="sr-Latn-BA"/>
        </w:rPr>
        <w:t xml:space="preserve"> </w:t>
      </w:r>
      <w:r w:rsidRPr="001B53A8">
        <w:rPr>
          <w:lang w:val="sr-Latn-BA"/>
        </w:rPr>
        <w:t>vrijednosti</w:t>
      </w:r>
      <w:r w:rsidR="006F19FB" w:rsidRPr="001B53A8">
        <w:rPr>
          <w:lang w:val="sr-Latn-BA"/>
        </w:rPr>
        <w:t xml:space="preserve"> </w:t>
      </w:r>
      <w:r w:rsidRPr="001B53A8">
        <w:rPr>
          <w:lang w:val="sr-Latn-BA"/>
        </w:rPr>
        <w:t>u</w:t>
      </w:r>
      <w:r w:rsidR="006F19FB" w:rsidRPr="001B53A8">
        <w:rPr>
          <w:lang w:val="sr-Latn-BA"/>
        </w:rPr>
        <w:t xml:space="preserve"> </w:t>
      </w:r>
      <w:r w:rsidRPr="001B53A8">
        <w:rPr>
          <w:lang w:val="sr-Latn-BA"/>
        </w:rPr>
        <w:t>skladu</w:t>
      </w:r>
      <w:r w:rsidR="006F19FB" w:rsidRPr="001B53A8">
        <w:rPr>
          <w:lang w:val="sr-Latn-BA"/>
        </w:rPr>
        <w:t xml:space="preserve"> </w:t>
      </w:r>
      <w:r w:rsidRPr="001B53A8">
        <w:rPr>
          <w:lang w:val="sr-Latn-BA"/>
        </w:rPr>
        <w:t>sa</w:t>
      </w:r>
      <w:r w:rsidR="006F19FB" w:rsidRPr="001B53A8">
        <w:rPr>
          <w:lang w:val="sr-Latn-BA"/>
        </w:rPr>
        <w:t xml:space="preserve"> </w:t>
      </w:r>
      <w:r w:rsidRPr="001B53A8">
        <w:rPr>
          <w:lang w:val="sr-Latn-BA"/>
        </w:rPr>
        <w:t>stavom</w:t>
      </w:r>
      <w:r w:rsidR="006F19FB" w:rsidRPr="001B53A8">
        <w:rPr>
          <w:lang w:val="sr-Latn-BA"/>
        </w:rPr>
        <w:t xml:space="preserve"> 1. </w:t>
      </w:r>
      <w:r w:rsidRPr="001B53A8">
        <w:rPr>
          <w:lang w:val="sr-Latn-BA"/>
        </w:rPr>
        <w:t>tačke</w:t>
      </w:r>
      <w:r w:rsidR="006F19FB" w:rsidRPr="001B53A8">
        <w:rPr>
          <w:lang w:val="sr-Latn-BA"/>
        </w:rPr>
        <w:t xml:space="preserve"> </w:t>
      </w:r>
      <w:r w:rsidRPr="001B53A8">
        <w:rPr>
          <w:lang w:val="sr-Latn-BA"/>
        </w:rPr>
        <w:t>a</w:t>
      </w:r>
      <w:r w:rsidR="006F19FB" w:rsidRPr="001B53A8">
        <w:rPr>
          <w:lang w:val="sr-Latn-BA"/>
        </w:rPr>
        <w:t xml:space="preserve">) </w:t>
      </w:r>
      <w:r w:rsidRPr="001B53A8">
        <w:rPr>
          <w:lang w:val="sr-Latn-BA"/>
        </w:rPr>
        <w:t>do</w:t>
      </w:r>
      <w:r w:rsidR="006F19FB" w:rsidRPr="001B53A8">
        <w:rPr>
          <w:lang w:val="sr-Latn-BA"/>
        </w:rPr>
        <w:t xml:space="preserve"> </w:t>
      </w:r>
      <w:r w:rsidRPr="001B53A8">
        <w:rPr>
          <w:lang w:val="sr-Latn-BA"/>
        </w:rPr>
        <w:t>d</w:t>
      </w:r>
      <w:r w:rsidR="006F19FB" w:rsidRPr="001B53A8">
        <w:rPr>
          <w:lang w:val="sr-Latn-BA"/>
        </w:rPr>
        <w:t xml:space="preserve">) </w:t>
      </w:r>
      <w:r w:rsidRPr="001B53A8">
        <w:rPr>
          <w:lang w:val="sr-Latn-BA"/>
        </w:rPr>
        <w:t>navedenog</w:t>
      </w:r>
      <w:r w:rsidR="006F19FB" w:rsidRPr="001B53A8">
        <w:rPr>
          <w:lang w:val="sr-Latn-BA"/>
        </w:rPr>
        <w:t xml:space="preserve"> </w:t>
      </w:r>
      <w:r w:rsidRPr="001B53A8">
        <w:rPr>
          <w:lang w:val="sr-Latn-BA"/>
        </w:rPr>
        <w:t>člana</w:t>
      </w:r>
      <w:r w:rsidR="006F19FB" w:rsidRPr="001B53A8">
        <w:rPr>
          <w:lang w:val="sr-Latn-BA"/>
        </w:rPr>
        <w:t xml:space="preserve"> </w:t>
      </w:r>
      <w:r w:rsidRPr="001B53A8">
        <w:rPr>
          <w:lang w:val="sr-Latn-BA"/>
        </w:rPr>
        <w:t>može</w:t>
      </w:r>
      <w:r w:rsidR="006F19FB" w:rsidRPr="001B53A8">
        <w:rPr>
          <w:lang w:val="sr-Latn-BA"/>
        </w:rPr>
        <w:t xml:space="preserve"> </w:t>
      </w:r>
      <w:r w:rsidRPr="001B53A8">
        <w:rPr>
          <w:lang w:val="sr-Latn-BA"/>
        </w:rPr>
        <w:t>da</w:t>
      </w:r>
      <w:r w:rsidR="006F19FB" w:rsidRPr="001B53A8">
        <w:rPr>
          <w:lang w:val="sr-Latn-BA"/>
        </w:rPr>
        <w:t xml:space="preserve"> </w:t>
      </w:r>
      <w:r w:rsidRPr="001B53A8">
        <w:rPr>
          <w:lang w:val="sr-Latn-BA"/>
        </w:rPr>
        <w:t>ih</w:t>
      </w:r>
      <w:r w:rsidR="006F19FB" w:rsidRPr="001B53A8">
        <w:rPr>
          <w:lang w:val="sr-Latn-BA"/>
        </w:rPr>
        <w:t xml:space="preserve"> </w:t>
      </w:r>
      <w:r w:rsidRPr="001B53A8">
        <w:rPr>
          <w:lang w:val="sr-Latn-BA"/>
        </w:rPr>
        <w:t>uvrsti</w:t>
      </w:r>
      <w:r w:rsidR="006F19FB" w:rsidRPr="001B53A8">
        <w:rPr>
          <w:lang w:val="sr-Latn-BA"/>
        </w:rPr>
        <w:t xml:space="preserve"> </w:t>
      </w:r>
      <w:r w:rsidRPr="001B53A8">
        <w:rPr>
          <w:lang w:val="sr-Latn-BA"/>
        </w:rPr>
        <w:t>na</w:t>
      </w:r>
      <w:r w:rsidR="006F19FB" w:rsidRPr="001B53A8">
        <w:rPr>
          <w:lang w:val="sr-Latn-BA"/>
        </w:rPr>
        <w:t xml:space="preserve"> </w:t>
      </w:r>
      <w:r w:rsidRPr="001B53A8">
        <w:rPr>
          <w:lang w:val="sr-Latn-BA"/>
        </w:rPr>
        <w:t>berzu</w:t>
      </w:r>
      <w:r w:rsidR="006F19FB" w:rsidRPr="001B53A8">
        <w:rPr>
          <w:lang w:val="sr-Latn-BA"/>
        </w:rPr>
        <w:t xml:space="preserve"> </w:t>
      </w:r>
      <w:r w:rsidRPr="001B53A8">
        <w:rPr>
          <w:lang w:val="sr-Latn-BA"/>
        </w:rPr>
        <w:t>ili</w:t>
      </w:r>
      <w:r w:rsidR="006F19FB" w:rsidRPr="001B53A8">
        <w:rPr>
          <w:lang w:val="sr-Latn-BA"/>
        </w:rPr>
        <w:t xml:space="preserve"> </w:t>
      </w:r>
      <w:r w:rsidRPr="001B53A8">
        <w:rPr>
          <w:lang w:val="sr-Latn-BA"/>
        </w:rPr>
        <w:t>drugo</w:t>
      </w:r>
      <w:r w:rsidR="006F19FB" w:rsidRPr="001B53A8">
        <w:rPr>
          <w:lang w:val="sr-Latn-BA"/>
        </w:rPr>
        <w:t xml:space="preserve"> </w:t>
      </w:r>
      <w:r w:rsidRPr="001B53A8">
        <w:rPr>
          <w:lang w:val="sr-Latn-BA"/>
        </w:rPr>
        <w:t>uređeno</w:t>
      </w:r>
      <w:r w:rsidR="006F19FB" w:rsidRPr="001B53A8">
        <w:rPr>
          <w:lang w:val="sr-Latn-BA"/>
        </w:rPr>
        <w:t xml:space="preserve"> </w:t>
      </w:r>
      <w:r w:rsidRPr="001B53A8">
        <w:rPr>
          <w:lang w:val="sr-Latn-BA"/>
        </w:rPr>
        <w:t>javno</w:t>
      </w:r>
      <w:r w:rsidR="006F19FB" w:rsidRPr="001B53A8">
        <w:rPr>
          <w:lang w:val="sr-Latn-BA"/>
        </w:rPr>
        <w:t xml:space="preserve"> </w:t>
      </w:r>
      <w:r w:rsidRPr="001B53A8">
        <w:rPr>
          <w:lang w:val="sr-Latn-BA"/>
        </w:rPr>
        <w:t>tržište</w:t>
      </w:r>
      <w:r w:rsidR="006F19FB" w:rsidRPr="001B53A8">
        <w:rPr>
          <w:lang w:val="sr-Latn-BA"/>
        </w:rPr>
        <w:t xml:space="preserve"> </w:t>
      </w:r>
      <w:r w:rsidRPr="001B53A8">
        <w:rPr>
          <w:lang w:val="sr-Latn-BA"/>
        </w:rPr>
        <w:t>samo</w:t>
      </w:r>
      <w:r w:rsidR="006F19FB" w:rsidRPr="001B53A8">
        <w:rPr>
          <w:lang w:val="sr-Latn-BA"/>
        </w:rPr>
        <w:t xml:space="preserve"> </w:t>
      </w:r>
      <w:r w:rsidRPr="001B53A8">
        <w:rPr>
          <w:lang w:val="sr-Latn-BA"/>
        </w:rPr>
        <w:t>pod</w:t>
      </w:r>
      <w:r w:rsidR="006F19FB" w:rsidRPr="001B53A8">
        <w:rPr>
          <w:lang w:val="sr-Latn-BA"/>
        </w:rPr>
        <w:t xml:space="preserve"> </w:t>
      </w:r>
      <w:r w:rsidRPr="001B53A8">
        <w:rPr>
          <w:lang w:val="sr-Latn-BA"/>
        </w:rPr>
        <w:t>uslovom</w:t>
      </w:r>
      <w:r w:rsidR="006F19FB" w:rsidRPr="001B53A8">
        <w:rPr>
          <w:lang w:val="sr-Latn-BA"/>
        </w:rPr>
        <w:t xml:space="preserve"> </w:t>
      </w:r>
      <w:r w:rsidRPr="001B53A8">
        <w:rPr>
          <w:lang w:val="sr-Latn-BA"/>
        </w:rPr>
        <w:t>da</w:t>
      </w:r>
      <w:r w:rsidR="006F19FB" w:rsidRPr="001B53A8">
        <w:rPr>
          <w:lang w:val="sr-Latn-BA"/>
        </w:rPr>
        <w:t xml:space="preserve"> </w:t>
      </w:r>
      <w:r w:rsidRPr="001B53A8">
        <w:rPr>
          <w:lang w:val="sr-Latn-BA"/>
        </w:rPr>
        <w:t>za</w:t>
      </w:r>
      <w:r w:rsidR="006F19FB" w:rsidRPr="001B53A8">
        <w:rPr>
          <w:lang w:val="sr-Latn-BA"/>
        </w:rPr>
        <w:t xml:space="preserve"> </w:t>
      </w:r>
      <w:r w:rsidRPr="001B53A8">
        <w:rPr>
          <w:lang w:val="sr-Latn-BA"/>
        </w:rPr>
        <w:t>tu</w:t>
      </w:r>
      <w:r w:rsidR="006F19FB" w:rsidRPr="001B53A8">
        <w:rPr>
          <w:lang w:val="sr-Latn-BA"/>
        </w:rPr>
        <w:t xml:space="preserve"> </w:t>
      </w:r>
      <w:r w:rsidRPr="001B53A8">
        <w:rPr>
          <w:lang w:val="sr-Latn-BA"/>
        </w:rPr>
        <w:t>vrstu</w:t>
      </w:r>
      <w:r w:rsidR="006F19FB" w:rsidRPr="001B53A8">
        <w:rPr>
          <w:lang w:val="sr-Latn-BA"/>
        </w:rPr>
        <w:t xml:space="preserve"> </w:t>
      </w:r>
      <w:r w:rsidRPr="001B53A8">
        <w:rPr>
          <w:lang w:val="sr-Latn-BA"/>
        </w:rPr>
        <w:t>i</w:t>
      </w:r>
      <w:r w:rsidR="006F19FB" w:rsidRPr="001B53A8">
        <w:rPr>
          <w:lang w:val="sr-Latn-BA"/>
        </w:rPr>
        <w:t xml:space="preserve"> </w:t>
      </w:r>
      <w:r w:rsidRPr="001B53A8">
        <w:rPr>
          <w:lang w:val="sr-Latn-BA"/>
        </w:rPr>
        <w:t>klasu</w:t>
      </w:r>
      <w:r w:rsidR="006F19FB" w:rsidRPr="001B53A8">
        <w:rPr>
          <w:lang w:val="sr-Latn-BA"/>
        </w:rPr>
        <w:t xml:space="preserve"> </w:t>
      </w:r>
      <w:r w:rsidRPr="001B53A8">
        <w:rPr>
          <w:lang w:val="sr-Latn-BA"/>
        </w:rPr>
        <w:t>hartija</w:t>
      </w:r>
      <w:r w:rsidR="006F19FB" w:rsidRPr="001B53A8">
        <w:rPr>
          <w:lang w:val="sr-Latn-BA"/>
        </w:rPr>
        <w:t xml:space="preserve"> </w:t>
      </w:r>
      <w:r w:rsidRPr="001B53A8">
        <w:rPr>
          <w:lang w:val="sr-Latn-BA"/>
        </w:rPr>
        <w:t>od</w:t>
      </w:r>
      <w:r w:rsidR="006F19FB" w:rsidRPr="001B53A8">
        <w:rPr>
          <w:lang w:val="sr-Latn-BA"/>
        </w:rPr>
        <w:t xml:space="preserve"> </w:t>
      </w:r>
      <w:r w:rsidRPr="001B53A8">
        <w:rPr>
          <w:lang w:val="sr-Latn-BA"/>
        </w:rPr>
        <w:t>vrijednosti</w:t>
      </w:r>
      <w:r w:rsidR="006F19FB" w:rsidRPr="001B53A8">
        <w:rPr>
          <w:lang w:val="sr-Latn-BA"/>
        </w:rPr>
        <w:t xml:space="preserve"> </w:t>
      </w:r>
      <w:r w:rsidRPr="001B53A8">
        <w:rPr>
          <w:lang w:val="sr-Latn-BA"/>
        </w:rPr>
        <w:t>objavi</w:t>
      </w:r>
      <w:r w:rsidR="006F19FB" w:rsidRPr="001B53A8">
        <w:rPr>
          <w:lang w:val="sr-Latn-BA"/>
        </w:rPr>
        <w:t xml:space="preserve"> </w:t>
      </w:r>
      <w:r w:rsidRPr="001B53A8">
        <w:rPr>
          <w:lang w:val="sr-Latn-BA"/>
        </w:rPr>
        <w:t>prospekt</w:t>
      </w:r>
      <w:r w:rsidR="006F19FB" w:rsidRPr="001B53A8">
        <w:rPr>
          <w:lang w:val="sr-Latn-BA"/>
        </w:rPr>
        <w:t xml:space="preserve"> </w:t>
      </w:r>
      <w:r w:rsidRPr="001B53A8">
        <w:rPr>
          <w:lang w:val="sr-Latn-BA"/>
        </w:rPr>
        <w:t>ili</w:t>
      </w:r>
      <w:r w:rsidR="006F19FB" w:rsidRPr="001B53A8">
        <w:rPr>
          <w:lang w:val="sr-Latn-BA"/>
        </w:rPr>
        <w:t xml:space="preserve"> </w:t>
      </w:r>
      <w:r w:rsidRPr="001B53A8">
        <w:rPr>
          <w:lang w:val="sr-Latn-BA"/>
        </w:rPr>
        <w:t>da</w:t>
      </w:r>
      <w:r w:rsidR="006F19FB" w:rsidRPr="001B53A8">
        <w:rPr>
          <w:lang w:val="sr-Latn-BA"/>
        </w:rPr>
        <w:t xml:space="preserve"> </w:t>
      </w:r>
      <w:r w:rsidRPr="001B53A8">
        <w:rPr>
          <w:lang w:val="sr-Latn-BA"/>
        </w:rPr>
        <w:t>ih</w:t>
      </w:r>
      <w:r w:rsidR="006F19FB" w:rsidRPr="001B53A8">
        <w:rPr>
          <w:lang w:val="sr-Latn-BA"/>
        </w:rPr>
        <w:t xml:space="preserve"> </w:t>
      </w:r>
      <w:r w:rsidRPr="001B53A8">
        <w:rPr>
          <w:lang w:val="sr-Latn-BA"/>
        </w:rPr>
        <w:t>uvrsti</w:t>
      </w:r>
      <w:r w:rsidR="006F19FB" w:rsidRPr="001B53A8">
        <w:rPr>
          <w:lang w:val="sr-Latn-BA"/>
        </w:rPr>
        <w:t xml:space="preserve"> </w:t>
      </w:r>
      <w:r w:rsidRPr="001B53A8">
        <w:rPr>
          <w:lang w:val="sr-Latn-BA"/>
        </w:rPr>
        <w:t>na</w:t>
      </w:r>
      <w:r w:rsidR="006F19FB" w:rsidRPr="001B53A8">
        <w:rPr>
          <w:lang w:val="sr-Latn-BA"/>
        </w:rPr>
        <w:t xml:space="preserve"> </w:t>
      </w:r>
      <w:r w:rsidRPr="001B53A8">
        <w:rPr>
          <w:lang w:val="sr-Latn-BA"/>
        </w:rPr>
        <w:t>poseban</w:t>
      </w:r>
      <w:r w:rsidR="006F19FB" w:rsidRPr="001B53A8">
        <w:rPr>
          <w:lang w:val="sr-Latn-BA"/>
        </w:rPr>
        <w:t xml:space="preserve"> </w:t>
      </w:r>
      <w:r w:rsidRPr="001B53A8">
        <w:rPr>
          <w:lang w:val="sr-Latn-BA"/>
        </w:rPr>
        <w:t>tržišni</w:t>
      </w:r>
      <w:r w:rsidR="006F19FB" w:rsidRPr="001B53A8">
        <w:rPr>
          <w:lang w:val="sr-Latn-BA"/>
        </w:rPr>
        <w:t xml:space="preserve"> </w:t>
      </w:r>
      <w:r w:rsidRPr="001B53A8">
        <w:rPr>
          <w:lang w:val="sr-Latn-BA"/>
        </w:rPr>
        <w:t>segment</w:t>
      </w:r>
      <w:r w:rsidR="006F19FB" w:rsidRPr="001B53A8">
        <w:rPr>
          <w:lang w:val="sr-Latn-BA"/>
        </w:rPr>
        <w:t xml:space="preserve"> </w:t>
      </w:r>
      <w:r w:rsidRPr="001B53A8">
        <w:rPr>
          <w:lang w:val="sr-Latn-BA"/>
        </w:rPr>
        <w:t>berze</w:t>
      </w:r>
      <w:r w:rsidR="006F19FB" w:rsidRPr="001B53A8">
        <w:rPr>
          <w:lang w:val="sr-Latn-BA"/>
        </w:rPr>
        <w:t xml:space="preserve"> </w:t>
      </w:r>
      <w:r w:rsidRPr="001B53A8">
        <w:rPr>
          <w:lang w:val="sr-Latn-BA"/>
        </w:rPr>
        <w:t>ili</w:t>
      </w:r>
      <w:r w:rsidR="006F19FB" w:rsidRPr="001B53A8">
        <w:rPr>
          <w:lang w:val="sr-Latn-BA"/>
        </w:rPr>
        <w:t xml:space="preserve"> </w:t>
      </w:r>
      <w:r w:rsidRPr="001B53A8">
        <w:rPr>
          <w:lang w:val="sr-Latn-BA"/>
        </w:rPr>
        <w:t>drugog</w:t>
      </w:r>
      <w:r w:rsidR="006F19FB" w:rsidRPr="001B53A8">
        <w:rPr>
          <w:lang w:val="sr-Latn-BA"/>
        </w:rPr>
        <w:t xml:space="preserve"> </w:t>
      </w:r>
      <w:r w:rsidRPr="001B53A8">
        <w:rPr>
          <w:lang w:val="sr-Latn-BA"/>
        </w:rPr>
        <w:t>uređenog</w:t>
      </w:r>
      <w:r w:rsidR="006F19FB" w:rsidRPr="001B53A8">
        <w:rPr>
          <w:lang w:val="sr-Latn-BA"/>
        </w:rPr>
        <w:t xml:space="preserve"> </w:t>
      </w:r>
      <w:r w:rsidRPr="001B53A8">
        <w:rPr>
          <w:lang w:val="sr-Latn-BA"/>
        </w:rPr>
        <w:t>javnog</w:t>
      </w:r>
      <w:r w:rsidR="006F19FB" w:rsidRPr="001B53A8">
        <w:rPr>
          <w:lang w:val="sr-Latn-BA"/>
        </w:rPr>
        <w:t xml:space="preserve"> </w:t>
      </w:r>
      <w:r w:rsidRPr="001B53A8">
        <w:rPr>
          <w:lang w:val="sr-Latn-BA"/>
        </w:rPr>
        <w:t>tržišta</w:t>
      </w:r>
      <w:r w:rsidR="006F19FB" w:rsidRPr="001B53A8">
        <w:rPr>
          <w:lang w:val="sr-Latn-BA"/>
        </w:rPr>
        <w:t xml:space="preserve"> </w:t>
      </w:r>
      <w:r w:rsidRPr="001B53A8">
        <w:rPr>
          <w:lang w:val="sr-Latn-BA"/>
        </w:rPr>
        <w:t>bez</w:t>
      </w:r>
      <w:r w:rsidR="006F19FB" w:rsidRPr="001B53A8">
        <w:rPr>
          <w:lang w:val="sr-Latn-BA"/>
        </w:rPr>
        <w:t xml:space="preserve"> </w:t>
      </w:r>
      <w:r w:rsidRPr="001B53A8">
        <w:rPr>
          <w:lang w:val="sr-Latn-BA"/>
        </w:rPr>
        <w:t>obaveze</w:t>
      </w:r>
      <w:r w:rsidR="006F19FB" w:rsidRPr="001B53A8">
        <w:rPr>
          <w:lang w:val="sr-Latn-BA"/>
        </w:rPr>
        <w:t xml:space="preserve"> </w:t>
      </w:r>
      <w:r w:rsidRPr="001B53A8">
        <w:rPr>
          <w:lang w:val="sr-Latn-BA"/>
        </w:rPr>
        <w:t>objavlјivanja</w:t>
      </w:r>
      <w:r w:rsidR="006F19FB" w:rsidRPr="001B53A8">
        <w:rPr>
          <w:lang w:val="sr-Latn-BA"/>
        </w:rPr>
        <w:t xml:space="preserve"> </w:t>
      </w:r>
      <w:r w:rsidRPr="001B53A8">
        <w:rPr>
          <w:lang w:val="sr-Latn-BA"/>
        </w:rPr>
        <w:t>prospekta</w:t>
      </w:r>
      <w:r w:rsidR="006F19FB" w:rsidRPr="001B53A8">
        <w:rPr>
          <w:lang w:val="sr-Latn-BA"/>
        </w:rPr>
        <w:t xml:space="preserve">, </w:t>
      </w:r>
      <w:r w:rsidRPr="001B53A8">
        <w:rPr>
          <w:lang w:val="sr-Latn-BA"/>
        </w:rPr>
        <w:t>pod</w:t>
      </w:r>
      <w:r w:rsidR="006F19FB" w:rsidRPr="001B53A8">
        <w:rPr>
          <w:lang w:val="sr-Latn-BA"/>
        </w:rPr>
        <w:t xml:space="preserve"> </w:t>
      </w:r>
      <w:r w:rsidRPr="001B53A8">
        <w:rPr>
          <w:lang w:val="sr-Latn-BA"/>
        </w:rPr>
        <w:t>uslovom</w:t>
      </w:r>
      <w:r w:rsidR="006F19FB" w:rsidRPr="001B53A8">
        <w:rPr>
          <w:lang w:val="sr-Latn-BA"/>
        </w:rPr>
        <w:t xml:space="preserve"> </w:t>
      </w:r>
      <w:r w:rsidRPr="001B53A8">
        <w:rPr>
          <w:lang w:val="sr-Latn-BA"/>
        </w:rPr>
        <w:t>da</w:t>
      </w:r>
      <w:r w:rsidR="006F19FB" w:rsidRPr="001B53A8">
        <w:rPr>
          <w:lang w:val="sr-Latn-BA"/>
        </w:rPr>
        <w:t xml:space="preserve"> </w:t>
      </w:r>
      <w:r w:rsidRPr="001B53A8">
        <w:rPr>
          <w:lang w:val="sr-Latn-BA"/>
        </w:rPr>
        <w:t>takvom</w:t>
      </w:r>
      <w:r w:rsidR="006F19FB" w:rsidRPr="001B53A8">
        <w:rPr>
          <w:lang w:val="sr-Latn-BA"/>
        </w:rPr>
        <w:t xml:space="preserve"> </w:t>
      </w:r>
      <w:r w:rsidRPr="001B53A8">
        <w:rPr>
          <w:lang w:val="sr-Latn-BA"/>
        </w:rPr>
        <w:t>tržišnom</w:t>
      </w:r>
      <w:r w:rsidR="006F19FB" w:rsidRPr="001B53A8">
        <w:rPr>
          <w:lang w:val="sr-Latn-BA"/>
        </w:rPr>
        <w:t xml:space="preserve"> </w:t>
      </w:r>
      <w:r w:rsidRPr="001B53A8">
        <w:rPr>
          <w:lang w:val="sr-Latn-BA"/>
        </w:rPr>
        <w:t>segmentu</w:t>
      </w:r>
      <w:r w:rsidR="006F19FB" w:rsidRPr="001B53A8">
        <w:rPr>
          <w:lang w:val="sr-Latn-BA"/>
        </w:rPr>
        <w:t xml:space="preserve"> </w:t>
      </w:r>
      <w:r w:rsidRPr="001B53A8">
        <w:rPr>
          <w:lang w:val="sr-Latn-BA"/>
        </w:rPr>
        <w:t>pristup</w:t>
      </w:r>
      <w:r w:rsidR="006F19FB" w:rsidRPr="001B53A8">
        <w:rPr>
          <w:lang w:val="sr-Latn-BA"/>
        </w:rPr>
        <w:t xml:space="preserve"> </w:t>
      </w:r>
      <w:r w:rsidRPr="001B53A8">
        <w:rPr>
          <w:lang w:val="sr-Latn-BA"/>
        </w:rPr>
        <w:t>za</w:t>
      </w:r>
      <w:r w:rsidR="006F19FB" w:rsidRPr="001B53A8">
        <w:rPr>
          <w:lang w:val="sr-Latn-BA"/>
        </w:rPr>
        <w:t xml:space="preserve"> </w:t>
      </w:r>
      <w:r w:rsidRPr="001B53A8">
        <w:rPr>
          <w:lang w:val="sr-Latn-BA"/>
        </w:rPr>
        <w:t>trgovanje</w:t>
      </w:r>
      <w:r w:rsidR="006F19FB" w:rsidRPr="001B53A8">
        <w:rPr>
          <w:lang w:val="sr-Latn-BA"/>
        </w:rPr>
        <w:t xml:space="preserve"> </w:t>
      </w:r>
      <w:r w:rsidRPr="001B53A8">
        <w:rPr>
          <w:lang w:val="sr-Latn-BA"/>
        </w:rPr>
        <w:t>imaju</w:t>
      </w:r>
      <w:r w:rsidR="006F19FB" w:rsidRPr="001B53A8">
        <w:rPr>
          <w:lang w:val="sr-Latn-BA"/>
        </w:rPr>
        <w:t xml:space="preserve"> </w:t>
      </w:r>
      <w:r w:rsidRPr="001B53A8">
        <w:rPr>
          <w:lang w:val="sr-Latn-BA"/>
        </w:rPr>
        <w:t>samo</w:t>
      </w:r>
      <w:r w:rsidR="006F19FB" w:rsidRPr="001B53A8">
        <w:rPr>
          <w:lang w:val="sr-Latn-BA"/>
        </w:rPr>
        <w:t xml:space="preserve"> </w:t>
      </w:r>
      <w:r w:rsidRPr="001B53A8">
        <w:rPr>
          <w:lang w:val="sr-Latn-BA"/>
        </w:rPr>
        <w:t>kvalifikovani</w:t>
      </w:r>
      <w:r w:rsidR="006F19FB" w:rsidRPr="001B53A8">
        <w:rPr>
          <w:lang w:val="sr-Latn-BA"/>
        </w:rPr>
        <w:t xml:space="preserve"> </w:t>
      </w:r>
      <w:r w:rsidRPr="001B53A8">
        <w:rPr>
          <w:lang w:val="sr-Latn-BA"/>
        </w:rPr>
        <w:t>investitori</w:t>
      </w:r>
      <w:r w:rsidR="006F19FB" w:rsidRPr="001B53A8">
        <w:rPr>
          <w:lang w:val="sr-Latn-BA"/>
        </w:rPr>
        <w:t xml:space="preserve"> </w:t>
      </w:r>
      <w:r w:rsidRPr="001B53A8">
        <w:rPr>
          <w:lang w:val="sr-Latn-BA"/>
        </w:rPr>
        <w:t>u</w:t>
      </w:r>
      <w:r w:rsidR="006F19FB" w:rsidRPr="001B53A8">
        <w:rPr>
          <w:lang w:val="sr-Latn-BA"/>
        </w:rPr>
        <w:t xml:space="preserve"> </w:t>
      </w:r>
      <w:r w:rsidRPr="001B53A8">
        <w:rPr>
          <w:lang w:val="sr-Latn-BA"/>
        </w:rPr>
        <w:t>smislu</w:t>
      </w:r>
      <w:r w:rsidR="006F19FB" w:rsidRPr="001B53A8">
        <w:rPr>
          <w:lang w:val="sr-Latn-BA"/>
        </w:rPr>
        <w:t xml:space="preserve"> </w:t>
      </w:r>
      <w:r w:rsidRPr="001B53A8">
        <w:rPr>
          <w:lang w:val="sr-Latn-BA"/>
        </w:rPr>
        <w:t>odredaba</w:t>
      </w:r>
      <w:r w:rsidR="006F19FB" w:rsidRPr="001B53A8">
        <w:rPr>
          <w:lang w:val="sr-Latn-BA"/>
        </w:rPr>
        <w:t xml:space="preserve"> </w:t>
      </w:r>
      <w:r w:rsidRPr="001B53A8">
        <w:rPr>
          <w:lang w:val="sr-Latn-BA"/>
        </w:rPr>
        <w:t>ovog</w:t>
      </w:r>
      <w:r w:rsidR="006F19FB" w:rsidRPr="001B53A8">
        <w:rPr>
          <w:lang w:val="sr-Latn-BA"/>
        </w:rPr>
        <w:t xml:space="preserve"> </w:t>
      </w:r>
      <w:r w:rsidRPr="001B53A8">
        <w:rPr>
          <w:lang w:val="sr-Latn-BA"/>
        </w:rPr>
        <w:t>zakona</w:t>
      </w:r>
      <w:r w:rsidR="006F19FB" w:rsidRPr="001B53A8">
        <w:rPr>
          <w:lang w:val="sr-Latn-BA"/>
        </w:rPr>
        <w:t>.</w:t>
      </w:r>
    </w:p>
    <w:p w14:paraId="02FA57EE" w14:textId="3F45F4EC" w:rsidR="000B0DC6" w:rsidRPr="001B53A8" w:rsidRDefault="00003F34" w:rsidP="001E125D">
      <w:pPr>
        <w:spacing w:line="240" w:lineRule="auto"/>
        <w:ind w:firstLine="567"/>
        <w:rPr>
          <w:lang w:val="sr-Latn-BA"/>
        </w:rPr>
      </w:pPr>
      <w:r w:rsidRPr="001B53A8">
        <w:rPr>
          <w:lang w:val="sr-Latn-BA"/>
        </w:rPr>
        <w:t>U</w:t>
      </w:r>
      <w:r w:rsidR="006F19FB" w:rsidRPr="001B53A8">
        <w:rPr>
          <w:lang w:val="sr-Latn-BA"/>
        </w:rPr>
        <w:t xml:space="preserve"> </w:t>
      </w:r>
      <w:r w:rsidRPr="001B53A8">
        <w:rPr>
          <w:lang w:val="sr-Latn-BA"/>
        </w:rPr>
        <w:t>ovom</w:t>
      </w:r>
      <w:r w:rsidR="006F19FB" w:rsidRPr="001B53A8">
        <w:rPr>
          <w:lang w:val="sr-Latn-BA"/>
        </w:rPr>
        <w:t xml:space="preserve"> </w:t>
      </w:r>
      <w:r w:rsidRPr="001B53A8">
        <w:rPr>
          <w:lang w:val="sr-Latn-BA"/>
        </w:rPr>
        <w:t>postupku</w:t>
      </w:r>
      <w:r w:rsidR="006F19FB" w:rsidRPr="001B53A8">
        <w:rPr>
          <w:lang w:val="sr-Latn-BA"/>
        </w:rPr>
        <w:t xml:space="preserve"> </w:t>
      </w:r>
      <w:r w:rsidRPr="001B53A8">
        <w:rPr>
          <w:lang w:val="sr-Latn-BA"/>
        </w:rPr>
        <w:t>Komisija</w:t>
      </w:r>
      <w:r w:rsidR="006F19FB" w:rsidRPr="001B53A8">
        <w:rPr>
          <w:lang w:val="sr-Latn-BA"/>
        </w:rPr>
        <w:t xml:space="preserve"> </w:t>
      </w:r>
      <w:r w:rsidRPr="001B53A8">
        <w:rPr>
          <w:lang w:val="sr-Latn-BA"/>
        </w:rPr>
        <w:t>cijeni</w:t>
      </w:r>
      <w:r w:rsidR="006F19FB" w:rsidRPr="001B53A8">
        <w:rPr>
          <w:lang w:val="sr-Latn-BA"/>
        </w:rPr>
        <w:t xml:space="preserve"> </w:t>
      </w:r>
      <w:r w:rsidRPr="001B53A8">
        <w:rPr>
          <w:lang w:val="sr-Latn-BA"/>
        </w:rPr>
        <w:t>da</w:t>
      </w:r>
      <w:r w:rsidR="006F19FB" w:rsidRPr="001B53A8">
        <w:rPr>
          <w:lang w:val="sr-Latn-BA"/>
        </w:rPr>
        <w:t xml:space="preserve"> </w:t>
      </w:r>
      <w:r w:rsidRPr="001B53A8">
        <w:rPr>
          <w:lang w:val="sr-Latn-BA"/>
        </w:rPr>
        <w:t>li</w:t>
      </w:r>
      <w:r w:rsidR="006F19FB" w:rsidRPr="001B53A8">
        <w:rPr>
          <w:lang w:val="sr-Latn-BA"/>
        </w:rPr>
        <w:t xml:space="preserve"> </w:t>
      </w:r>
      <w:r w:rsidRPr="001B53A8">
        <w:rPr>
          <w:lang w:val="sr-Latn-BA"/>
        </w:rPr>
        <w:t>su</w:t>
      </w:r>
      <w:r w:rsidR="006F19FB" w:rsidRPr="001B53A8">
        <w:rPr>
          <w:lang w:val="sr-Latn-BA"/>
        </w:rPr>
        <w:t xml:space="preserve"> </w:t>
      </w:r>
      <w:r w:rsidRPr="001B53A8">
        <w:rPr>
          <w:lang w:val="sr-Latn-BA"/>
        </w:rPr>
        <w:t>odluke</w:t>
      </w:r>
      <w:r w:rsidR="006F19FB" w:rsidRPr="001B53A8">
        <w:rPr>
          <w:lang w:val="sr-Latn-BA"/>
        </w:rPr>
        <w:t xml:space="preserve"> </w:t>
      </w:r>
      <w:r w:rsidRPr="001B53A8">
        <w:rPr>
          <w:lang w:val="sr-Latn-BA"/>
        </w:rPr>
        <w:t>donesene</w:t>
      </w:r>
      <w:r w:rsidR="006F19FB" w:rsidRPr="001B53A8">
        <w:rPr>
          <w:lang w:val="sr-Latn-BA"/>
        </w:rPr>
        <w:t xml:space="preserve"> </w:t>
      </w:r>
      <w:r w:rsidRPr="001B53A8">
        <w:rPr>
          <w:lang w:val="sr-Latn-BA"/>
        </w:rPr>
        <w:t>na</w:t>
      </w:r>
      <w:r w:rsidR="006F19FB" w:rsidRPr="001B53A8">
        <w:rPr>
          <w:lang w:val="sr-Latn-BA"/>
        </w:rPr>
        <w:t xml:space="preserve"> </w:t>
      </w:r>
      <w:r w:rsidRPr="001B53A8">
        <w:rPr>
          <w:lang w:val="sr-Latn-BA"/>
        </w:rPr>
        <w:t>način</w:t>
      </w:r>
      <w:r w:rsidR="006F19FB" w:rsidRPr="001B53A8">
        <w:rPr>
          <w:lang w:val="sr-Latn-BA"/>
        </w:rPr>
        <w:t xml:space="preserve"> </w:t>
      </w:r>
      <w:r w:rsidRPr="001B53A8">
        <w:rPr>
          <w:lang w:val="sr-Latn-BA"/>
        </w:rPr>
        <w:t>i</w:t>
      </w:r>
      <w:r w:rsidR="006F19FB" w:rsidRPr="001B53A8">
        <w:rPr>
          <w:lang w:val="sr-Latn-BA"/>
        </w:rPr>
        <w:t xml:space="preserve"> </w:t>
      </w:r>
      <w:r w:rsidRPr="001B53A8">
        <w:rPr>
          <w:lang w:val="sr-Latn-BA"/>
        </w:rPr>
        <w:t>po</w:t>
      </w:r>
      <w:r w:rsidR="006F19FB" w:rsidRPr="001B53A8">
        <w:rPr>
          <w:lang w:val="sr-Latn-BA"/>
        </w:rPr>
        <w:t xml:space="preserve"> </w:t>
      </w:r>
      <w:r w:rsidRPr="001B53A8">
        <w:rPr>
          <w:lang w:val="sr-Latn-BA"/>
        </w:rPr>
        <w:t>postupku</w:t>
      </w:r>
      <w:r w:rsidR="006F19FB" w:rsidRPr="001B53A8">
        <w:rPr>
          <w:lang w:val="sr-Latn-BA"/>
        </w:rPr>
        <w:t xml:space="preserve"> </w:t>
      </w:r>
      <w:r w:rsidRPr="001B53A8">
        <w:rPr>
          <w:lang w:val="sr-Latn-BA"/>
        </w:rPr>
        <w:t>utvrđenom</w:t>
      </w:r>
      <w:r w:rsidR="006F19FB" w:rsidRPr="001B53A8">
        <w:rPr>
          <w:lang w:val="sr-Latn-BA"/>
        </w:rPr>
        <w:t xml:space="preserve"> </w:t>
      </w:r>
      <w:r w:rsidRPr="001B53A8">
        <w:rPr>
          <w:lang w:val="sr-Latn-BA"/>
        </w:rPr>
        <w:t>Zakonom</w:t>
      </w:r>
      <w:r w:rsidR="006F19FB" w:rsidRPr="001B53A8">
        <w:rPr>
          <w:lang w:val="sr-Latn-BA"/>
        </w:rPr>
        <w:t xml:space="preserve"> </w:t>
      </w:r>
      <w:r w:rsidRPr="001B53A8">
        <w:rPr>
          <w:lang w:val="sr-Latn-BA"/>
        </w:rPr>
        <w:t>i</w:t>
      </w:r>
      <w:r w:rsidR="006F19FB" w:rsidRPr="001B53A8">
        <w:rPr>
          <w:lang w:val="sr-Latn-BA"/>
        </w:rPr>
        <w:t xml:space="preserve"> </w:t>
      </w:r>
      <w:r w:rsidRPr="001B53A8">
        <w:rPr>
          <w:lang w:val="sr-Latn-BA"/>
        </w:rPr>
        <w:t>drugim</w:t>
      </w:r>
      <w:r w:rsidR="006F19FB" w:rsidRPr="001B53A8">
        <w:rPr>
          <w:lang w:val="sr-Latn-BA"/>
        </w:rPr>
        <w:t xml:space="preserve"> </w:t>
      </w:r>
      <w:r w:rsidRPr="001B53A8">
        <w:rPr>
          <w:lang w:val="sr-Latn-BA"/>
        </w:rPr>
        <w:t>propisima</w:t>
      </w:r>
      <w:r w:rsidR="006F19FB" w:rsidRPr="001B53A8">
        <w:rPr>
          <w:lang w:val="sr-Latn-BA"/>
        </w:rPr>
        <w:t xml:space="preserve">, </w:t>
      </w:r>
      <w:r w:rsidRPr="001B53A8">
        <w:rPr>
          <w:lang w:val="sr-Latn-BA"/>
        </w:rPr>
        <w:t>a</w:t>
      </w:r>
      <w:r w:rsidR="006F19FB" w:rsidRPr="001B53A8">
        <w:rPr>
          <w:lang w:val="sr-Latn-BA"/>
        </w:rPr>
        <w:t xml:space="preserve"> </w:t>
      </w:r>
      <w:r w:rsidRPr="001B53A8">
        <w:rPr>
          <w:lang w:val="sr-Latn-BA"/>
        </w:rPr>
        <w:t>svojim</w:t>
      </w:r>
      <w:r w:rsidR="006F19FB" w:rsidRPr="001B53A8">
        <w:rPr>
          <w:lang w:val="sr-Latn-BA"/>
        </w:rPr>
        <w:t xml:space="preserve"> </w:t>
      </w:r>
      <w:r w:rsidRPr="001B53A8">
        <w:rPr>
          <w:lang w:val="sr-Latn-BA"/>
        </w:rPr>
        <w:t>aktom</w:t>
      </w:r>
      <w:r w:rsidR="006F19FB" w:rsidRPr="001B53A8">
        <w:rPr>
          <w:lang w:val="sr-Latn-BA"/>
        </w:rPr>
        <w:t xml:space="preserve"> </w:t>
      </w:r>
      <w:r w:rsidRPr="001B53A8">
        <w:rPr>
          <w:lang w:val="sr-Latn-BA"/>
        </w:rPr>
        <w:t>potvrđuje</w:t>
      </w:r>
      <w:r w:rsidR="006F19FB" w:rsidRPr="001B53A8">
        <w:rPr>
          <w:lang w:val="sr-Latn-BA"/>
        </w:rPr>
        <w:t xml:space="preserve"> </w:t>
      </w:r>
      <w:r w:rsidRPr="001B53A8">
        <w:rPr>
          <w:lang w:val="sr-Latn-BA"/>
        </w:rPr>
        <w:t>izvršenje</w:t>
      </w:r>
      <w:r w:rsidR="006F19FB" w:rsidRPr="001B53A8">
        <w:rPr>
          <w:lang w:val="sr-Latn-BA"/>
        </w:rPr>
        <w:t xml:space="preserve"> </w:t>
      </w:r>
      <w:r w:rsidRPr="001B53A8">
        <w:rPr>
          <w:lang w:val="sr-Latn-BA"/>
        </w:rPr>
        <w:t>obaveze</w:t>
      </w:r>
      <w:r w:rsidR="006F19FB" w:rsidRPr="001B53A8">
        <w:rPr>
          <w:lang w:val="sr-Latn-BA"/>
        </w:rPr>
        <w:t xml:space="preserve"> </w:t>
      </w:r>
      <w:r w:rsidRPr="001B53A8">
        <w:rPr>
          <w:lang w:val="sr-Latn-BA"/>
        </w:rPr>
        <w:t>emitenta</w:t>
      </w:r>
      <w:r w:rsidR="006F19FB" w:rsidRPr="001B53A8">
        <w:rPr>
          <w:lang w:val="sr-Latn-BA"/>
        </w:rPr>
        <w:t xml:space="preserve"> </w:t>
      </w:r>
      <w:r w:rsidRPr="001B53A8">
        <w:rPr>
          <w:lang w:val="sr-Latn-BA"/>
        </w:rPr>
        <w:t>da</w:t>
      </w:r>
      <w:r w:rsidR="006F19FB" w:rsidRPr="001B53A8">
        <w:rPr>
          <w:lang w:val="sr-Latn-BA"/>
        </w:rPr>
        <w:t xml:space="preserve"> </w:t>
      </w:r>
      <w:r w:rsidRPr="001B53A8">
        <w:rPr>
          <w:lang w:val="sr-Latn-BA"/>
        </w:rPr>
        <w:t>dostavi</w:t>
      </w:r>
      <w:r w:rsidR="006F19FB" w:rsidRPr="001B53A8">
        <w:rPr>
          <w:lang w:val="sr-Latn-BA"/>
        </w:rPr>
        <w:t xml:space="preserve"> </w:t>
      </w:r>
      <w:r w:rsidRPr="001B53A8">
        <w:rPr>
          <w:lang w:val="sr-Latn-BA"/>
        </w:rPr>
        <w:t>obavještenje</w:t>
      </w:r>
      <w:r w:rsidR="006F19FB" w:rsidRPr="001B53A8">
        <w:rPr>
          <w:lang w:val="sr-Latn-BA"/>
        </w:rPr>
        <w:t xml:space="preserve"> </w:t>
      </w:r>
      <w:r w:rsidRPr="001B53A8">
        <w:rPr>
          <w:lang w:val="sr-Latn-BA"/>
        </w:rPr>
        <w:t>za</w:t>
      </w:r>
      <w:r w:rsidR="006F19FB" w:rsidRPr="001B53A8">
        <w:rPr>
          <w:lang w:val="sr-Latn-BA"/>
        </w:rPr>
        <w:t xml:space="preserve"> </w:t>
      </w:r>
      <w:r w:rsidRPr="001B53A8">
        <w:rPr>
          <w:lang w:val="sr-Latn-BA"/>
        </w:rPr>
        <w:t>ovakvu</w:t>
      </w:r>
      <w:r w:rsidR="006F19FB" w:rsidRPr="001B53A8">
        <w:rPr>
          <w:lang w:val="sr-Latn-BA"/>
        </w:rPr>
        <w:t xml:space="preserve"> </w:t>
      </w:r>
      <w:r w:rsidRPr="001B53A8">
        <w:rPr>
          <w:lang w:val="sr-Latn-BA"/>
        </w:rPr>
        <w:t>emisiju</w:t>
      </w:r>
      <w:r w:rsidR="006F19FB" w:rsidRPr="001B53A8">
        <w:rPr>
          <w:lang w:val="sr-Latn-BA"/>
        </w:rPr>
        <w:t xml:space="preserve">, </w:t>
      </w:r>
      <w:r w:rsidRPr="001B53A8">
        <w:rPr>
          <w:lang w:val="sr-Latn-BA"/>
        </w:rPr>
        <w:t>te</w:t>
      </w:r>
      <w:r w:rsidR="006F19FB" w:rsidRPr="001B53A8">
        <w:rPr>
          <w:lang w:val="sr-Latn-BA"/>
        </w:rPr>
        <w:t xml:space="preserve"> </w:t>
      </w:r>
      <w:r w:rsidRPr="001B53A8">
        <w:rPr>
          <w:lang w:val="sr-Latn-BA"/>
        </w:rPr>
        <w:t>evidentira</w:t>
      </w:r>
      <w:r w:rsidR="006F19FB" w:rsidRPr="001B53A8">
        <w:rPr>
          <w:lang w:val="sr-Latn-BA"/>
        </w:rPr>
        <w:t xml:space="preserve"> </w:t>
      </w:r>
      <w:r w:rsidRPr="001B53A8">
        <w:rPr>
          <w:lang w:val="sr-Latn-BA"/>
        </w:rPr>
        <w:t>podatke</w:t>
      </w:r>
      <w:r w:rsidR="006F19FB" w:rsidRPr="001B53A8">
        <w:rPr>
          <w:lang w:val="sr-Latn-BA"/>
        </w:rPr>
        <w:t xml:space="preserve"> </w:t>
      </w:r>
      <w:r w:rsidRPr="001B53A8">
        <w:rPr>
          <w:lang w:val="sr-Latn-BA"/>
        </w:rPr>
        <w:t>o</w:t>
      </w:r>
      <w:r w:rsidR="006F19FB" w:rsidRPr="001B53A8">
        <w:rPr>
          <w:lang w:val="sr-Latn-BA"/>
        </w:rPr>
        <w:t xml:space="preserve"> </w:t>
      </w:r>
      <w:r w:rsidRPr="001B53A8">
        <w:rPr>
          <w:lang w:val="sr-Latn-BA"/>
        </w:rPr>
        <w:t>emisiji</w:t>
      </w:r>
      <w:r w:rsidR="006F19FB" w:rsidRPr="001B53A8">
        <w:rPr>
          <w:lang w:val="sr-Latn-BA"/>
        </w:rPr>
        <w:t xml:space="preserve"> </w:t>
      </w:r>
      <w:r w:rsidRPr="001B53A8">
        <w:rPr>
          <w:lang w:val="sr-Latn-BA"/>
        </w:rPr>
        <w:t>u</w:t>
      </w:r>
      <w:r w:rsidR="006F19FB" w:rsidRPr="001B53A8">
        <w:rPr>
          <w:lang w:val="sr-Latn-BA"/>
        </w:rPr>
        <w:t xml:space="preserve"> </w:t>
      </w:r>
      <w:r w:rsidRPr="001B53A8">
        <w:rPr>
          <w:lang w:val="sr-Latn-BA"/>
        </w:rPr>
        <w:t>Registru</w:t>
      </w:r>
      <w:r w:rsidR="006F19FB" w:rsidRPr="001B53A8">
        <w:rPr>
          <w:lang w:val="sr-Latn-BA"/>
        </w:rPr>
        <w:t xml:space="preserve"> </w:t>
      </w:r>
      <w:r w:rsidRPr="001B53A8">
        <w:rPr>
          <w:lang w:val="sr-Latn-BA"/>
        </w:rPr>
        <w:t>emitenata</w:t>
      </w:r>
      <w:r w:rsidR="006730DA" w:rsidRPr="001B53A8">
        <w:rPr>
          <w:lang w:val="sr-Latn-BA"/>
        </w:rPr>
        <w:t>.</w:t>
      </w:r>
    </w:p>
    <w:tbl>
      <w:tblPr>
        <w:tblStyle w:val="LightGrid-Accent12"/>
        <w:tblW w:w="4964" w:type="pct"/>
        <w:tblInd w:w="-34" w:type="dxa"/>
        <w:tblLook w:val="04E0" w:firstRow="1" w:lastRow="1" w:firstColumn="1" w:lastColumn="0" w:noHBand="0" w:noVBand="1"/>
      </w:tblPr>
      <w:tblGrid>
        <w:gridCol w:w="426"/>
        <w:gridCol w:w="6045"/>
        <w:gridCol w:w="1099"/>
        <w:gridCol w:w="1650"/>
      </w:tblGrid>
      <w:tr w:rsidR="006F19FB" w:rsidRPr="001B53A8" w14:paraId="6FD8A0CC" w14:textId="77777777" w:rsidTr="0066171A">
        <w:trPr>
          <w:cnfStyle w:val="100000000000" w:firstRow="1" w:lastRow="0" w:firstColumn="0" w:lastColumn="0" w:oddVBand="0" w:evenVBand="0" w:oddHBand="0"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3509" w:type="pct"/>
            <w:gridSpan w:val="2"/>
            <w:vAlign w:val="center"/>
          </w:tcPr>
          <w:p w14:paraId="60A2F70C" w14:textId="1E008E8D" w:rsidR="006F19FB" w:rsidRPr="001B53A8" w:rsidRDefault="00003F34" w:rsidP="006F19FB">
            <w:pPr>
              <w:pStyle w:val="Table"/>
              <w:rPr>
                <w:rFonts w:ascii="Times New Roman" w:hAnsi="Times New Roman"/>
                <w:lang w:val="sr-Latn-BA"/>
              </w:rPr>
            </w:pPr>
            <w:bookmarkStart w:id="42" w:name="_Hlk115701072"/>
            <w:r w:rsidRPr="001B53A8">
              <w:rPr>
                <w:rFonts w:ascii="Times New Roman" w:hAnsi="Times New Roman"/>
                <w:lang w:val="sr-Latn-BA"/>
              </w:rPr>
              <w:t>Vrsta</w:t>
            </w:r>
            <w:r w:rsidR="006F19FB" w:rsidRPr="001B53A8">
              <w:rPr>
                <w:rFonts w:ascii="Times New Roman" w:hAnsi="Times New Roman"/>
                <w:lang w:val="sr-Latn-BA"/>
              </w:rPr>
              <w:t xml:space="preserve"> </w:t>
            </w:r>
            <w:r w:rsidRPr="001B53A8">
              <w:rPr>
                <w:rFonts w:ascii="Times New Roman" w:hAnsi="Times New Roman"/>
                <w:lang w:val="sr-Latn-BA"/>
              </w:rPr>
              <w:t>emisije</w:t>
            </w:r>
          </w:p>
        </w:tc>
        <w:tc>
          <w:tcPr>
            <w:tcW w:w="596" w:type="pct"/>
            <w:vAlign w:val="center"/>
          </w:tcPr>
          <w:p w14:paraId="66EC6EFC" w14:textId="6C33A88C" w:rsidR="006F19FB" w:rsidRPr="001B53A8" w:rsidRDefault="00003F34" w:rsidP="006F19F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sr-Latn-BA"/>
              </w:rPr>
            </w:pPr>
            <w:r w:rsidRPr="001B53A8">
              <w:rPr>
                <w:rFonts w:ascii="Times New Roman" w:hAnsi="Times New Roman"/>
                <w:lang w:val="sr-Latn-BA"/>
              </w:rPr>
              <w:t>Broj</w:t>
            </w:r>
            <w:r w:rsidR="006F19FB" w:rsidRPr="001B53A8">
              <w:rPr>
                <w:rFonts w:ascii="Times New Roman" w:hAnsi="Times New Roman"/>
                <w:lang w:val="sr-Latn-BA"/>
              </w:rPr>
              <w:t xml:space="preserve"> </w:t>
            </w:r>
            <w:r w:rsidRPr="001B53A8">
              <w:rPr>
                <w:rFonts w:ascii="Times New Roman" w:hAnsi="Times New Roman"/>
                <w:lang w:val="sr-Latn-BA"/>
              </w:rPr>
              <w:t>emisija</w:t>
            </w:r>
          </w:p>
        </w:tc>
        <w:tc>
          <w:tcPr>
            <w:tcW w:w="895" w:type="pct"/>
            <w:vAlign w:val="center"/>
          </w:tcPr>
          <w:p w14:paraId="176A9B68" w14:textId="65D537D7" w:rsidR="006F19FB" w:rsidRPr="001B53A8" w:rsidRDefault="00003F34" w:rsidP="006F19F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sr-Latn-BA"/>
              </w:rPr>
            </w:pPr>
            <w:r w:rsidRPr="001B53A8">
              <w:rPr>
                <w:rFonts w:ascii="Times New Roman" w:hAnsi="Times New Roman"/>
                <w:lang w:val="sr-Latn-BA"/>
              </w:rPr>
              <w:t>Ukupan</w:t>
            </w:r>
            <w:r w:rsidR="006F19FB" w:rsidRPr="001B53A8">
              <w:rPr>
                <w:rFonts w:ascii="Times New Roman" w:hAnsi="Times New Roman"/>
                <w:lang w:val="sr-Latn-BA"/>
              </w:rPr>
              <w:t xml:space="preserve"> </w:t>
            </w:r>
            <w:r w:rsidRPr="001B53A8">
              <w:rPr>
                <w:rFonts w:ascii="Times New Roman" w:hAnsi="Times New Roman"/>
                <w:lang w:val="sr-Latn-BA"/>
              </w:rPr>
              <w:t>obim</w:t>
            </w:r>
            <w:r w:rsidR="006F19FB" w:rsidRPr="001B53A8">
              <w:rPr>
                <w:rFonts w:ascii="Times New Roman" w:hAnsi="Times New Roman"/>
                <w:lang w:val="sr-Latn-BA"/>
              </w:rPr>
              <w:t xml:space="preserve"> </w:t>
            </w:r>
            <w:r w:rsidRPr="001B53A8">
              <w:rPr>
                <w:rFonts w:ascii="Times New Roman" w:hAnsi="Times New Roman"/>
                <w:lang w:val="sr-Latn-BA"/>
              </w:rPr>
              <w:t>emisija</w:t>
            </w:r>
            <w:r w:rsidR="006F19FB" w:rsidRPr="001B53A8">
              <w:rPr>
                <w:rFonts w:ascii="Times New Roman" w:hAnsi="Times New Roman"/>
                <w:lang w:val="sr-Latn-BA"/>
              </w:rPr>
              <w:t xml:space="preserve"> (</w:t>
            </w:r>
            <w:r w:rsidRPr="001B53A8">
              <w:rPr>
                <w:rFonts w:ascii="Times New Roman" w:hAnsi="Times New Roman"/>
                <w:lang w:val="sr-Latn-BA"/>
              </w:rPr>
              <w:t>KM</w:t>
            </w:r>
            <w:r w:rsidR="006F19FB" w:rsidRPr="001B53A8">
              <w:rPr>
                <w:rFonts w:ascii="Times New Roman" w:hAnsi="Times New Roman"/>
                <w:lang w:val="sr-Latn-BA"/>
              </w:rPr>
              <w:t>)</w:t>
            </w:r>
          </w:p>
        </w:tc>
      </w:tr>
      <w:tr w:rsidR="006F19FB" w:rsidRPr="001B53A8" w14:paraId="624B12A5" w14:textId="77777777" w:rsidTr="006617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9" w:type="pct"/>
            <w:gridSpan w:val="2"/>
          </w:tcPr>
          <w:p w14:paraId="649D9EE7" w14:textId="66B6151C" w:rsidR="006F19FB" w:rsidRPr="001B53A8" w:rsidRDefault="006F19FB" w:rsidP="006F19FB">
            <w:pPr>
              <w:pStyle w:val="Table"/>
              <w:rPr>
                <w:rFonts w:ascii="Times New Roman" w:hAnsi="Times New Roman"/>
                <w:lang w:val="sr-Latn-BA"/>
              </w:rPr>
            </w:pPr>
            <w:r w:rsidRPr="001B53A8">
              <w:rPr>
                <w:rFonts w:ascii="Times New Roman" w:hAnsi="Times New Roman"/>
                <w:lang w:val="sr-Latn-BA"/>
              </w:rPr>
              <w:t xml:space="preserve">I </w:t>
            </w:r>
            <w:r w:rsidR="00003F34" w:rsidRPr="001B53A8">
              <w:rPr>
                <w:rFonts w:ascii="Times New Roman" w:hAnsi="Times New Roman"/>
                <w:lang w:val="sr-Latn-BA"/>
              </w:rPr>
              <w:t>Emisije</w:t>
            </w:r>
            <w:r w:rsidRPr="001B53A8">
              <w:rPr>
                <w:rFonts w:ascii="Times New Roman" w:hAnsi="Times New Roman"/>
                <w:lang w:val="sr-Latn-BA"/>
              </w:rPr>
              <w:t xml:space="preserve"> </w:t>
            </w:r>
            <w:r w:rsidR="00003F34" w:rsidRPr="001B53A8">
              <w:rPr>
                <w:rFonts w:ascii="Times New Roman" w:hAnsi="Times New Roman"/>
                <w:lang w:val="sr-Latn-BA"/>
              </w:rPr>
              <w:t>sa</w:t>
            </w:r>
            <w:r w:rsidR="00315188" w:rsidRPr="001B53A8">
              <w:rPr>
                <w:rFonts w:ascii="Times New Roman" w:hAnsi="Times New Roman"/>
                <w:lang w:val="sr-Latn-BA"/>
              </w:rPr>
              <w:t xml:space="preserve"> </w:t>
            </w:r>
            <w:r w:rsidR="00003F34" w:rsidRPr="001B53A8">
              <w:rPr>
                <w:rFonts w:ascii="Times New Roman" w:hAnsi="Times New Roman"/>
                <w:lang w:val="sr-Latn-BA"/>
              </w:rPr>
              <w:t>obavezom</w:t>
            </w:r>
            <w:r w:rsidR="00315188" w:rsidRPr="001B53A8">
              <w:rPr>
                <w:rFonts w:ascii="Times New Roman" w:hAnsi="Times New Roman"/>
                <w:lang w:val="sr-Latn-BA"/>
              </w:rPr>
              <w:t xml:space="preserve"> </w:t>
            </w:r>
            <w:r w:rsidR="00003F34" w:rsidRPr="001B53A8">
              <w:rPr>
                <w:rFonts w:ascii="Times New Roman" w:hAnsi="Times New Roman"/>
                <w:lang w:val="sr-Latn-BA"/>
              </w:rPr>
              <w:t>objavlјivanja</w:t>
            </w:r>
            <w:r w:rsidR="00315188" w:rsidRPr="001B53A8">
              <w:rPr>
                <w:rFonts w:ascii="Times New Roman" w:hAnsi="Times New Roman"/>
                <w:lang w:val="sr-Latn-BA"/>
              </w:rPr>
              <w:t xml:space="preserve"> </w:t>
            </w:r>
            <w:r w:rsidR="00003F34" w:rsidRPr="001B53A8">
              <w:rPr>
                <w:rFonts w:ascii="Times New Roman" w:hAnsi="Times New Roman"/>
                <w:lang w:val="sr-Latn-BA"/>
              </w:rPr>
              <w:t>prospekta</w:t>
            </w:r>
          </w:p>
        </w:tc>
        <w:tc>
          <w:tcPr>
            <w:tcW w:w="596" w:type="pct"/>
            <w:vAlign w:val="center"/>
          </w:tcPr>
          <w:p w14:paraId="0DE5FA3C" w14:textId="56DF6D41" w:rsidR="006F19FB" w:rsidRPr="001B53A8" w:rsidRDefault="0091431E" w:rsidP="0091431E">
            <w:pPr>
              <w:pStyle w:val="Table"/>
              <w:tabs>
                <w:tab w:val="decimal" w:pos="573"/>
              </w:tabs>
              <w:jc w:val="lef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lang w:val="sr-Latn-BA"/>
              </w:rPr>
            </w:pPr>
            <w:r w:rsidRPr="001B53A8">
              <w:rPr>
                <w:rFonts w:ascii="Times New Roman" w:eastAsia="Times New Roman" w:hAnsi="Times New Roman"/>
                <w:b/>
                <w:lang w:val="sr-Latn-BA"/>
              </w:rPr>
              <w:t>16</w:t>
            </w:r>
          </w:p>
        </w:tc>
        <w:tc>
          <w:tcPr>
            <w:tcW w:w="895" w:type="pct"/>
            <w:vAlign w:val="center"/>
          </w:tcPr>
          <w:p w14:paraId="4ABD7C01" w14:textId="2B2FA3DD" w:rsidR="006F19FB" w:rsidRPr="001B53A8" w:rsidRDefault="0091431E" w:rsidP="006F19FB">
            <w:pPr>
              <w:spacing w:after="0" w:line="240" w:lineRule="auto"/>
              <w:ind w:firstLine="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sr-Latn-BA"/>
              </w:rPr>
            </w:pPr>
            <w:r w:rsidRPr="001B53A8">
              <w:rPr>
                <w:rFonts w:ascii="Times New Roman" w:eastAsia="Times New Roman" w:hAnsi="Times New Roman"/>
                <w:b/>
                <w:sz w:val="22"/>
                <w:szCs w:val="22"/>
                <w:lang w:val="sr-Latn-BA"/>
              </w:rPr>
              <w:t>40.675.000</w:t>
            </w:r>
          </w:p>
        </w:tc>
      </w:tr>
      <w:tr w:rsidR="0091431E" w:rsidRPr="001B53A8" w14:paraId="4C0D6AC1" w14:textId="77777777" w:rsidTr="0066171A">
        <w:trPr>
          <w:cnfStyle w:val="000000010000" w:firstRow="0" w:lastRow="0" w:firstColumn="0" w:lastColumn="0" w:oddVBand="0" w:evenVBand="0" w:oddHBand="0" w:evenHBand="1" w:firstRowFirstColumn="0" w:firstRowLastColumn="0" w:lastRowFirstColumn="0" w:lastRowLastColumn="0"/>
          <w:trHeight w:val="147"/>
        </w:trPr>
        <w:tc>
          <w:tcPr>
            <w:cnfStyle w:val="001000000000" w:firstRow="0" w:lastRow="0" w:firstColumn="1" w:lastColumn="0" w:oddVBand="0" w:evenVBand="0" w:oddHBand="0" w:evenHBand="0" w:firstRowFirstColumn="0" w:firstRowLastColumn="0" w:lastRowFirstColumn="0" w:lastRowLastColumn="0"/>
            <w:tcW w:w="3509" w:type="pct"/>
            <w:gridSpan w:val="2"/>
          </w:tcPr>
          <w:p w14:paraId="75172D70" w14:textId="37ABC4AC" w:rsidR="0091431E" w:rsidRPr="001B53A8" w:rsidRDefault="0091431E" w:rsidP="0091431E">
            <w:pPr>
              <w:pStyle w:val="Table"/>
              <w:rPr>
                <w:rFonts w:ascii="Times New Roman" w:hAnsi="Times New Roman"/>
                <w:lang w:val="sr-Latn-BA"/>
              </w:rPr>
            </w:pPr>
            <w:r w:rsidRPr="001B53A8">
              <w:rPr>
                <w:rFonts w:ascii="Times New Roman" w:hAnsi="Times New Roman"/>
                <w:lang w:val="sr-Latn-BA"/>
              </w:rPr>
              <w:t xml:space="preserve">II </w:t>
            </w:r>
            <w:r w:rsidR="00003F34" w:rsidRPr="001B53A8">
              <w:rPr>
                <w:rFonts w:ascii="Times New Roman" w:hAnsi="Times New Roman"/>
                <w:lang w:val="sr-Latn-BA"/>
              </w:rPr>
              <w:t>Emisija</w:t>
            </w:r>
            <w:r w:rsidRPr="001B53A8">
              <w:rPr>
                <w:rFonts w:ascii="Times New Roman" w:hAnsi="Times New Roman"/>
                <w:lang w:val="sr-Latn-BA"/>
              </w:rPr>
              <w:t xml:space="preserve"> </w:t>
            </w:r>
            <w:r w:rsidR="00003F34" w:rsidRPr="001B53A8">
              <w:rPr>
                <w:rFonts w:ascii="Times New Roman" w:hAnsi="Times New Roman"/>
                <w:lang w:val="sr-Latn-BA"/>
              </w:rPr>
              <w:t>bez</w:t>
            </w:r>
            <w:r w:rsidRPr="001B53A8">
              <w:rPr>
                <w:rFonts w:ascii="Times New Roman" w:hAnsi="Times New Roman"/>
                <w:lang w:val="sr-Latn-BA"/>
              </w:rPr>
              <w:t xml:space="preserve"> </w:t>
            </w:r>
            <w:r w:rsidR="00003F34" w:rsidRPr="001B53A8">
              <w:rPr>
                <w:rFonts w:ascii="Times New Roman" w:hAnsi="Times New Roman"/>
                <w:lang w:val="sr-Latn-BA"/>
              </w:rPr>
              <w:t>obaveze</w:t>
            </w:r>
            <w:r w:rsidRPr="001B53A8">
              <w:rPr>
                <w:rFonts w:ascii="Times New Roman" w:hAnsi="Times New Roman"/>
                <w:lang w:val="sr-Latn-BA"/>
              </w:rPr>
              <w:t xml:space="preserve"> </w:t>
            </w:r>
            <w:r w:rsidR="00003F34" w:rsidRPr="001B53A8">
              <w:rPr>
                <w:rFonts w:ascii="Times New Roman" w:hAnsi="Times New Roman"/>
                <w:lang w:val="sr-Latn-BA"/>
              </w:rPr>
              <w:t>objave</w:t>
            </w:r>
            <w:r w:rsidRPr="001B53A8">
              <w:rPr>
                <w:rFonts w:ascii="Times New Roman" w:hAnsi="Times New Roman"/>
                <w:lang w:val="sr-Latn-BA"/>
              </w:rPr>
              <w:t xml:space="preserve"> </w:t>
            </w:r>
            <w:r w:rsidR="00003F34" w:rsidRPr="001B53A8">
              <w:rPr>
                <w:rFonts w:ascii="Times New Roman" w:hAnsi="Times New Roman"/>
                <w:lang w:val="sr-Latn-BA"/>
              </w:rPr>
              <w:t>prospekta</w:t>
            </w:r>
            <w:r w:rsidRPr="001B53A8">
              <w:rPr>
                <w:rFonts w:ascii="Times New Roman" w:hAnsi="Times New Roman"/>
                <w:lang w:val="sr-Latn-BA"/>
              </w:rPr>
              <w:t>:</w:t>
            </w:r>
          </w:p>
        </w:tc>
        <w:tc>
          <w:tcPr>
            <w:tcW w:w="596" w:type="pct"/>
            <w:vAlign w:val="center"/>
          </w:tcPr>
          <w:p w14:paraId="1537184D" w14:textId="487A659F" w:rsidR="0091431E" w:rsidRPr="001B53A8" w:rsidRDefault="0091431E" w:rsidP="0091431E">
            <w:pPr>
              <w:pStyle w:val="Table"/>
              <w:tabs>
                <w:tab w:val="decimal" w:pos="573"/>
              </w:tabs>
              <w:jc w:val="lef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b/>
                <w:lang w:val="sr-Latn-BA"/>
              </w:rPr>
            </w:pPr>
            <w:r w:rsidRPr="001B53A8">
              <w:rPr>
                <w:rFonts w:ascii="Times New Roman" w:eastAsia="Times New Roman" w:hAnsi="Times New Roman"/>
                <w:b/>
                <w:lang w:val="sr-Latn-BA"/>
              </w:rPr>
              <w:t>5</w:t>
            </w:r>
          </w:p>
        </w:tc>
        <w:tc>
          <w:tcPr>
            <w:tcW w:w="895" w:type="pct"/>
            <w:vAlign w:val="center"/>
          </w:tcPr>
          <w:p w14:paraId="7DAC0A20" w14:textId="5D2B9D97" w:rsidR="0091431E" w:rsidRPr="001B53A8" w:rsidRDefault="0091431E" w:rsidP="0091431E">
            <w:pPr>
              <w:spacing w:after="0" w:line="240" w:lineRule="auto"/>
              <w:ind w:firstLine="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bCs/>
                <w:sz w:val="20"/>
                <w:szCs w:val="20"/>
                <w:lang w:val="sr-Latn-BA"/>
              </w:rPr>
            </w:pPr>
            <w:r w:rsidRPr="001B53A8">
              <w:rPr>
                <w:rFonts w:ascii="Times New Roman" w:eastAsia="Times New Roman" w:hAnsi="Times New Roman"/>
                <w:b/>
                <w:sz w:val="22"/>
                <w:szCs w:val="22"/>
                <w:lang w:val="sr-Latn-BA"/>
              </w:rPr>
              <w:t>72.524.000</w:t>
            </w:r>
          </w:p>
        </w:tc>
      </w:tr>
      <w:tr w:rsidR="0091431E" w:rsidRPr="001B53A8" w14:paraId="116B49D9" w14:textId="77777777" w:rsidTr="0066171A">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vAlign w:val="center"/>
          </w:tcPr>
          <w:p w14:paraId="39C55524" w14:textId="77777777" w:rsidR="0091431E" w:rsidRPr="001B53A8" w:rsidRDefault="0091431E" w:rsidP="0091431E">
            <w:pPr>
              <w:pStyle w:val="Table"/>
              <w:jc w:val="center"/>
              <w:rPr>
                <w:rFonts w:ascii="Times New Roman" w:hAnsi="Times New Roman"/>
                <w:b w:val="0"/>
                <w:lang w:val="sr-Latn-BA"/>
              </w:rPr>
            </w:pPr>
            <w:r w:rsidRPr="001B53A8">
              <w:rPr>
                <w:rFonts w:ascii="Times New Roman" w:hAnsi="Times New Roman"/>
                <w:b w:val="0"/>
                <w:lang w:val="sr-Latn-BA"/>
              </w:rPr>
              <w:t>1.</w:t>
            </w:r>
          </w:p>
        </w:tc>
        <w:tc>
          <w:tcPr>
            <w:tcW w:w="3278" w:type="pct"/>
            <w:vAlign w:val="center"/>
          </w:tcPr>
          <w:p w14:paraId="6260168D" w14:textId="26D0EE4B" w:rsidR="0091431E" w:rsidRPr="001B53A8" w:rsidRDefault="00003F34" w:rsidP="0091431E">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lang w:val="sr-Latn-BA"/>
              </w:rPr>
            </w:pPr>
            <w:r w:rsidRPr="001B53A8">
              <w:rPr>
                <w:rFonts w:ascii="Times New Roman" w:hAnsi="Times New Roman"/>
                <w:sz w:val="22"/>
                <w:szCs w:val="22"/>
                <w:lang w:val="sr-Latn-BA"/>
              </w:rPr>
              <w:t>Ponuda</w:t>
            </w:r>
            <w:r w:rsidR="0091431E" w:rsidRPr="001B53A8">
              <w:rPr>
                <w:rFonts w:ascii="Times New Roman" w:hAnsi="Times New Roman"/>
                <w:sz w:val="22"/>
                <w:szCs w:val="22"/>
                <w:lang w:val="sr-Latn-BA"/>
              </w:rPr>
              <w:t xml:space="preserve"> </w:t>
            </w:r>
            <w:r w:rsidRPr="001B53A8">
              <w:rPr>
                <w:rFonts w:ascii="Times New Roman" w:hAnsi="Times New Roman"/>
                <w:sz w:val="22"/>
                <w:szCs w:val="22"/>
                <w:lang w:val="sr-Latn-BA"/>
              </w:rPr>
              <w:t>za</w:t>
            </w:r>
            <w:r w:rsidR="0091431E" w:rsidRPr="001B53A8">
              <w:rPr>
                <w:rFonts w:ascii="Times New Roman" w:hAnsi="Times New Roman"/>
                <w:sz w:val="22"/>
                <w:szCs w:val="22"/>
                <w:lang w:val="sr-Latn-BA"/>
              </w:rPr>
              <w:t xml:space="preserve"> </w:t>
            </w:r>
            <w:r w:rsidRPr="001B53A8">
              <w:rPr>
                <w:rFonts w:ascii="Times New Roman" w:hAnsi="Times New Roman"/>
                <w:sz w:val="22"/>
                <w:szCs w:val="22"/>
                <w:lang w:val="sr-Latn-BA"/>
              </w:rPr>
              <w:t>kvalifikovane</w:t>
            </w:r>
            <w:r w:rsidR="0091431E" w:rsidRPr="001B53A8">
              <w:rPr>
                <w:rFonts w:ascii="Times New Roman" w:hAnsi="Times New Roman"/>
                <w:sz w:val="22"/>
                <w:szCs w:val="22"/>
                <w:lang w:val="sr-Latn-BA"/>
              </w:rPr>
              <w:t xml:space="preserve"> </w:t>
            </w:r>
            <w:r w:rsidRPr="001B53A8">
              <w:rPr>
                <w:rFonts w:ascii="Times New Roman" w:hAnsi="Times New Roman"/>
                <w:sz w:val="22"/>
                <w:szCs w:val="22"/>
                <w:lang w:val="sr-Latn-BA"/>
              </w:rPr>
              <w:t>investitore</w:t>
            </w:r>
          </w:p>
        </w:tc>
        <w:tc>
          <w:tcPr>
            <w:tcW w:w="596" w:type="pct"/>
            <w:vAlign w:val="center"/>
          </w:tcPr>
          <w:p w14:paraId="1B4DFC36" w14:textId="77777777" w:rsidR="0091431E" w:rsidRPr="001B53A8" w:rsidRDefault="0091431E" w:rsidP="0091431E">
            <w:pPr>
              <w:pStyle w:val="Table"/>
              <w:tabs>
                <w:tab w:val="decimal" w:pos="573"/>
              </w:tabs>
              <w:jc w:val="left"/>
              <w:cnfStyle w:val="000000100000" w:firstRow="0" w:lastRow="0" w:firstColumn="0" w:lastColumn="0" w:oddVBand="0" w:evenVBand="0" w:oddHBand="1" w:evenHBand="0" w:firstRowFirstColumn="0" w:firstRowLastColumn="0" w:lastRowFirstColumn="0" w:lastRowLastColumn="0"/>
              <w:rPr>
                <w:rFonts w:ascii="Times New Roman" w:hAnsi="Times New Roman"/>
                <w:lang w:val="sr-Latn-BA"/>
              </w:rPr>
            </w:pPr>
            <w:r w:rsidRPr="001B53A8">
              <w:rPr>
                <w:rFonts w:ascii="Times New Roman" w:hAnsi="Times New Roman"/>
                <w:lang w:val="sr-Latn-BA"/>
              </w:rPr>
              <w:t>1</w:t>
            </w:r>
          </w:p>
        </w:tc>
        <w:tc>
          <w:tcPr>
            <w:tcW w:w="895" w:type="pct"/>
            <w:vAlign w:val="center"/>
          </w:tcPr>
          <w:p w14:paraId="19D1670E" w14:textId="0E2E328E" w:rsidR="0091431E" w:rsidRPr="001B53A8" w:rsidRDefault="0091431E" w:rsidP="0091431E">
            <w:pPr>
              <w:spacing w:after="0" w:line="240" w:lineRule="auto"/>
              <w:ind w:firstLine="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lang w:val="sr-Latn-BA"/>
              </w:rPr>
            </w:pPr>
            <w:r w:rsidRPr="001B53A8">
              <w:rPr>
                <w:rFonts w:ascii="Times New Roman" w:hAnsi="Times New Roman" w:cs="Times New Roman"/>
                <w:sz w:val="22"/>
                <w:szCs w:val="22"/>
                <w:lang w:val="sr-Latn-BA"/>
              </w:rPr>
              <w:t>320.000</w:t>
            </w:r>
          </w:p>
        </w:tc>
      </w:tr>
      <w:tr w:rsidR="0091431E" w:rsidRPr="001B53A8" w14:paraId="0FC3EA7E" w14:textId="77777777" w:rsidTr="0066171A">
        <w:trPr>
          <w:cnfStyle w:val="000000010000" w:firstRow="0" w:lastRow="0" w:firstColumn="0" w:lastColumn="0" w:oddVBand="0" w:evenVBand="0" w:oddHBand="0" w:evenHBand="1"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vAlign w:val="center"/>
          </w:tcPr>
          <w:p w14:paraId="5BFCC16D" w14:textId="77777777" w:rsidR="0091431E" w:rsidRPr="001B53A8" w:rsidRDefault="0091431E" w:rsidP="0091431E">
            <w:pPr>
              <w:pStyle w:val="Table"/>
              <w:jc w:val="center"/>
              <w:rPr>
                <w:rFonts w:ascii="Times New Roman" w:hAnsi="Times New Roman"/>
                <w:b w:val="0"/>
                <w:lang w:val="sr-Latn-BA"/>
              </w:rPr>
            </w:pPr>
            <w:r w:rsidRPr="001B53A8">
              <w:rPr>
                <w:rFonts w:ascii="Times New Roman" w:hAnsi="Times New Roman"/>
                <w:b w:val="0"/>
                <w:lang w:val="sr-Latn-BA"/>
              </w:rPr>
              <w:t>2.</w:t>
            </w:r>
          </w:p>
        </w:tc>
        <w:tc>
          <w:tcPr>
            <w:tcW w:w="3278" w:type="pct"/>
            <w:vAlign w:val="center"/>
          </w:tcPr>
          <w:p w14:paraId="0A956A43" w14:textId="4206B816" w:rsidR="0091431E" w:rsidRPr="001B53A8" w:rsidRDefault="00003F34" w:rsidP="0091431E">
            <w:pPr>
              <w:pStyle w:val="Table"/>
              <w:cnfStyle w:val="000000010000" w:firstRow="0" w:lastRow="0" w:firstColumn="0" w:lastColumn="0" w:oddVBand="0" w:evenVBand="0" w:oddHBand="0" w:evenHBand="1" w:firstRowFirstColumn="0" w:firstRowLastColumn="0" w:lastRowFirstColumn="0" w:lastRowLastColumn="0"/>
              <w:rPr>
                <w:rFonts w:ascii="Times New Roman" w:hAnsi="Times New Roman"/>
                <w:lang w:val="sr-Latn-BA"/>
              </w:rPr>
            </w:pPr>
            <w:r w:rsidRPr="001B53A8">
              <w:rPr>
                <w:rFonts w:ascii="Times New Roman" w:hAnsi="Times New Roman"/>
                <w:sz w:val="22"/>
                <w:szCs w:val="22"/>
                <w:lang w:val="sr-Latn-BA"/>
              </w:rPr>
              <w:t>Pretvaranje</w:t>
            </w:r>
            <w:r w:rsidR="0091431E" w:rsidRPr="001B53A8">
              <w:rPr>
                <w:rFonts w:ascii="Times New Roman" w:hAnsi="Times New Roman"/>
                <w:sz w:val="22"/>
                <w:szCs w:val="22"/>
                <w:lang w:val="sr-Latn-BA"/>
              </w:rPr>
              <w:t xml:space="preserve"> </w:t>
            </w:r>
            <w:r w:rsidRPr="001B53A8">
              <w:rPr>
                <w:rFonts w:ascii="Times New Roman" w:hAnsi="Times New Roman"/>
                <w:sz w:val="22"/>
                <w:szCs w:val="22"/>
                <w:lang w:val="sr-Latn-BA"/>
              </w:rPr>
              <w:t>rezervi</w:t>
            </w:r>
            <w:r w:rsidR="0091431E" w:rsidRPr="001B53A8">
              <w:rPr>
                <w:rFonts w:ascii="Times New Roman" w:hAnsi="Times New Roman"/>
                <w:sz w:val="22"/>
                <w:szCs w:val="22"/>
                <w:lang w:val="sr-Latn-BA"/>
              </w:rPr>
              <w:t xml:space="preserve"> </w:t>
            </w:r>
            <w:r w:rsidRPr="001B53A8">
              <w:rPr>
                <w:rFonts w:ascii="Times New Roman" w:hAnsi="Times New Roman"/>
                <w:sz w:val="22"/>
                <w:szCs w:val="22"/>
                <w:lang w:val="sr-Latn-BA"/>
              </w:rPr>
              <w:t>i</w:t>
            </w:r>
            <w:r w:rsidR="0091431E" w:rsidRPr="001B53A8">
              <w:rPr>
                <w:rFonts w:ascii="Times New Roman" w:hAnsi="Times New Roman"/>
                <w:sz w:val="22"/>
                <w:szCs w:val="22"/>
                <w:lang w:val="sr-Latn-BA"/>
              </w:rPr>
              <w:t xml:space="preserve"> </w:t>
            </w:r>
            <w:r w:rsidRPr="001B53A8">
              <w:rPr>
                <w:rFonts w:ascii="Times New Roman" w:hAnsi="Times New Roman"/>
                <w:sz w:val="22"/>
                <w:szCs w:val="22"/>
                <w:lang w:val="sr-Latn-BA"/>
              </w:rPr>
              <w:t>neraspoređene</w:t>
            </w:r>
            <w:r w:rsidR="0091431E" w:rsidRPr="001B53A8">
              <w:rPr>
                <w:rFonts w:ascii="Times New Roman" w:hAnsi="Times New Roman"/>
                <w:sz w:val="22"/>
                <w:szCs w:val="22"/>
                <w:lang w:val="sr-Latn-BA"/>
              </w:rPr>
              <w:t xml:space="preserve"> </w:t>
            </w:r>
            <w:r w:rsidRPr="001B53A8">
              <w:rPr>
                <w:rFonts w:ascii="Times New Roman" w:hAnsi="Times New Roman"/>
                <w:sz w:val="22"/>
                <w:szCs w:val="22"/>
                <w:lang w:val="sr-Latn-BA"/>
              </w:rPr>
              <w:t>dobiti</w:t>
            </w:r>
            <w:r w:rsidR="0091431E" w:rsidRPr="001B53A8">
              <w:rPr>
                <w:rFonts w:ascii="Times New Roman" w:hAnsi="Times New Roman"/>
                <w:sz w:val="22"/>
                <w:szCs w:val="22"/>
                <w:lang w:val="sr-Latn-BA"/>
              </w:rPr>
              <w:t xml:space="preserve"> </w:t>
            </w:r>
            <w:r w:rsidRPr="001B53A8">
              <w:rPr>
                <w:rFonts w:ascii="Times New Roman" w:hAnsi="Times New Roman"/>
                <w:sz w:val="22"/>
                <w:szCs w:val="22"/>
                <w:lang w:val="sr-Latn-BA"/>
              </w:rPr>
              <w:t>u</w:t>
            </w:r>
            <w:r w:rsidR="0091431E" w:rsidRPr="001B53A8">
              <w:rPr>
                <w:rFonts w:ascii="Times New Roman" w:hAnsi="Times New Roman"/>
                <w:sz w:val="22"/>
                <w:szCs w:val="22"/>
                <w:lang w:val="sr-Latn-BA"/>
              </w:rPr>
              <w:t xml:space="preserve"> </w:t>
            </w:r>
            <w:r w:rsidRPr="001B53A8">
              <w:rPr>
                <w:rFonts w:ascii="Times New Roman" w:hAnsi="Times New Roman"/>
                <w:sz w:val="22"/>
                <w:szCs w:val="22"/>
                <w:lang w:val="sr-Latn-BA"/>
              </w:rPr>
              <w:t>osnovni</w:t>
            </w:r>
            <w:r w:rsidR="0091431E" w:rsidRPr="001B53A8">
              <w:rPr>
                <w:rFonts w:ascii="Times New Roman" w:hAnsi="Times New Roman"/>
                <w:sz w:val="22"/>
                <w:szCs w:val="22"/>
                <w:lang w:val="sr-Latn-BA"/>
              </w:rPr>
              <w:t xml:space="preserve"> </w:t>
            </w:r>
            <w:r w:rsidRPr="001B53A8">
              <w:rPr>
                <w:rFonts w:ascii="Times New Roman" w:hAnsi="Times New Roman"/>
                <w:sz w:val="22"/>
                <w:szCs w:val="22"/>
                <w:lang w:val="sr-Latn-BA"/>
              </w:rPr>
              <w:t>kapital</w:t>
            </w:r>
          </w:p>
        </w:tc>
        <w:tc>
          <w:tcPr>
            <w:tcW w:w="596" w:type="pct"/>
            <w:vAlign w:val="center"/>
          </w:tcPr>
          <w:p w14:paraId="211A42E4" w14:textId="0BA36B08" w:rsidR="0091431E" w:rsidRPr="001B53A8" w:rsidRDefault="0091431E" w:rsidP="0091431E">
            <w:pPr>
              <w:pStyle w:val="Table"/>
              <w:tabs>
                <w:tab w:val="decimal" w:pos="573"/>
              </w:tabs>
              <w:jc w:val="left"/>
              <w:cnfStyle w:val="000000010000" w:firstRow="0" w:lastRow="0" w:firstColumn="0" w:lastColumn="0" w:oddVBand="0" w:evenVBand="0" w:oddHBand="0" w:evenHBand="1" w:firstRowFirstColumn="0" w:firstRowLastColumn="0" w:lastRowFirstColumn="0" w:lastRowLastColumn="0"/>
              <w:rPr>
                <w:rFonts w:ascii="Times New Roman" w:hAnsi="Times New Roman"/>
                <w:lang w:val="sr-Latn-BA"/>
              </w:rPr>
            </w:pPr>
            <w:r w:rsidRPr="001B53A8">
              <w:rPr>
                <w:rFonts w:ascii="Times New Roman" w:hAnsi="Times New Roman"/>
                <w:lang w:val="sr-Latn-BA"/>
              </w:rPr>
              <w:t>2</w:t>
            </w:r>
          </w:p>
        </w:tc>
        <w:tc>
          <w:tcPr>
            <w:tcW w:w="895" w:type="pct"/>
            <w:vAlign w:val="center"/>
          </w:tcPr>
          <w:p w14:paraId="0784E14D" w14:textId="503A422D" w:rsidR="0091431E" w:rsidRPr="001B53A8" w:rsidRDefault="0091431E" w:rsidP="0091431E">
            <w:pPr>
              <w:spacing w:after="0" w:line="240" w:lineRule="auto"/>
              <w:ind w:firstLine="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sz w:val="20"/>
                <w:szCs w:val="20"/>
                <w:lang w:val="sr-Latn-BA"/>
              </w:rPr>
            </w:pPr>
            <w:r w:rsidRPr="001B53A8">
              <w:rPr>
                <w:rFonts w:ascii="Times New Roman" w:hAnsi="Times New Roman" w:cs="Times New Roman"/>
                <w:bCs/>
                <w:sz w:val="22"/>
                <w:szCs w:val="22"/>
                <w:lang w:val="sr-Latn-BA"/>
              </w:rPr>
              <w:t>1.500.000</w:t>
            </w:r>
          </w:p>
        </w:tc>
      </w:tr>
      <w:tr w:rsidR="0091431E" w:rsidRPr="001B53A8" w14:paraId="11CB9A67" w14:textId="77777777" w:rsidTr="0066171A">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vAlign w:val="center"/>
          </w:tcPr>
          <w:p w14:paraId="6A079AFE" w14:textId="77777777" w:rsidR="0091431E" w:rsidRPr="001B53A8" w:rsidRDefault="0091431E" w:rsidP="0091431E">
            <w:pPr>
              <w:pStyle w:val="Table"/>
              <w:jc w:val="center"/>
              <w:rPr>
                <w:rFonts w:ascii="Times New Roman" w:hAnsi="Times New Roman"/>
                <w:b w:val="0"/>
                <w:lang w:val="sr-Latn-BA"/>
              </w:rPr>
            </w:pPr>
            <w:r w:rsidRPr="001B53A8">
              <w:rPr>
                <w:rFonts w:ascii="Times New Roman" w:hAnsi="Times New Roman"/>
                <w:b w:val="0"/>
                <w:lang w:val="sr-Latn-BA"/>
              </w:rPr>
              <w:t>3.</w:t>
            </w:r>
          </w:p>
        </w:tc>
        <w:tc>
          <w:tcPr>
            <w:tcW w:w="3278" w:type="pct"/>
            <w:vAlign w:val="center"/>
          </w:tcPr>
          <w:p w14:paraId="40D1FD75" w14:textId="2DB4332E" w:rsidR="0091431E" w:rsidRPr="001B53A8" w:rsidRDefault="00003F34" w:rsidP="0091431E">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lang w:val="sr-Latn-BA"/>
              </w:rPr>
            </w:pPr>
            <w:r w:rsidRPr="001B53A8">
              <w:rPr>
                <w:rFonts w:ascii="Times New Roman" w:hAnsi="Times New Roman"/>
                <w:sz w:val="22"/>
                <w:szCs w:val="22"/>
                <w:lang w:val="sr-Latn-BA"/>
              </w:rPr>
              <w:t>Smanjenje</w:t>
            </w:r>
            <w:r w:rsidR="0091431E" w:rsidRPr="001B53A8">
              <w:rPr>
                <w:rFonts w:ascii="Times New Roman" w:hAnsi="Times New Roman"/>
                <w:sz w:val="22"/>
                <w:szCs w:val="22"/>
                <w:lang w:val="sr-Latn-BA"/>
              </w:rPr>
              <w:t xml:space="preserve"> </w:t>
            </w:r>
            <w:r w:rsidRPr="001B53A8">
              <w:rPr>
                <w:rFonts w:ascii="Times New Roman" w:hAnsi="Times New Roman"/>
                <w:sz w:val="22"/>
                <w:szCs w:val="22"/>
                <w:lang w:val="sr-Latn-BA"/>
              </w:rPr>
              <w:t>kapitala</w:t>
            </w:r>
          </w:p>
        </w:tc>
        <w:tc>
          <w:tcPr>
            <w:tcW w:w="596" w:type="pct"/>
            <w:vAlign w:val="center"/>
          </w:tcPr>
          <w:p w14:paraId="52F53CA8" w14:textId="77777777" w:rsidR="0091431E" w:rsidRPr="001B53A8" w:rsidRDefault="0091431E" w:rsidP="0091431E">
            <w:pPr>
              <w:pStyle w:val="Table"/>
              <w:tabs>
                <w:tab w:val="decimal" w:pos="573"/>
              </w:tabs>
              <w:jc w:val="left"/>
              <w:cnfStyle w:val="000000100000" w:firstRow="0" w:lastRow="0" w:firstColumn="0" w:lastColumn="0" w:oddVBand="0" w:evenVBand="0" w:oddHBand="1" w:evenHBand="0" w:firstRowFirstColumn="0" w:firstRowLastColumn="0" w:lastRowFirstColumn="0" w:lastRowLastColumn="0"/>
              <w:rPr>
                <w:rFonts w:ascii="Times New Roman" w:hAnsi="Times New Roman"/>
                <w:lang w:val="sr-Latn-BA"/>
              </w:rPr>
            </w:pPr>
            <w:r w:rsidRPr="001B53A8">
              <w:rPr>
                <w:rFonts w:ascii="Times New Roman" w:hAnsi="Times New Roman"/>
                <w:lang w:val="sr-Latn-BA"/>
              </w:rPr>
              <w:t>2</w:t>
            </w:r>
          </w:p>
        </w:tc>
        <w:tc>
          <w:tcPr>
            <w:tcW w:w="895" w:type="pct"/>
            <w:vAlign w:val="center"/>
          </w:tcPr>
          <w:p w14:paraId="2524D9FE" w14:textId="07B453B3" w:rsidR="0091431E" w:rsidRPr="001B53A8" w:rsidRDefault="0091431E" w:rsidP="0091431E">
            <w:pPr>
              <w:spacing w:after="0" w:line="240" w:lineRule="auto"/>
              <w:ind w:firstLine="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lang w:val="sr-Latn-BA"/>
              </w:rPr>
            </w:pPr>
            <w:r w:rsidRPr="001B53A8">
              <w:rPr>
                <w:rFonts w:ascii="Times New Roman" w:hAnsi="Times New Roman" w:cs="Times New Roman"/>
                <w:bCs/>
                <w:sz w:val="22"/>
                <w:szCs w:val="22"/>
                <w:lang w:val="sr-Latn-BA"/>
              </w:rPr>
              <w:t>70.704.000</w:t>
            </w:r>
          </w:p>
        </w:tc>
      </w:tr>
      <w:tr w:rsidR="006F19FB" w:rsidRPr="001B53A8" w14:paraId="1BD3C591" w14:textId="77777777" w:rsidTr="0091431E">
        <w:trPr>
          <w:cnfStyle w:val="010000000000" w:firstRow="0" w:lastRow="1" w:firstColumn="0" w:lastColumn="0" w:oddVBand="0" w:evenVBand="0" w:oddHBand="0"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3509" w:type="pct"/>
            <w:gridSpan w:val="2"/>
            <w:tcBorders>
              <w:bottom w:val="single" w:sz="4" w:space="0" w:color="auto"/>
            </w:tcBorders>
            <w:vAlign w:val="center"/>
          </w:tcPr>
          <w:p w14:paraId="4AEF0C94" w14:textId="6C72915B" w:rsidR="006F19FB" w:rsidRPr="001B53A8" w:rsidRDefault="00003F34" w:rsidP="006F19FB">
            <w:pPr>
              <w:pStyle w:val="Table"/>
              <w:rPr>
                <w:rFonts w:ascii="Times New Roman" w:hAnsi="Times New Roman"/>
                <w:lang w:val="sr-Latn-BA"/>
              </w:rPr>
            </w:pPr>
            <w:r w:rsidRPr="001B53A8">
              <w:rPr>
                <w:rFonts w:ascii="Times New Roman" w:hAnsi="Times New Roman"/>
                <w:lang w:val="sr-Latn-BA"/>
              </w:rPr>
              <w:t>Ukupno</w:t>
            </w:r>
          </w:p>
        </w:tc>
        <w:tc>
          <w:tcPr>
            <w:tcW w:w="596" w:type="pct"/>
            <w:tcBorders>
              <w:bottom w:val="single" w:sz="4" w:space="0" w:color="auto"/>
            </w:tcBorders>
            <w:vAlign w:val="center"/>
          </w:tcPr>
          <w:p w14:paraId="4FC25538" w14:textId="232E816A" w:rsidR="006F19FB" w:rsidRPr="001B53A8" w:rsidRDefault="0091431E" w:rsidP="0091431E">
            <w:pPr>
              <w:pStyle w:val="Table"/>
              <w:tabs>
                <w:tab w:val="decimal" w:pos="573"/>
              </w:tabs>
              <w:jc w:val="left"/>
              <w:cnfStyle w:val="010000000000" w:firstRow="0" w:lastRow="1" w:firstColumn="0" w:lastColumn="0" w:oddVBand="0" w:evenVBand="0" w:oddHBand="0" w:evenHBand="0" w:firstRowFirstColumn="0" w:firstRowLastColumn="0" w:lastRowFirstColumn="0" w:lastRowLastColumn="0"/>
              <w:rPr>
                <w:rFonts w:ascii="Times New Roman" w:hAnsi="Times New Roman"/>
                <w:lang w:val="sr-Latn-BA"/>
              </w:rPr>
            </w:pPr>
            <w:r w:rsidRPr="001B53A8">
              <w:rPr>
                <w:rFonts w:ascii="Times New Roman" w:hAnsi="Times New Roman"/>
                <w:lang w:val="sr-Latn-BA"/>
              </w:rPr>
              <w:t>21</w:t>
            </w:r>
          </w:p>
        </w:tc>
        <w:tc>
          <w:tcPr>
            <w:tcW w:w="895" w:type="pct"/>
            <w:tcBorders>
              <w:bottom w:val="single" w:sz="4" w:space="0" w:color="auto"/>
            </w:tcBorders>
            <w:vAlign w:val="center"/>
          </w:tcPr>
          <w:p w14:paraId="6D4C1BCF" w14:textId="49D8BBA3" w:rsidR="006F19FB" w:rsidRPr="001B53A8" w:rsidRDefault="0091431E" w:rsidP="006F19FB">
            <w:pPr>
              <w:spacing w:after="0" w:line="240" w:lineRule="auto"/>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20"/>
                <w:szCs w:val="20"/>
                <w:lang w:val="sr-Latn-BA"/>
              </w:rPr>
            </w:pPr>
            <w:r w:rsidRPr="001B53A8">
              <w:rPr>
                <w:rFonts w:ascii="Times New Roman" w:eastAsia="Times New Roman" w:hAnsi="Times New Roman"/>
                <w:bCs w:val="0"/>
                <w:sz w:val="22"/>
                <w:szCs w:val="22"/>
                <w:lang w:val="sr-Latn-BA"/>
              </w:rPr>
              <w:t>113.199.000</w:t>
            </w:r>
          </w:p>
        </w:tc>
      </w:tr>
    </w:tbl>
    <w:bookmarkEnd w:id="42"/>
    <w:p w14:paraId="5B74A835" w14:textId="47559971" w:rsidR="007D4FC0" w:rsidRDefault="00003F34" w:rsidP="006B6E0C">
      <w:pPr>
        <w:pStyle w:val="Caption"/>
        <w:tabs>
          <w:tab w:val="left" w:pos="1276"/>
        </w:tabs>
        <w:spacing w:after="120"/>
        <w:ind w:left="1276" w:hanging="1276"/>
        <w:jc w:val="both"/>
        <w:rPr>
          <w:rFonts w:ascii="Times New Roman" w:hAnsi="Times New Roman"/>
          <w:b w:val="0"/>
          <w:sz w:val="24"/>
          <w:szCs w:val="24"/>
          <w:lang w:val="sr-Latn-BA"/>
        </w:rPr>
      </w:pPr>
      <w:r w:rsidRPr="001B53A8">
        <w:rPr>
          <w:rFonts w:ascii="Times New Roman" w:hAnsi="Times New Roman"/>
          <w:sz w:val="24"/>
          <w:szCs w:val="24"/>
          <w:lang w:val="sr-Latn-BA"/>
        </w:rPr>
        <w:t>Tabela</w:t>
      </w:r>
      <w:r w:rsidR="007D4FC0" w:rsidRPr="001B53A8">
        <w:rPr>
          <w:rFonts w:ascii="Times New Roman" w:hAnsi="Times New Roman"/>
          <w:sz w:val="24"/>
          <w:szCs w:val="24"/>
          <w:lang w:val="sr-Latn-BA"/>
        </w:rPr>
        <w:t xml:space="preserve"> </w:t>
      </w:r>
      <w:r w:rsidR="00D3478F" w:rsidRPr="001B53A8">
        <w:rPr>
          <w:rFonts w:ascii="Times New Roman" w:hAnsi="Times New Roman"/>
          <w:sz w:val="24"/>
          <w:szCs w:val="24"/>
          <w:lang w:val="sr-Latn-BA"/>
        </w:rPr>
        <w:fldChar w:fldCharType="begin"/>
      </w:r>
      <w:r w:rsidR="007D4FC0" w:rsidRPr="001B53A8">
        <w:rPr>
          <w:rFonts w:ascii="Times New Roman" w:hAnsi="Times New Roman"/>
          <w:sz w:val="24"/>
          <w:szCs w:val="24"/>
          <w:lang w:val="sr-Latn-BA"/>
        </w:rPr>
        <w:instrText xml:space="preserve"> SEQ Табела \* ARABIC </w:instrText>
      </w:r>
      <w:r w:rsidR="00D3478F" w:rsidRPr="001B53A8">
        <w:rPr>
          <w:rFonts w:ascii="Times New Roman" w:hAnsi="Times New Roman"/>
          <w:sz w:val="24"/>
          <w:szCs w:val="24"/>
          <w:lang w:val="sr-Latn-BA"/>
        </w:rPr>
        <w:fldChar w:fldCharType="separate"/>
      </w:r>
      <w:r w:rsidR="00E00890" w:rsidRPr="001B53A8">
        <w:rPr>
          <w:rFonts w:ascii="Times New Roman" w:hAnsi="Times New Roman"/>
          <w:noProof/>
          <w:sz w:val="24"/>
          <w:szCs w:val="24"/>
          <w:lang w:val="sr-Latn-BA"/>
        </w:rPr>
        <w:t>5</w:t>
      </w:r>
      <w:r w:rsidR="00D3478F" w:rsidRPr="001B53A8">
        <w:rPr>
          <w:rFonts w:ascii="Times New Roman" w:hAnsi="Times New Roman"/>
          <w:sz w:val="24"/>
          <w:szCs w:val="24"/>
          <w:lang w:val="sr-Latn-BA"/>
        </w:rPr>
        <w:fldChar w:fldCharType="end"/>
      </w:r>
      <w:r w:rsidR="007D4FC0" w:rsidRPr="001B53A8">
        <w:rPr>
          <w:rFonts w:ascii="Times New Roman" w:hAnsi="Times New Roman"/>
          <w:sz w:val="24"/>
          <w:szCs w:val="24"/>
          <w:lang w:val="sr-Latn-BA"/>
        </w:rPr>
        <w:t>.</w:t>
      </w:r>
      <w:r w:rsidR="007D4FC0" w:rsidRPr="001B53A8">
        <w:rPr>
          <w:rFonts w:ascii="Times New Roman" w:hAnsi="Times New Roman"/>
          <w:sz w:val="24"/>
          <w:szCs w:val="24"/>
          <w:lang w:val="sr-Latn-BA"/>
        </w:rPr>
        <w:tab/>
      </w:r>
      <w:r w:rsidRPr="001B53A8">
        <w:rPr>
          <w:rFonts w:ascii="Times New Roman" w:hAnsi="Times New Roman"/>
          <w:b w:val="0"/>
          <w:sz w:val="24"/>
          <w:szCs w:val="24"/>
          <w:lang w:val="sr-Latn-BA"/>
        </w:rPr>
        <w:t>Zbirni</w:t>
      </w:r>
      <w:r w:rsidR="007D4FC0"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pregled</w:t>
      </w:r>
      <w:r w:rsidR="007D4FC0"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emisija</w:t>
      </w:r>
      <w:r w:rsidR="007D4FC0"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hartija</w:t>
      </w:r>
      <w:r w:rsidR="007D4FC0"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od</w:t>
      </w:r>
      <w:r w:rsidR="007D4FC0"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vrijednosti</w:t>
      </w:r>
      <w:r w:rsidR="007D4FC0"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po</w:t>
      </w:r>
      <w:r w:rsidR="007D4FC0"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vrsti</w:t>
      </w:r>
      <w:r w:rsidR="007D4FC0"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u</w:t>
      </w:r>
      <w:r w:rsidR="007D4FC0" w:rsidRPr="001B53A8">
        <w:rPr>
          <w:rFonts w:ascii="Times New Roman" w:hAnsi="Times New Roman"/>
          <w:b w:val="0"/>
          <w:sz w:val="24"/>
          <w:szCs w:val="24"/>
          <w:lang w:val="sr-Latn-BA"/>
        </w:rPr>
        <w:t xml:space="preserve"> </w:t>
      </w:r>
      <w:r w:rsidR="0091431E" w:rsidRPr="001B53A8">
        <w:rPr>
          <w:rFonts w:ascii="Times New Roman" w:hAnsi="Times New Roman"/>
          <w:b w:val="0"/>
          <w:sz w:val="24"/>
          <w:szCs w:val="24"/>
          <w:lang w:val="sr-Latn-BA"/>
        </w:rPr>
        <w:t>2023</w:t>
      </w:r>
      <w:r w:rsidR="007D4FC0"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godini</w:t>
      </w:r>
    </w:p>
    <w:p w14:paraId="39EC5280" w14:textId="77777777" w:rsidR="00CF7BAC" w:rsidRPr="00CF7BAC" w:rsidRDefault="00CF7BAC" w:rsidP="00CF7BAC">
      <w:pPr>
        <w:rPr>
          <w:lang w:val="sr-Latn-BA" w:eastAsia="sr-Latn-CS"/>
        </w:rPr>
      </w:pPr>
    </w:p>
    <w:tbl>
      <w:tblPr>
        <w:tblW w:w="8973" w:type="dxa"/>
        <w:tblInd w:w="94"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4A0" w:firstRow="1" w:lastRow="0" w:firstColumn="1" w:lastColumn="0" w:noHBand="0" w:noVBand="1"/>
      </w:tblPr>
      <w:tblGrid>
        <w:gridCol w:w="610"/>
        <w:gridCol w:w="3260"/>
        <w:gridCol w:w="2127"/>
        <w:gridCol w:w="1559"/>
        <w:gridCol w:w="1417"/>
      </w:tblGrid>
      <w:tr w:rsidR="0091431E" w:rsidRPr="001B53A8" w14:paraId="56119A2C" w14:textId="77777777" w:rsidTr="0091431E">
        <w:trPr>
          <w:trHeight w:val="551"/>
        </w:trPr>
        <w:tc>
          <w:tcPr>
            <w:tcW w:w="610" w:type="dxa"/>
            <w:tcBorders>
              <w:bottom w:val="single" w:sz="18" w:space="0" w:color="548DD4" w:themeColor="text2" w:themeTint="99"/>
            </w:tcBorders>
            <w:shd w:val="clear" w:color="auto" w:fill="auto"/>
            <w:noWrap/>
            <w:vAlign w:val="center"/>
            <w:hideMark/>
          </w:tcPr>
          <w:p w14:paraId="0A4F5AD1" w14:textId="60B1ED75" w:rsidR="0091431E" w:rsidRPr="001B53A8" w:rsidRDefault="00003F34" w:rsidP="00003F34">
            <w:pPr>
              <w:spacing w:before="0" w:after="60" w:line="240" w:lineRule="auto"/>
              <w:ind w:firstLine="0"/>
              <w:jc w:val="center"/>
              <w:rPr>
                <w:b/>
                <w:bCs/>
                <w:sz w:val="22"/>
                <w:szCs w:val="22"/>
                <w:lang w:val="sr-Latn-BA" w:eastAsia="bs-Latn-BA"/>
              </w:rPr>
            </w:pPr>
            <w:bookmarkStart w:id="43" w:name="_Hlk157593500"/>
            <w:r w:rsidRPr="001B53A8">
              <w:rPr>
                <w:b/>
                <w:bCs/>
                <w:sz w:val="22"/>
                <w:szCs w:val="22"/>
                <w:lang w:val="sr-Latn-BA" w:eastAsia="bs-Latn-BA"/>
              </w:rPr>
              <w:lastRenderedPageBreak/>
              <w:t>R</w:t>
            </w:r>
            <w:r w:rsidR="0091431E" w:rsidRPr="001B53A8">
              <w:rPr>
                <w:b/>
                <w:bCs/>
                <w:sz w:val="22"/>
                <w:szCs w:val="22"/>
                <w:lang w:val="sr-Latn-BA" w:eastAsia="bs-Latn-BA"/>
              </w:rPr>
              <w:t xml:space="preserve">. </w:t>
            </w:r>
            <w:r w:rsidRPr="001B53A8">
              <w:rPr>
                <w:b/>
                <w:bCs/>
                <w:sz w:val="22"/>
                <w:szCs w:val="22"/>
                <w:lang w:val="sr-Latn-BA" w:eastAsia="bs-Latn-BA"/>
              </w:rPr>
              <w:t>br</w:t>
            </w:r>
            <w:r w:rsidR="0091431E" w:rsidRPr="001B53A8">
              <w:rPr>
                <w:b/>
                <w:bCs/>
                <w:sz w:val="22"/>
                <w:szCs w:val="22"/>
                <w:lang w:val="sr-Latn-BA" w:eastAsia="bs-Latn-BA"/>
              </w:rPr>
              <w:t>.</w:t>
            </w:r>
          </w:p>
        </w:tc>
        <w:tc>
          <w:tcPr>
            <w:tcW w:w="3260" w:type="dxa"/>
            <w:tcBorders>
              <w:bottom w:val="single" w:sz="18" w:space="0" w:color="548DD4" w:themeColor="text2" w:themeTint="99"/>
            </w:tcBorders>
            <w:shd w:val="clear" w:color="auto" w:fill="auto"/>
            <w:noWrap/>
            <w:vAlign w:val="center"/>
            <w:hideMark/>
          </w:tcPr>
          <w:p w14:paraId="215BC45E" w14:textId="1F4E06B3" w:rsidR="0091431E" w:rsidRPr="001B53A8" w:rsidRDefault="00003F34" w:rsidP="00003F34">
            <w:pPr>
              <w:spacing w:before="0" w:after="60" w:line="240" w:lineRule="auto"/>
              <w:ind w:firstLine="0"/>
              <w:jc w:val="center"/>
              <w:rPr>
                <w:b/>
                <w:bCs/>
                <w:sz w:val="22"/>
                <w:szCs w:val="22"/>
                <w:lang w:val="sr-Latn-BA" w:eastAsia="bs-Latn-BA"/>
              </w:rPr>
            </w:pPr>
            <w:r w:rsidRPr="001B53A8">
              <w:rPr>
                <w:b/>
                <w:bCs/>
                <w:sz w:val="22"/>
                <w:szCs w:val="22"/>
                <w:lang w:val="sr-Latn-BA" w:eastAsia="bs-Latn-BA"/>
              </w:rPr>
              <w:t>Emitenti</w:t>
            </w:r>
          </w:p>
        </w:tc>
        <w:tc>
          <w:tcPr>
            <w:tcW w:w="2127" w:type="dxa"/>
            <w:tcBorders>
              <w:bottom w:val="single" w:sz="18" w:space="0" w:color="548DD4" w:themeColor="text2" w:themeTint="99"/>
            </w:tcBorders>
            <w:shd w:val="clear" w:color="auto" w:fill="auto"/>
            <w:vAlign w:val="center"/>
            <w:hideMark/>
          </w:tcPr>
          <w:p w14:paraId="588905B7" w14:textId="67C869C7" w:rsidR="0091431E" w:rsidRPr="001B53A8" w:rsidRDefault="00003F34" w:rsidP="00003F34">
            <w:pPr>
              <w:spacing w:before="0" w:after="60" w:line="240" w:lineRule="auto"/>
              <w:ind w:firstLine="0"/>
              <w:jc w:val="center"/>
              <w:rPr>
                <w:b/>
                <w:bCs/>
                <w:sz w:val="22"/>
                <w:szCs w:val="22"/>
                <w:lang w:val="sr-Latn-BA" w:eastAsia="bs-Latn-BA"/>
              </w:rPr>
            </w:pPr>
            <w:r w:rsidRPr="001B53A8">
              <w:rPr>
                <w:b/>
                <w:bCs/>
                <w:sz w:val="22"/>
                <w:szCs w:val="22"/>
                <w:lang w:val="sr-Latn-BA" w:eastAsia="bs-Latn-BA"/>
              </w:rPr>
              <w:t>Redni</w:t>
            </w:r>
            <w:r w:rsidR="0091431E" w:rsidRPr="001B53A8">
              <w:rPr>
                <w:b/>
                <w:bCs/>
                <w:sz w:val="22"/>
                <w:szCs w:val="22"/>
                <w:lang w:val="sr-Latn-BA" w:eastAsia="bs-Latn-BA"/>
              </w:rPr>
              <w:t xml:space="preserve"> </w:t>
            </w:r>
            <w:r w:rsidRPr="001B53A8">
              <w:rPr>
                <w:b/>
                <w:bCs/>
                <w:sz w:val="22"/>
                <w:szCs w:val="22"/>
                <w:lang w:val="sr-Latn-BA" w:eastAsia="bs-Latn-BA"/>
              </w:rPr>
              <w:t>broj</w:t>
            </w:r>
            <w:r w:rsidR="0091431E" w:rsidRPr="001B53A8">
              <w:rPr>
                <w:b/>
                <w:bCs/>
                <w:sz w:val="22"/>
                <w:szCs w:val="22"/>
                <w:lang w:val="sr-Latn-BA" w:eastAsia="bs-Latn-BA"/>
              </w:rPr>
              <w:t xml:space="preserve"> </w:t>
            </w:r>
            <w:r w:rsidRPr="001B53A8">
              <w:rPr>
                <w:b/>
                <w:bCs/>
                <w:sz w:val="22"/>
                <w:szCs w:val="22"/>
                <w:lang w:val="sr-Latn-BA" w:eastAsia="bs-Latn-BA"/>
              </w:rPr>
              <w:t>emisije</w:t>
            </w:r>
            <w:r w:rsidR="0091431E" w:rsidRPr="001B53A8">
              <w:rPr>
                <w:b/>
                <w:bCs/>
                <w:sz w:val="22"/>
                <w:szCs w:val="22"/>
                <w:lang w:val="sr-Latn-BA" w:eastAsia="bs-Latn-BA"/>
              </w:rPr>
              <w:t xml:space="preserve"> </w:t>
            </w:r>
            <w:r w:rsidRPr="001B53A8">
              <w:rPr>
                <w:b/>
                <w:bCs/>
                <w:sz w:val="22"/>
                <w:szCs w:val="22"/>
                <w:lang w:val="sr-Latn-BA" w:eastAsia="bs-Latn-BA"/>
              </w:rPr>
              <w:t>i</w:t>
            </w:r>
            <w:r w:rsidR="0091431E" w:rsidRPr="001B53A8">
              <w:rPr>
                <w:b/>
                <w:bCs/>
                <w:sz w:val="22"/>
                <w:szCs w:val="22"/>
                <w:lang w:val="sr-Latn-BA" w:eastAsia="bs-Latn-BA"/>
              </w:rPr>
              <w:t xml:space="preserve"> </w:t>
            </w:r>
            <w:r w:rsidRPr="001B53A8">
              <w:rPr>
                <w:b/>
                <w:bCs/>
                <w:sz w:val="22"/>
                <w:szCs w:val="22"/>
                <w:lang w:val="sr-Latn-BA" w:eastAsia="bs-Latn-BA"/>
              </w:rPr>
              <w:t>vrsta</w:t>
            </w:r>
            <w:r w:rsidR="0091431E" w:rsidRPr="001B53A8">
              <w:rPr>
                <w:b/>
                <w:bCs/>
                <w:sz w:val="22"/>
                <w:szCs w:val="22"/>
                <w:lang w:val="sr-Latn-BA" w:eastAsia="bs-Latn-BA"/>
              </w:rPr>
              <w:t xml:space="preserve"> </w:t>
            </w:r>
            <w:r w:rsidRPr="001B53A8">
              <w:rPr>
                <w:b/>
                <w:bCs/>
                <w:sz w:val="22"/>
                <w:szCs w:val="22"/>
                <w:lang w:val="sr-Latn-BA" w:eastAsia="bs-Latn-BA"/>
              </w:rPr>
              <w:t>emitovane</w:t>
            </w:r>
            <w:r w:rsidR="0091431E" w:rsidRPr="001B53A8">
              <w:rPr>
                <w:b/>
                <w:bCs/>
                <w:sz w:val="22"/>
                <w:szCs w:val="22"/>
                <w:lang w:val="sr-Latn-BA" w:eastAsia="bs-Latn-BA"/>
              </w:rPr>
              <w:t xml:space="preserve"> </w:t>
            </w:r>
            <w:r w:rsidRPr="001B53A8">
              <w:rPr>
                <w:b/>
                <w:bCs/>
                <w:sz w:val="22"/>
                <w:szCs w:val="22"/>
                <w:lang w:val="sr-Latn-BA" w:eastAsia="bs-Latn-BA"/>
              </w:rPr>
              <w:t>hartije</w:t>
            </w:r>
          </w:p>
        </w:tc>
        <w:tc>
          <w:tcPr>
            <w:tcW w:w="1559" w:type="dxa"/>
            <w:tcBorders>
              <w:bottom w:val="single" w:sz="18" w:space="0" w:color="548DD4" w:themeColor="text2" w:themeTint="99"/>
            </w:tcBorders>
            <w:shd w:val="clear" w:color="auto" w:fill="auto"/>
            <w:noWrap/>
            <w:vAlign w:val="center"/>
            <w:hideMark/>
          </w:tcPr>
          <w:p w14:paraId="1BAD26D5" w14:textId="4F62CF2B" w:rsidR="0091431E" w:rsidRPr="001B53A8" w:rsidRDefault="00003F34" w:rsidP="00003F34">
            <w:pPr>
              <w:spacing w:before="0" w:after="60" w:line="240" w:lineRule="auto"/>
              <w:ind w:firstLine="0"/>
              <w:jc w:val="center"/>
              <w:rPr>
                <w:b/>
                <w:bCs/>
                <w:sz w:val="22"/>
                <w:szCs w:val="22"/>
                <w:lang w:val="sr-Latn-BA" w:eastAsia="bs-Latn-BA"/>
              </w:rPr>
            </w:pPr>
            <w:r w:rsidRPr="001B53A8">
              <w:rPr>
                <w:b/>
                <w:bCs/>
                <w:sz w:val="22"/>
                <w:szCs w:val="22"/>
                <w:lang w:val="sr-Latn-BA" w:eastAsia="bs-Latn-BA"/>
              </w:rPr>
              <w:t>Obim</w:t>
            </w:r>
            <w:r w:rsidR="0091431E" w:rsidRPr="001B53A8">
              <w:rPr>
                <w:b/>
                <w:bCs/>
                <w:sz w:val="22"/>
                <w:szCs w:val="22"/>
                <w:lang w:val="sr-Latn-BA" w:eastAsia="bs-Latn-BA"/>
              </w:rPr>
              <w:t xml:space="preserve"> </w:t>
            </w:r>
            <w:r w:rsidRPr="001B53A8">
              <w:rPr>
                <w:b/>
                <w:bCs/>
                <w:sz w:val="22"/>
                <w:szCs w:val="22"/>
                <w:lang w:val="sr-Latn-BA" w:eastAsia="bs-Latn-BA"/>
              </w:rPr>
              <w:t>emisije</w:t>
            </w:r>
            <w:r w:rsidR="0091431E" w:rsidRPr="001B53A8">
              <w:rPr>
                <w:b/>
                <w:bCs/>
                <w:sz w:val="22"/>
                <w:szCs w:val="22"/>
                <w:lang w:val="sr-Latn-BA" w:eastAsia="bs-Latn-BA"/>
              </w:rPr>
              <w:t xml:space="preserve"> </w:t>
            </w:r>
          </w:p>
          <w:p w14:paraId="5CB77BB0" w14:textId="068CE395" w:rsidR="0091431E" w:rsidRPr="001B53A8" w:rsidRDefault="0091431E" w:rsidP="00003F34">
            <w:pPr>
              <w:spacing w:before="0" w:after="60" w:line="240" w:lineRule="auto"/>
              <w:ind w:firstLine="0"/>
              <w:jc w:val="center"/>
              <w:rPr>
                <w:b/>
                <w:bCs/>
                <w:sz w:val="22"/>
                <w:szCs w:val="22"/>
                <w:lang w:val="sr-Latn-BA" w:eastAsia="bs-Latn-BA"/>
              </w:rPr>
            </w:pPr>
            <w:r w:rsidRPr="001B53A8">
              <w:rPr>
                <w:b/>
                <w:bCs/>
                <w:sz w:val="22"/>
                <w:szCs w:val="22"/>
                <w:lang w:val="sr-Latn-BA" w:eastAsia="bs-Latn-BA"/>
              </w:rPr>
              <w:t>(</w:t>
            </w:r>
            <w:r w:rsidR="00003F34" w:rsidRPr="001B53A8">
              <w:rPr>
                <w:b/>
                <w:bCs/>
                <w:sz w:val="22"/>
                <w:szCs w:val="22"/>
                <w:lang w:val="sr-Latn-BA" w:eastAsia="bs-Latn-BA"/>
              </w:rPr>
              <w:t>KM</w:t>
            </w:r>
            <w:r w:rsidRPr="001B53A8">
              <w:rPr>
                <w:b/>
                <w:bCs/>
                <w:sz w:val="22"/>
                <w:szCs w:val="22"/>
                <w:lang w:val="sr-Latn-BA" w:eastAsia="bs-Latn-BA"/>
              </w:rPr>
              <w:t>)</w:t>
            </w:r>
          </w:p>
        </w:tc>
        <w:tc>
          <w:tcPr>
            <w:tcW w:w="1417" w:type="dxa"/>
            <w:tcBorders>
              <w:bottom w:val="single" w:sz="18" w:space="0" w:color="548DD4" w:themeColor="text2" w:themeTint="99"/>
            </w:tcBorders>
            <w:shd w:val="clear" w:color="auto" w:fill="auto"/>
            <w:vAlign w:val="center"/>
            <w:hideMark/>
          </w:tcPr>
          <w:p w14:paraId="061105A1" w14:textId="4ADC0A91" w:rsidR="0091431E" w:rsidRPr="001B53A8" w:rsidRDefault="00003F34" w:rsidP="00003F34">
            <w:pPr>
              <w:spacing w:before="0" w:after="60" w:line="240" w:lineRule="auto"/>
              <w:ind w:firstLine="0"/>
              <w:jc w:val="center"/>
              <w:rPr>
                <w:b/>
                <w:bCs/>
                <w:sz w:val="22"/>
                <w:szCs w:val="22"/>
                <w:lang w:val="sr-Latn-BA" w:eastAsia="bs-Latn-BA"/>
              </w:rPr>
            </w:pPr>
            <w:r w:rsidRPr="001B53A8">
              <w:rPr>
                <w:b/>
                <w:bCs/>
                <w:sz w:val="22"/>
                <w:szCs w:val="22"/>
                <w:lang w:val="sr-Latn-BA" w:eastAsia="bs-Latn-BA"/>
              </w:rPr>
              <w:t>Uplaćeno</w:t>
            </w:r>
            <w:r w:rsidR="0091431E" w:rsidRPr="001B53A8">
              <w:rPr>
                <w:b/>
                <w:bCs/>
                <w:sz w:val="22"/>
                <w:szCs w:val="22"/>
                <w:lang w:val="sr-Latn-BA" w:eastAsia="bs-Latn-BA"/>
              </w:rPr>
              <w:t xml:space="preserve"> (</w:t>
            </w:r>
            <w:r w:rsidRPr="001B53A8">
              <w:rPr>
                <w:b/>
                <w:bCs/>
                <w:sz w:val="22"/>
                <w:szCs w:val="22"/>
                <w:lang w:val="sr-Latn-BA" w:eastAsia="bs-Latn-BA"/>
              </w:rPr>
              <w:t>KM</w:t>
            </w:r>
            <w:r w:rsidR="0091431E" w:rsidRPr="001B53A8">
              <w:rPr>
                <w:b/>
                <w:bCs/>
                <w:sz w:val="22"/>
                <w:szCs w:val="22"/>
                <w:lang w:val="sr-Latn-BA" w:eastAsia="bs-Latn-BA"/>
              </w:rPr>
              <w:t>)</w:t>
            </w:r>
          </w:p>
        </w:tc>
      </w:tr>
      <w:tr w:rsidR="0091431E" w:rsidRPr="001B53A8" w14:paraId="5026DD8D" w14:textId="77777777" w:rsidTr="0091431E">
        <w:trPr>
          <w:trHeight w:val="264"/>
        </w:trPr>
        <w:tc>
          <w:tcPr>
            <w:tcW w:w="8973" w:type="dxa"/>
            <w:gridSpan w:val="5"/>
            <w:tcBorders>
              <w:top w:val="single" w:sz="18" w:space="0" w:color="548DD4" w:themeColor="text2" w:themeTint="99"/>
            </w:tcBorders>
            <w:shd w:val="clear" w:color="auto" w:fill="C6D9F1" w:themeFill="text2" w:themeFillTint="33"/>
            <w:noWrap/>
            <w:vAlign w:val="center"/>
            <w:hideMark/>
          </w:tcPr>
          <w:p w14:paraId="7C547C06" w14:textId="3BC7013C" w:rsidR="0091431E" w:rsidRPr="001B53A8" w:rsidRDefault="00003F34" w:rsidP="00003F34">
            <w:pPr>
              <w:spacing w:before="0" w:after="60" w:line="240" w:lineRule="auto"/>
              <w:ind w:firstLine="0"/>
              <w:jc w:val="center"/>
              <w:rPr>
                <w:b/>
                <w:bCs/>
                <w:sz w:val="22"/>
                <w:szCs w:val="22"/>
                <w:lang w:val="sr-Latn-BA" w:eastAsia="bs-Latn-BA"/>
              </w:rPr>
            </w:pPr>
            <w:r w:rsidRPr="001B53A8">
              <w:rPr>
                <w:b/>
                <w:bCs/>
                <w:sz w:val="22"/>
                <w:szCs w:val="22"/>
                <w:lang w:val="sr-Latn-BA"/>
              </w:rPr>
              <w:t>EMISIJE</w:t>
            </w:r>
            <w:r w:rsidR="0091431E" w:rsidRPr="001B53A8">
              <w:rPr>
                <w:b/>
                <w:bCs/>
                <w:sz w:val="22"/>
                <w:szCs w:val="22"/>
                <w:lang w:val="sr-Latn-BA"/>
              </w:rPr>
              <w:t xml:space="preserve"> </w:t>
            </w:r>
            <w:r w:rsidRPr="001B53A8">
              <w:rPr>
                <w:b/>
                <w:bCs/>
                <w:sz w:val="22"/>
                <w:szCs w:val="22"/>
                <w:lang w:val="sr-Latn-BA"/>
              </w:rPr>
              <w:t>SA</w:t>
            </w:r>
            <w:r w:rsidR="0091431E" w:rsidRPr="001B53A8">
              <w:rPr>
                <w:b/>
                <w:bCs/>
                <w:sz w:val="22"/>
                <w:szCs w:val="22"/>
                <w:lang w:val="sr-Latn-BA"/>
              </w:rPr>
              <w:t xml:space="preserve"> </w:t>
            </w:r>
            <w:r w:rsidRPr="001B53A8">
              <w:rPr>
                <w:b/>
                <w:bCs/>
                <w:sz w:val="22"/>
                <w:szCs w:val="22"/>
                <w:lang w:val="sr-Latn-BA"/>
              </w:rPr>
              <w:t>OBAVEZOM</w:t>
            </w:r>
            <w:r w:rsidR="0091431E" w:rsidRPr="001B53A8">
              <w:rPr>
                <w:b/>
                <w:bCs/>
                <w:sz w:val="22"/>
                <w:szCs w:val="22"/>
                <w:lang w:val="sr-Latn-BA"/>
              </w:rPr>
              <w:t xml:space="preserve"> </w:t>
            </w:r>
            <w:r w:rsidRPr="001B53A8">
              <w:rPr>
                <w:b/>
                <w:bCs/>
                <w:sz w:val="22"/>
                <w:szCs w:val="22"/>
                <w:lang w:val="sr-Latn-BA"/>
              </w:rPr>
              <w:t>OBJAVLjIVANјA</w:t>
            </w:r>
            <w:r w:rsidR="0091431E" w:rsidRPr="001B53A8">
              <w:rPr>
                <w:b/>
                <w:bCs/>
                <w:sz w:val="22"/>
                <w:szCs w:val="22"/>
                <w:lang w:val="sr-Latn-BA"/>
              </w:rPr>
              <w:t xml:space="preserve"> </w:t>
            </w:r>
            <w:r w:rsidRPr="001B53A8">
              <w:rPr>
                <w:b/>
                <w:bCs/>
                <w:sz w:val="22"/>
                <w:szCs w:val="22"/>
                <w:lang w:val="sr-Latn-BA"/>
              </w:rPr>
              <w:t>PROSPEKTA</w:t>
            </w:r>
          </w:p>
        </w:tc>
      </w:tr>
      <w:tr w:rsidR="0091431E" w:rsidRPr="001B53A8" w14:paraId="4957EBC8" w14:textId="77777777" w:rsidTr="0091431E">
        <w:trPr>
          <w:trHeight w:val="264"/>
        </w:trPr>
        <w:tc>
          <w:tcPr>
            <w:tcW w:w="610" w:type="dxa"/>
            <w:shd w:val="clear" w:color="auto" w:fill="auto"/>
            <w:noWrap/>
            <w:vAlign w:val="center"/>
          </w:tcPr>
          <w:p w14:paraId="7E0E4F4C" w14:textId="77777777" w:rsidR="0091431E" w:rsidRPr="001B53A8" w:rsidRDefault="0091431E" w:rsidP="00003F34">
            <w:pPr>
              <w:spacing w:before="0" w:after="60" w:line="240" w:lineRule="auto"/>
              <w:ind w:firstLine="0"/>
              <w:jc w:val="center"/>
              <w:rPr>
                <w:bCs/>
                <w:sz w:val="22"/>
                <w:szCs w:val="22"/>
                <w:lang w:val="sr-Latn-BA" w:eastAsia="bs-Latn-BA"/>
              </w:rPr>
            </w:pPr>
            <w:r w:rsidRPr="001B53A8">
              <w:rPr>
                <w:bCs/>
                <w:sz w:val="22"/>
                <w:szCs w:val="22"/>
                <w:lang w:val="sr-Latn-BA" w:eastAsia="bs-Latn-BA"/>
              </w:rPr>
              <w:t>1.</w:t>
            </w:r>
          </w:p>
        </w:tc>
        <w:tc>
          <w:tcPr>
            <w:tcW w:w="3260" w:type="dxa"/>
            <w:shd w:val="clear" w:color="auto" w:fill="auto"/>
            <w:vAlign w:val="center"/>
          </w:tcPr>
          <w:p w14:paraId="06051817" w14:textId="42DC9F0D" w:rsidR="0091431E" w:rsidRPr="001B53A8" w:rsidRDefault="00003F34" w:rsidP="00003F34">
            <w:pPr>
              <w:spacing w:before="0" w:after="60" w:line="240" w:lineRule="auto"/>
              <w:ind w:firstLine="0"/>
              <w:jc w:val="left"/>
              <w:outlineLvl w:val="1"/>
              <w:rPr>
                <w:sz w:val="22"/>
                <w:szCs w:val="22"/>
                <w:lang w:val="sr-Latn-BA"/>
              </w:rPr>
            </w:pPr>
            <w:r w:rsidRPr="001B53A8">
              <w:rPr>
                <w:sz w:val="22"/>
                <w:szCs w:val="22"/>
                <w:lang w:val="sr-Latn-BA"/>
              </w:rPr>
              <w:t>Grad</w:t>
            </w:r>
            <w:r w:rsidR="0091431E" w:rsidRPr="001B53A8">
              <w:rPr>
                <w:sz w:val="22"/>
                <w:szCs w:val="22"/>
                <w:lang w:val="sr-Latn-BA"/>
              </w:rPr>
              <w:t xml:space="preserve"> </w:t>
            </w:r>
            <w:r w:rsidRPr="001B53A8">
              <w:rPr>
                <w:sz w:val="22"/>
                <w:szCs w:val="22"/>
                <w:lang w:val="sr-Latn-BA"/>
              </w:rPr>
              <w:t>Prijedor</w:t>
            </w:r>
          </w:p>
        </w:tc>
        <w:tc>
          <w:tcPr>
            <w:tcW w:w="2127" w:type="dxa"/>
            <w:shd w:val="clear" w:color="auto" w:fill="auto"/>
            <w:vAlign w:val="center"/>
          </w:tcPr>
          <w:p w14:paraId="0C79D90A" w14:textId="1A228CFC" w:rsidR="0091431E" w:rsidRPr="001B53A8" w:rsidRDefault="0091431E" w:rsidP="00003F34">
            <w:pPr>
              <w:spacing w:before="0" w:after="60" w:line="240" w:lineRule="auto"/>
              <w:ind w:firstLine="0"/>
              <w:jc w:val="center"/>
              <w:rPr>
                <w:sz w:val="22"/>
                <w:szCs w:val="22"/>
                <w:lang w:val="sr-Latn-BA"/>
              </w:rPr>
            </w:pPr>
            <w:r w:rsidRPr="001B53A8">
              <w:rPr>
                <w:sz w:val="22"/>
                <w:szCs w:val="22"/>
                <w:lang w:val="sr-Latn-BA"/>
              </w:rPr>
              <w:t>1 (</w:t>
            </w:r>
            <w:r w:rsidR="00003F34" w:rsidRPr="001B53A8">
              <w:rPr>
                <w:sz w:val="22"/>
                <w:szCs w:val="22"/>
                <w:lang w:val="sr-Latn-BA"/>
              </w:rPr>
              <w:t>obveznice</w:t>
            </w:r>
            <w:r w:rsidRPr="001B53A8">
              <w:rPr>
                <w:sz w:val="22"/>
                <w:szCs w:val="22"/>
                <w:lang w:val="sr-Latn-BA"/>
              </w:rPr>
              <w:t>)</w:t>
            </w:r>
          </w:p>
        </w:tc>
        <w:tc>
          <w:tcPr>
            <w:tcW w:w="1559" w:type="dxa"/>
            <w:shd w:val="clear" w:color="auto" w:fill="auto"/>
            <w:vAlign w:val="center"/>
          </w:tcPr>
          <w:p w14:paraId="39880E54"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5.500.000</w:t>
            </w:r>
          </w:p>
        </w:tc>
        <w:tc>
          <w:tcPr>
            <w:tcW w:w="1417" w:type="dxa"/>
            <w:shd w:val="clear" w:color="auto" w:fill="auto"/>
            <w:vAlign w:val="center"/>
          </w:tcPr>
          <w:p w14:paraId="339A811C"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5.500.000</w:t>
            </w:r>
          </w:p>
        </w:tc>
      </w:tr>
      <w:tr w:rsidR="0091431E" w:rsidRPr="001B53A8" w14:paraId="7F49FF40" w14:textId="77777777" w:rsidTr="0091431E">
        <w:trPr>
          <w:trHeight w:val="264"/>
        </w:trPr>
        <w:tc>
          <w:tcPr>
            <w:tcW w:w="610" w:type="dxa"/>
            <w:shd w:val="clear" w:color="auto" w:fill="auto"/>
            <w:noWrap/>
            <w:vAlign w:val="center"/>
          </w:tcPr>
          <w:p w14:paraId="4CFD44FA" w14:textId="77777777" w:rsidR="0091431E" w:rsidRPr="001B53A8" w:rsidRDefault="0091431E" w:rsidP="00003F34">
            <w:pPr>
              <w:spacing w:before="0" w:after="60" w:line="240" w:lineRule="auto"/>
              <w:ind w:firstLine="0"/>
              <w:jc w:val="center"/>
              <w:rPr>
                <w:bCs/>
                <w:sz w:val="22"/>
                <w:szCs w:val="22"/>
                <w:lang w:val="sr-Latn-BA" w:eastAsia="bs-Latn-BA"/>
              </w:rPr>
            </w:pPr>
            <w:r w:rsidRPr="001B53A8">
              <w:rPr>
                <w:bCs/>
                <w:sz w:val="22"/>
                <w:szCs w:val="22"/>
                <w:lang w:val="sr-Latn-BA" w:eastAsia="bs-Latn-BA"/>
              </w:rPr>
              <w:t>2.</w:t>
            </w:r>
          </w:p>
        </w:tc>
        <w:tc>
          <w:tcPr>
            <w:tcW w:w="3260" w:type="dxa"/>
            <w:shd w:val="clear" w:color="auto" w:fill="auto"/>
            <w:vAlign w:val="center"/>
          </w:tcPr>
          <w:p w14:paraId="2B4C052F" w14:textId="577EBF99" w:rsidR="0091431E" w:rsidRPr="001B53A8" w:rsidRDefault="00003F34" w:rsidP="00003F34">
            <w:pPr>
              <w:spacing w:before="0" w:after="60" w:line="240" w:lineRule="auto"/>
              <w:ind w:firstLine="0"/>
              <w:jc w:val="left"/>
              <w:outlineLvl w:val="1"/>
              <w:rPr>
                <w:sz w:val="22"/>
                <w:szCs w:val="22"/>
                <w:lang w:val="sr-Latn-BA"/>
              </w:rPr>
            </w:pPr>
            <w:r w:rsidRPr="001B53A8">
              <w:rPr>
                <w:sz w:val="22"/>
                <w:szCs w:val="22"/>
                <w:lang w:val="sr-Latn-BA"/>
              </w:rPr>
              <w:t>MKD</w:t>
            </w:r>
            <w:r w:rsidR="0091431E" w:rsidRPr="001B53A8">
              <w:rPr>
                <w:sz w:val="22"/>
                <w:szCs w:val="22"/>
                <w:lang w:val="sr-Latn-BA"/>
              </w:rPr>
              <w:t xml:space="preserve"> „</w:t>
            </w:r>
            <w:r w:rsidRPr="001B53A8">
              <w:rPr>
                <w:sz w:val="22"/>
                <w:szCs w:val="22"/>
                <w:lang w:val="sr-Latn-BA"/>
              </w:rPr>
              <w:t>Pro</w:t>
            </w:r>
            <w:r w:rsidR="0091431E" w:rsidRPr="001B53A8">
              <w:rPr>
                <w:sz w:val="22"/>
                <w:szCs w:val="22"/>
                <w:lang w:val="sr-Latn-BA"/>
              </w:rPr>
              <w:t xml:space="preserve"> </w:t>
            </w:r>
            <w:r w:rsidRPr="001B53A8">
              <w:rPr>
                <w:sz w:val="22"/>
                <w:szCs w:val="22"/>
                <w:lang w:val="sr-Latn-BA"/>
              </w:rPr>
              <w:t>fin</w:t>
            </w:r>
            <w:r w:rsidR="0091431E" w:rsidRPr="001B53A8">
              <w:rPr>
                <w:sz w:val="22"/>
                <w:szCs w:val="22"/>
                <w:lang w:val="sr-Latn-BA"/>
              </w:rPr>
              <w:t xml:space="preserve">“ </w:t>
            </w:r>
            <w:r w:rsidRPr="001B53A8">
              <w:rPr>
                <w:sz w:val="22"/>
                <w:szCs w:val="22"/>
                <w:lang w:val="sr-Latn-BA"/>
              </w:rPr>
              <w:t>d</w:t>
            </w:r>
            <w:r w:rsidR="0091431E" w:rsidRPr="001B53A8">
              <w:rPr>
                <w:sz w:val="22"/>
                <w:szCs w:val="22"/>
                <w:lang w:val="sr-Latn-BA"/>
              </w:rPr>
              <w:t>.</w:t>
            </w:r>
            <w:r w:rsidRPr="001B53A8">
              <w:rPr>
                <w:sz w:val="22"/>
                <w:szCs w:val="22"/>
                <w:lang w:val="sr-Latn-BA"/>
              </w:rPr>
              <w:t>o</w:t>
            </w:r>
            <w:r w:rsidR="0091431E" w:rsidRPr="001B53A8">
              <w:rPr>
                <w:sz w:val="22"/>
                <w:szCs w:val="22"/>
                <w:lang w:val="sr-Latn-BA"/>
              </w:rPr>
              <w:t>.</w:t>
            </w:r>
            <w:r w:rsidRPr="001B53A8">
              <w:rPr>
                <w:sz w:val="22"/>
                <w:szCs w:val="22"/>
                <w:lang w:val="sr-Latn-BA"/>
              </w:rPr>
              <w:t>o</w:t>
            </w:r>
            <w:r w:rsidR="0091431E" w:rsidRPr="001B53A8">
              <w:rPr>
                <w:sz w:val="22"/>
                <w:szCs w:val="22"/>
                <w:lang w:val="sr-Latn-BA"/>
              </w:rPr>
              <w:t xml:space="preserve">. </w:t>
            </w:r>
            <w:r w:rsidRPr="001B53A8">
              <w:rPr>
                <w:sz w:val="22"/>
                <w:szCs w:val="22"/>
                <w:lang w:val="sr-Latn-BA"/>
              </w:rPr>
              <w:t>Istočno</w:t>
            </w:r>
            <w:r w:rsidR="0091431E" w:rsidRPr="001B53A8">
              <w:rPr>
                <w:sz w:val="22"/>
                <w:szCs w:val="22"/>
                <w:lang w:val="sr-Latn-BA"/>
              </w:rPr>
              <w:t xml:space="preserve"> </w:t>
            </w:r>
            <w:r w:rsidRPr="001B53A8">
              <w:rPr>
                <w:sz w:val="22"/>
                <w:szCs w:val="22"/>
                <w:lang w:val="sr-Latn-BA"/>
              </w:rPr>
              <w:t>Sarajevo</w:t>
            </w:r>
          </w:p>
        </w:tc>
        <w:tc>
          <w:tcPr>
            <w:tcW w:w="2127" w:type="dxa"/>
            <w:shd w:val="clear" w:color="auto" w:fill="auto"/>
            <w:vAlign w:val="center"/>
          </w:tcPr>
          <w:p w14:paraId="1E6FB82A" w14:textId="7515B883" w:rsidR="0091431E" w:rsidRPr="001B53A8" w:rsidRDefault="0091431E" w:rsidP="00003F34">
            <w:pPr>
              <w:spacing w:before="0" w:after="60" w:line="240" w:lineRule="auto"/>
              <w:ind w:firstLine="0"/>
              <w:jc w:val="center"/>
              <w:rPr>
                <w:sz w:val="22"/>
                <w:szCs w:val="22"/>
                <w:lang w:val="sr-Latn-BA"/>
              </w:rPr>
            </w:pPr>
            <w:r w:rsidRPr="001B53A8">
              <w:rPr>
                <w:sz w:val="22"/>
                <w:szCs w:val="22"/>
                <w:lang w:val="sr-Latn-BA"/>
              </w:rPr>
              <w:t>5 (</w:t>
            </w:r>
            <w:r w:rsidR="00003F34" w:rsidRPr="001B53A8">
              <w:rPr>
                <w:sz w:val="22"/>
                <w:szCs w:val="22"/>
                <w:lang w:val="sr-Latn-BA"/>
              </w:rPr>
              <w:t>obveznice</w:t>
            </w:r>
            <w:r w:rsidRPr="001B53A8">
              <w:rPr>
                <w:sz w:val="22"/>
                <w:szCs w:val="22"/>
                <w:lang w:val="sr-Latn-BA"/>
              </w:rPr>
              <w:t>)</w:t>
            </w:r>
          </w:p>
        </w:tc>
        <w:tc>
          <w:tcPr>
            <w:tcW w:w="1559" w:type="dxa"/>
            <w:shd w:val="clear" w:color="auto" w:fill="auto"/>
            <w:vAlign w:val="center"/>
          </w:tcPr>
          <w:p w14:paraId="3EF8DFCD"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1.000.000</w:t>
            </w:r>
          </w:p>
        </w:tc>
        <w:tc>
          <w:tcPr>
            <w:tcW w:w="1417" w:type="dxa"/>
            <w:shd w:val="clear" w:color="auto" w:fill="auto"/>
            <w:vAlign w:val="center"/>
          </w:tcPr>
          <w:p w14:paraId="6CAE8C51"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1.000.000</w:t>
            </w:r>
          </w:p>
        </w:tc>
      </w:tr>
      <w:tr w:rsidR="0091431E" w:rsidRPr="001B53A8" w14:paraId="046A6B62" w14:textId="77777777" w:rsidTr="0091431E">
        <w:trPr>
          <w:trHeight w:val="264"/>
        </w:trPr>
        <w:tc>
          <w:tcPr>
            <w:tcW w:w="610" w:type="dxa"/>
            <w:shd w:val="clear" w:color="auto" w:fill="auto"/>
            <w:noWrap/>
            <w:vAlign w:val="center"/>
          </w:tcPr>
          <w:p w14:paraId="54D235F5" w14:textId="77777777" w:rsidR="0091431E" w:rsidRPr="001B53A8" w:rsidRDefault="0091431E" w:rsidP="00003F34">
            <w:pPr>
              <w:spacing w:before="0" w:after="60" w:line="240" w:lineRule="auto"/>
              <w:ind w:firstLine="0"/>
              <w:jc w:val="center"/>
              <w:rPr>
                <w:bCs/>
                <w:sz w:val="22"/>
                <w:szCs w:val="22"/>
                <w:lang w:val="sr-Latn-BA" w:eastAsia="bs-Latn-BA"/>
              </w:rPr>
            </w:pPr>
            <w:r w:rsidRPr="001B53A8">
              <w:rPr>
                <w:bCs/>
                <w:sz w:val="22"/>
                <w:szCs w:val="22"/>
                <w:lang w:val="sr-Latn-BA" w:eastAsia="bs-Latn-BA"/>
              </w:rPr>
              <w:t>3.</w:t>
            </w:r>
          </w:p>
        </w:tc>
        <w:tc>
          <w:tcPr>
            <w:tcW w:w="3260" w:type="dxa"/>
            <w:shd w:val="clear" w:color="auto" w:fill="auto"/>
            <w:vAlign w:val="center"/>
          </w:tcPr>
          <w:p w14:paraId="1F6CCDA6" w14:textId="751E9041" w:rsidR="0091431E" w:rsidRPr="001B53A8" w:rsidRDefault="00003F34" w:rsidP="00003F34">
            <w:pPr>
              <w:spacing w:before="0" w:after="60" w:line="240" w:lineRule="auto"/>
              <w:ind w:firstLine="0"/>
              <w:jc w:val="left"/>
              <w:outlineLvl w:val="1"/>
              <w:rPr>
                <w:sz w:val="22"/>
                <w:szCs w:val="22"/>
                <w:lang w:val="sr-Latn-BA"/>
              </w:rPr>
            </w:pPr>
            <w:r w:rsidRPr="001B53A8">
              <w:rPr>
                <w:sz w:val="22"/>
                <w:szCs w:val="22"/>
                <w:lang w:val="sr-Latn-BA"/>
              </w:rPr>
              <w:t>MKD</w:t>
            </w:r>
            <w:r w:rsidR="0091431E" w:rsidRPr="001B53A8">
              <w:rPr>
                <w:sz w:val="22"/>
                <w:szCs w:val="22"/>
                <w:lang w:val="sr-Latn-BA"/>
              </w:rPr>
              <w:t xml:space="preserve"> „</w:t>
            </w:r>
            <w:r w:rsidRPr="001B53A8">
              <w:rPr>
                <w:sz w:val="22"/>
                <w:szCs w:val="22"/>
                <w:lang w:val="sr-Latn-BA"/>
              </w:rPr>
              <w:t>Taurus</w:t>
            </w:r>
            <w:r w:rsidR="0091431E" w:rsidRPr="001B53A8">
              <w:rPr>
                <w:sz w:val="22"/>
                <w:szCs w:val="22"/>
                <w:lang w:val="sr-Latn-BA"/>
              </w:rPr>
              <w:t xml:space="preserve">“ </w:t>
            </w:r>
            <w:r w:rsidRPr="001B53A8">
              <w:rPr>
                <w:sz w:val="22"/>
                <w:szCs w:val="22"/>
                <w:lang w:val="sr-Latn-BA"/>
              </w:rPr>
              <w:t>d</w:t>
            </w:r>
            <w:r w:rsidR="0091431E" w:rsidRPr="001B53A8">
              <w:rPr>
                <w:sz w:val="22"/>
                <w:szCs w:val="22"/>
                <w:lang w:val="sr-Latn-BA"/>
              </w:rPr>
              <w:t>.</w:t>
            </w:r>
            <w:r w:rsidRPr="001B53A8">
              <w:rPr>
                <w:sz w:val="22"/>
                <w:szCs w:val="22"/>
                <w:lang w:val="sr-Latn-BA"/>
              </w:rPr>
              <w:t>o</w:t>
            </w:r>
            <w:r w:rsidR="0091431E" w:rsidRPr="001B53A8">
              <w:rPr>
                <w:sz w:val="22"/>
                <w:szCs w:val="22"/>
                <w:lang w:val="sr-Latn-BA"/>
              </w:rPr>
              <w:t>.</w:t>
            </w:r>
            <w:r w:rsidRPr="001B53A8">
              <w:rPr>
                <w:sz w:val="22"/>
                <w:szCs w:val="22"/>
                <w:lang w:val="sr-Latn-BA"/>
              </w:rPr>
              <w:t>o</w:t>
            </w:r>
            <w:r w:rsidR="0091431E" w:rsidRPr="001B53A8">
              <w:rPr>
                <w:sz w:val="22"/>
                <w:szCs w:val="22"/>
                <w:lang w:val="sr-Latn-BA"/>
              </w:rPr>
              <w:t xml:space="preserve">. </w:t>
            </w:r>
            <w:r w:rsidRPr="001B53A8">
              <w:rPr>
                <w:sz w:val="22"/>
                <w:szCs w:val="22"/>
                <w:lang w:val="sr-Latn-BA"/>
              </w:rPr>
              <w:t>Banja</w:t>
            </w:r>
            <w:r w:rsidR="0091431E" w:rsidRPr="001B53A8">
              <w:rPr>
                <w:sz w:val="22"/>
                <w:szCs w:val="22"/>
                <w:lang w:val="sr-Latn-BA"/>
              </w:rPr>
              <w:t xml:space="preserve"> </w:t>
            </w:r>
            <w:r w:rsidRPr="001B53A8">
              <w:rPr>
                <w:sz w:val="22"/>
                <w:szCs w:val="22"/>
                <w:lang w:val="sr-Latn-BA"/>
              </w:rPr>
              <w:t>Luka</w:t>
            </w:r>
          </w:p>
        </w:tc>
        <w:tc>
          <w:tcPr>
            <w:tcW w:w="2127" w:type="dxa"/>
            <w:shd w:val="clear" w:color="auto" w:fill="auto"/>
            <w:vAlign w:val="center"/>
          </w:tcPr>
          <w:p w14:paraId="2C1A2462" w14:textId="0B3BE4CE" w:rsidR="0091431E" w:rsidRPr="001B53A8" w:rsidRDefault="0091431E" w:rsidP="00003F34">
            <w:pPr>
              <w:spacing w:before="0" w:after="60" w:line="240" w:lineRule="auto"/>
              <w:ind w:firstLine="0"/>
              <w:jc w:val="center"/>
              <w:rPr>
                <w:sz w:val="22"/>
                <w:szCs w:val="22"/>
                <w:lang w:val="sr-Latn-BA"/>
              </w:rPr>
            </w:pPr>
            <w:r w:rsidRPr="001B53A8">
              <w:rPr>
                <w:sz w:val="22"/>
                <w:szCs w:val="22"/>
                <w:lang w:val="sr-Latn-BA"/>
              </w:rPr>
              <w:t>4 (</w:t>
            </w:r>
            <w:r w:rsidR="00003F34" w:rsidRPr="001B53A8">
              <w:rPr>
                <w:sz w:val="22"/>
                <w:szCs w:val="22"/>
                <w:lang w:val="sr-Latn-BA"/>
              </w:rPr>
              <w:t>obveznice</w:t>
            </w:r>
            <w:r w:rsidRPr="001B53A8">
              <w:rPr>
                <w:sz w:val="22"/>
                <w:szCs w:val="22"/>
                <w:lang w:val="sr-Latn-BA"/>
              </w:rPr>
              <w:t>)</w:t>
            </w:r>
          </w:p>
        </w:tc>
        <w:tc>
          <w:tcPr>
            <w:tcW w:w="1559" w:type="dxa"/>
            <w:shd w:val="clear" w:color="auto" w:fill="auto"/>
            <w:vAlign w:val="center"/>
          </w:tcPr>
          <w:p w14:paraId="01F29D98"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1.000.000</w:t>
            </w:r>
          </w:p>
        </w:tc>
        <w:tc>
          <w:tcPr>
            <w:tcW w:w="1417" w:type="dxa"/>
            <w:shd w:val="clear" w:color="auto" w:fill="auto"/>
            <w:vAlign w:val="center"/>
          </w:tcPr>
          <w:p w14:paraId="53948977"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1.000.000</w:t>
            </w:r>
          </w:p>
        </w:tc>
      </w:tr>
      <w:tr w:rsidR="0091431E" w:rsidRPr="001B53A8" w14:paraId="333171A3" w14:textId="77777777" w:rsidTr="0091431E">
        <w:trPr>
          <w:trHeight w:val="264"/>
        </w:trPr>
        <w:tc>
          <w:tcPr>
            <w:tcW w:w="610" w:type="dxa"/>
            <w:shd w:val="clear" w:color="auto" w:fill="auto"/>
            <w:noWrap/>
            <w:vAlign w:val="center"/>
          </w:tcPr>
          <w:p w14:paraId="01A64E38" w14:textId="77777777" w:rsidR="0091431E" w:rsidRPr="001B53A8" w:rsidRDefault="0091431E" w:rsidP="00003F34">
            <w:pPr>
              <w:spacing w:before="0" w:after="60" w:line="240" w:lineRule="auto"/>
              <w:ind w:firstLine="0"/>
              <w:jc w:val="center"/>
              <w:rPr>
                <w:bCs/>
                <w:sz w:val="22"/>
                <w:szCs w:val="22"/>
                <w:lang w:val="sr-Latn-BA" w:eastAsia="bs-Latn-BA"/>
              </w:rPr>
            </w:pPr>
            <w:r w:rsidRPr="001B53A8">
              <w:rPr>
                <w:bCs/>
                <w:sz w:val="22"/>
                <w:szCs w:val="22"/>
                <w:lang w:val="sr-Latn-BA" w:eastAsia="bs-Latn-BA"/>
              </w:rPr>
              <w:t>4.</w:t>
            </w:r>
          </w:p>
        </w:tc>
        <w:tc>
          <w:tcPr>
            <w:tcW w:w="3260" w:type="dxa"/>
            <w:shd w:val="clear" w:color="auto" w:fill="auto"/>
            <w:vAlign w:val="center"/>
          </w:tcPr>
          <w:p w14:paraId="641375FC" w14:textId="45C39428" w:rsidR="0091431E" w:rsidRPr="001B53A8" w:rsidRDefault="0091431E" w:rsidP="00003F34">
            <w:pPr>
              <w:spacing w:before="0" w:after="60" w:line="240" w:lineRule="auto"/>
              <w:ind w:firstLine="0"/>
              <w:jc w:val="left"/>
              <w:outlineLvl w:val="1"/>
              <w:rPr>
                <w:sz w:val="22"/>
                <w:szCs w:val="22"/>
                <w:lang w:val="sr-Latn-BA"/>
              </w:rPr>
            </w:pPr>
            <w:r w:rsidRPr="001B53A8">
              <w:rPr>
                <w:sz w:val="22"/>
                <w:szCs w:val="22"/>
                <w:lang w:val="sr-Latn-BA"/>
              </w:rPr>
              <w:t>„</w:t>
            </w:r>
            <w:r w:rsidR="00003F34" w:rsidRPr="001B53A8">
              <w:rPr>
                <w:sz w:val="22"/>
                <w:szCs w:val="22"/>
                <w:lang w:val="sr-Latn-BA"/>
              </w:rPr>
              <w:t>Interlignum</w:t>
            </w:r>
            <w:r w:rsidRPr="001B53A8">
              <w:rPr>
                <w:sz w:val="22"/>
                <w:szCs w:val="22"/>
                <w:lang w:val="sr-Latn-BA"/>
              </w:rPr>
              <w:t xml:space="preserve">“ </w:t>
            </w:r>
            <w:r w:rsidR="00003F34" w:rsidRPr="001B53A8">
              <w:rPr>
                <w:sz w:val="22"/>
                <w:szCs w:val="22"/>
                <w:lang w:val="sr-Latn-BA"/>
              </w:rPr>
              <w:t>d</w:t>
            </w:r>
            <w:r w:rsidRPr="001B53A8">
              <w:rPr>
                <w:sz w:val="22"/>
                <w:szCs w:val="22"/>
                <w:lang w:val="sr-Latn-BA"/>
              </w:rPr>
              <w:t>.</w:t>
            </w:r>
            <w:r w:rsidR="00003F34" w:rsidRPr="001B53A8">
              <w:rPr>
                <w:sz w:val="22"/>
                <w:szCs w:val="22"/>
                <w:lang w:val="sr-Latn-BA"/>
              </w:rPr>
              <w:t>o</w:t>
            </w:r>
            <w:r w:rsidRPr="001B53A8">
              <w:rPr>
                <w:sz w:val="22"/>
                <w:szCs w:val="22"/>
                <w:lang w:val="sr-Latn-BA"/>
              </w:rPr>
              <w:t>.</w:t>
            </w:r>
            <w:r w:rsidR="00003F34" w:rsidRPr="001B53A8">
              <w:rPr>
                <w:sz w:val="22"/>
                <w:szCs w:val="22"/>
                <w:lang w:val="sr-Latn-BA"/>
              </w:rPr>
              <w:t>o</w:t>
            </w:r>
            <w:r w:rsidRPr="001B53A8">
              <w:rPr>
                <w:sz w:val="22"/>
                <w:szCs w:val="22"/>
                <w:lang w:val="sr-Latn-BA"/>
              </w:rPr>
              <w:t xml:space="preserve">. </w:t>
            </w:r>
            <w:r w:rsidR="00003F34" w:rsidRPr="001B53A8">
              <w:rPr>
                <w:sz w:val="22"/>
                <w:szCs w:val="22"/>
                <w:lang w:val="sr-Latn-BA"/>
              </w:rPr>
              <w:t>Teslić</w:t>
            </w:r>
          </w:p>
        </w:tc>
        <w:tc>
          <w:tcPr>
            <w:tcW w:w="2127" w:type="dxa"/>
            <w:shd w:val="clear" w:color="auto" w:fill="auto"/>
            <w:vAlign w:val="center"/>
          </w:tcPr>
          <w:p w14:paraId="59A234DD" w14:textId="19CFDBC2" w:rsidR="0091431E" w:rsidRPr="001B53A8" w:rsidRDefault="0091431E" w:rsidP="00003F34">
            <w:pPr>
              <w:spacing w:before="0" w:after="60" w:line="240" w:lineRule="auto"/>
              <w:ind w:firstLine="0"/>
              <w:jc w:val="center"/>
              <w:rPr>
                <w:sz w:val="22"/>
                <w:szCs w:val="22"/>
                <w:lang w:val="sr-Latn-BA"/>
              </w:rPr>
            </w:pPr>
            <w:r w:rsidRPr="001B53A8">
              <w:rPr>
                <w:sz w:val="22"/>
                <w:szCs w:val="22"/>
                <w:lang w:val="sr-Latn-BA"/>
              </w:rPr>
              <w:t>2 (</w:t>
            </w:r>
            <w:r w:rsidR="00003F34" w:rsidRPr="001B53A8">
              <w:rPr>
                <w:sz w:val="22"/>
                <w:szCs w:val="22"/>
                <w:lang w:val="sr-Latn-BA"/>
              </w:rPr>
              <w:t>obveznice</w:t>
            </w:r>
            <w:r w:rsidRPr="001B53A8">
              <w:rPr>
                <w:sz w:val="22"/>
                <w:szCs w:val="22"/>
                <w:lang w:val="sr-Latn-BA"/>
              </w:rPr>
              <w:t>)</w:t>
            </w:r>
          </w:p>
        </w:tc>
        <w:tc>
          <w:tcPr>
            <w:tcW w:w="1559" w:type="dxa"/>
            <w:shd w:val="clear" w:color="auto" w:fill="auto"/>
            <w:vAlign w:val="center"/>
          </w:tcPr>
          <w:p w14:paraId="3ED2F24E"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2.000.000</w:t>
            </w:r>
          </w:p>
        </w:tc>
        <w:tc>
          <w:tcPr>
            <w:tcW w:w="1417" w:type="dxa"/>
            <w:shd w:val="clear" w:color="auto" w:fill="auto"/>
            <w:vAlign w:val="center"/>
          </w:tcPr>
          <w:p w14:paraId="3DA66304"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2.000.000</w:t>
            </w:r>
          </w:p>
        </w:tc>
      </w:tr>
      <w:tr w:rsidR="0091431E" w:rsidRPr="001B53A8" w14:paraId="4978BC7D" w14:textId="77777777" w:rsidTr="0091431E">
        <w:trPr>
          <w:trHeight w:val="264"/>
        </w:trPr>
        <w:tc>
          <w:tcPr>
            <w:tcW w:w="610" w:type="dxa"/>
            <w:shd w:val="clear" w:color="auto" w:fill="auto"/>
            <w:noWrap/>
            <w:vAlign w:val="center"/>
          </w:tcPr>
          <w:p w14:paraId="0AE1443F" w14:textId="77777777" w:rsidR="0091431E" w:rsidRPr="001B53A8" w:rsidRDefault="0091431E" w:rsidP="00003F34">
            <w:pPr>
              <w:spacing w:before="0" w:after="60" w:line="240" w:lineRule="auto"/>
              <w:ind w:firstLine="0"/>
              <w:jc w:val="center"/>
              <w:rPr>
                <w:bCs/>
                <w:sz w:val="22"/>
                <w:szCs w:val="22"/>
                <w:lang w:val="sr-Latn-BA" w:eastAsia="bs-Latn-BA"/>
              </w:rPr>
            </w:pPr>
            <w:r w:rsidRPr="001B53A8">
              <w:rPr>
                <w:bCs/>
                <w:sz w:val="22"/>
                <w:szCs w:val="22"/>
                <w:lang w:val="sr-Latn-BA" w:eastAsia="bs-Latn-BA"/>
              </w:rPr>
              <w:t>5.</w:t>
            </w:r>
          </w:p>
        </w:tc>
        <w:tc>
          <w:tcPr>
            <w:tcW w:w="3260" w:type="dxa"/>
            <w:shd w:val="clear" w:color="auto" w:fill="auto"/>
            <w:vAlign w:val="center"/>
          </w:tcPr>
          <w:p w14:paraId="7F03EA0B" w14:textId="0440184D" w:rsidR="0091431E" w:rsidRPr="001B53A8" w:rsidRDefault="0091431E" w:rsidP="00003F34">
            <w:pPr>
              <w:spacing w:before="0" w:after="60" w:line="240" w:lineRule="auto"/>
              <w:ind w:firstLine="0"/>
              <w:jc w:val="left"/>
              <w:outlineLvl w:val="1"/>
              <w:rPr>
                <w:sz w:val="22"/>
                <w:szCs w:val="22"/>
                <w:lang w:val="sr-Latn-BA"/>
              </w:rPr>
            </w:pPr>
            <w:r w:rsidRPr="001B53A8">
              <w:rPr>
                <w:sz w:val="22"/>
                <w:szCs w:val="22"/>
                <w:lang w:val="sr-Latn-BA"/>
              </w:rPr>
              <w:t>„</w:t>
            </w:r>
            <w:r w:rsidR="00003F34" w:rsidRPr="001B53A8">
              <w:rPr>
                <w:sz w:val="22"/>
                <w:szCs w:val="22"/>
                <w:lang w:val="sr-Latn-BA"/>
              </w:rPr>
              <w:t>Naša</w:t>
            </w:r>
            <w:r w:rsidRPr="001B53A8">
              <w:rPr>
                <w:sz w:val="22"/>
                <w:szCs w:val="22"/>
                <w:lang w:val="sr-Latn-BA"/>
              </w:rPr>
              <w:t xml:space="preserve"> </w:t>
            </w:r>
            <w:r w:rsidR="00003F34" w:rsidRPr="001B53A8">
              <w:rPr>
                <w:sz w:val="22"/>
                <w:szCs w:val="22"/>
                <w:lang w:val="sr-Latn-BA"/>
              </w:rPr>
              <w:t>banka</w:t>
            </w:r>
            <w:r w:rsidRPr="001B53A8">
              <w:rPr>
                <w:sz w:val="22"/>
                <w:szCs w:val="22"/>
                <w:lang w:val="sr-Latn-BA"/>
              </w:rPr>
              <w:t>“ a.</w:t>
            </w:r>
            <w:r w:rsidR="00003F34" w:rsidRPr="001B53A8">
              <w:rPr>
                <w:sz w:val="22"/>
                <w:szCs w:val="22"/>
                <w:lang w:val="sr-Latn-BA"/>
              </w:rPr>
              <w:t>d</w:t>
            </w:r>
            <w:r w:rsidRPr="001B53A8">
              <w:rPr>
                <w:sz w:val="22"/>
                <w:szCs w:val="22"/>
                <w:lang w:val="sr-Latn-BA"/>
              </w:rPr>
              <w:t xml:space="preserve">. </w:t>
            </w:r>
            <w:r w:rsidR="00003F34" w:rsidRPr="001B53A8">
              <w:rPr>
                <w:sz w:val="22"/>
                <w:szCs w:val="22"/>
                <w:lang w:val="sr-Latn-BA"/>
              </w:rPr>
              <w:t>Banja</w:t>
            </w:r>
            <w:r w:rsidRPr="001B53A8">
              <w:rPr>
                <w:sz w:val="22"/>
                <w:szCs w:val="22"/>
                <w:lang w:val="sr-Latn-BA"/>
              </w:rPr>
              <w:t xml:space="preserve"> </w:t>
            </w:r>
            <w:r w:rsidR="00003F34" w:rsidRPr="001B53A8">
              <w:rPr>
                <w:sz w:val="22"/>
                <w:szCs w:val="22"/>
                <w:lang w:val="sr-Latn-BA"/>
              </w:rPr>
              <w:t>Luka</w:t>
            </w:r>
          </w:p>
        </w:tc>
        <w:tc>
          <w:tcPr>
            <w:tcW w:w="2127" w:type="dxa"/>
            <w:shd w:val="clear" w:color="auto" w:fill="auto"/>
            <w:vAlign w:val="center"/>
          </w:tcPr>
          <w:p w14:paraId="54369AEF" w14:textId="4DEA9EDE" w:rsidR="0091431E" w:rsidRPr="001B53A8" w:rsidRDefault="0091431E" w:rsidP="00003F34">
            <w:pPr>
              <w:spacing w:before="0" w:after="60" w:line="240" w:lineRule="auto"/>
              <w:ind w:firstLine="0"/>
              <w:jc w:val="center"/>
              <w:rPr>
                <w:sz w:val="22"/>
                <w:szCs w:val="22"/>
                <w:lang w:val="sr-Latn-BA"/>
              </w:rPr>
            </w:pPr>
            <w:r w:rsidRPr="001B53A8">
              <w:rPr>
                <w:sz w:val="22"/>
                <w:szCs w:val="22"/>
                <w:lang w:val="sr-Latn-BA"/>
              </w:rPr>
              <w:t>22 (</w:t>
            </w:r>
            <w:r w:rsidR="00003F34" w:rsidRPr="001B53A8">
              <w:rPr>
                <w:sz w:val="22"/>
                <w:szCs w:val="22"/>
                <w:lang w:val="sr-Latn-BA"/>
              </w:rPr>
              <w:t>akcije</w:t>
            </w:r>
            <w:r w:rsidRPr="001B53A8">
              <w:rPr>
                <w:sz w:val="22"/>
                <w:szCs w:val="22"/>
                <w:lang w:val="sr-Latn-BA"/>
              </w:rPr>
              <w:t>)</w:t>
            </w:r>
          </w:p>
        </w:tc>
        <w:tc>
          <w:tcPr>
            <w:tcW w:w="1559" w:type="dxa"/>
            <w:shd w:val="clear" w:color="auto" w:fill="auto"/>
            <w:vAlign w:val="center"/>
          </w:tcPr>
          <w:p w14:paraId="4DE2B53D"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3.125.000</w:t>
            </w:r>
          </w:p>
        </w:tc>
        <w:tc>
          <w:tcPr>
            <w:tcW w:w="1417" w:type="dxa"/>
            <w:shd w:val="clear" w:color="auto" w:fill="auto"/>
            <w:vAlign w:val="center"/>
          </w:tcPr>
          <w:p w14:paraId="0D4FCD04"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2.500.000</w:t>
            </w:r>
          </w:p>
        </w:tc>
      </w:tr>
      <w:tr w:rsidR="0091431E" w:rsidRPr="001B53A8" w14:paraId="61DF2906" w14:textId="77777777" w:rsidTr="0091431E">
        <w:trPr>
          <w:trHeight w:val="264"/>
        </w:trPr>
        <w:tc>
          <w:tcPr>
            <w:tcW w:w="610" w:type="dxa"/>
            <w:shd w:val="clear" w:color="auto" w:fill="auto"/>
            <w:noWrap/>
            <w:vAlign w:val="center"/>
          </w:tcPr>
          <w:p w14:paraId="37E3DD6E" w14:textId="77777777" w:rsidR="0091431E" w:rsidRPr="001B53A8" w:rsidRDefault="0091431E" w:rsidP="00003F34">
            <w:pPr>
              <w:spacing w:before="0" w:after="60" w:line="240" w:lineRule="auto"/>
              <w:ind w:firstLine="0"/>
              <w:jc w:val="center"/>
              <w:rPr>
                <w:bCs/>
                <w:sz w:val="22"/>
                <w:szCs w:val="22"/>
                <w:lang w:val="sr-Latn-BA" w:eastAsia="bs-Latn-BA"/>
              </w:rPr>
            </w:pPr>
            <w:r w:rsidRPr="001B53A8">
              <w:rPr>
                <w:bCs/>
                <w:sz w:val="22"/>
                <w:szCs w:val="22"/>
                <w:lang w:val="sr-Latn-BA" w:eastAsia="bs-Latn-BA"/>
              </w:rPr>
              <w:t>6.</w:t>
            </w:r>
          </w:p>
        </w:tc>
        <w:tc>
          <w:tcPr>
            <w:tcW w:w="3260" w:type="dxa"/>
            <w:shd w:val="clear" w:color="auto" w:fill="auto"/>
            <w:vAlign w:val="center"/>
          </w:tcPr>
          <w:p w14:paraId="3BB28C85" w14:textId="61FA5BFB" w:rsidR="0091431E" w:rsidRPr="001B53A8" w:rsidRDefault="0091431E" w:rsidP="00003F34">
            <w:pPr>
              <w:spacing w:before="0" w:after="60" w:line="240" w:lineRule="auto"/>
              <w:ind w:firstLine="0"/>
              <w:jc w:val="left"/>
              <w:outlineLvl w:val="1"/>
              <w:rPr>
                <w:sz w:val="22"/>
                <w:szCs w:val="22"/>
                <w:lang w:val="sr-Latn-BA"/>
              </w:rPr>
            </w:pPr>
            <w:r w:rsidRPr="001B53A8">
              <w:rPr>
                <w:sz w:val="22"/>
                <w:szCs w:val="22"/>
                <w:lang w:val="sr-Latn-BA"/>
              </w:rPr>
              <w:t>„</w:t>
            </w:r>
            <w:r w:rsidR="00003F34" w:rsidRPr="001B53A8">
              <w:rPr>
                <w:sz w:val="22"/>
                <w:szCs w:val="22"/>
                <w:lang w:val="sr-Latn-BA"/>
              </w:rPr>
              <w:t>Krajina</w:t>
            </w:r>
            <w:r w:rsidRPr="001B53A8">
              <w:rPr>
                <w:sz w:val="22"/>
                <w:szCs w:val="22"/>
                <w:lang w:val="sr-Latn-BA"/>
              </w:rPr>
              <w:t xml:space="preserve"> </w:t>
            </w:r>
            <w:r w:rsidR="00003F34" w:rsidRPr="001B53A8">
              <w:rPr>
                <w:sz w:val="22"/>
                <w:szCs w:val="22"/>
                <w:lang w:val="sr-Latn-BA"/>
              </w:rPr>
              <w:t>osiguranje</w:t>
            </w:r>
            <w:r w:rsidRPr="001B53A8">
              <w:rPr>
                <w:sz w:val="22"/>
                <w:szCs w:val="22"/>
                <w:lang w:val="sr-Latn-BA"/>
              </w:rPr>
              <w:t xml:space="preserve">“ </w:t>
            </w:r>
            <w:r w:rsidR="00003F34" w:rsidRPr="001B53A8">
              <w:rPr>
                <w:sz w:val="22"/>
                <w:szCs w:val="22"/>
                <w:lang w:val="sr-Latn-BA"/>
              </w:rPr>
              <w:t>a</w:t>
            </w:r>
            <w:r w:rsidRPr="001B53A8">
              <w:rPr>
                <w:sz w:val="22"/>
                <w:szCs w:val="22"/>
                <w:lang w:val="sr-Latn-BA"/>
              </w:rPr>
              <w:t>.</w:t>
            </w:r>
            <w:r w:rsidR="00003F34" w:rsidRPr="001B53A8">
              <w:rPr>
                <w:sz w:val="22"/>
                <w:szCs w:val="22"/>
                <w:lang w:val="sr-Latn-BA"/>
              </w:rPr>
              <w:t>d</w:t>
            </w:r>
            <w:r w:rsidRPr="001B53A8">
              <w:rPr>
                <w:sz w:val="22"/>
                <w:szCs w:val="22"/>
                <w:lang w:val="sr-Latn-BA"/>
              </w:rPr>
              <w:t xml:space="preserve">. </w:t>
            </w:r>
            <w:r w:rsidR="00003F34" w:rsidRPr="001B53A8">
              <w:rPr>
                <w:sz w:val="22"/>
                <w:szCs w:val="22"/>
                <w:lang w:val="sr-Latn-BA"/>
              </w:rPr>
              <w:t>Banja</w:t>
            </w:r>
            <w:r w:rsidRPr="001B53A8">
              <w:rPr>
                <w:sz w:val="22"/>
                <w:szCs w:val="22"/>
                <w:lang w:val="sr-Latn-BA"/>
              </w:rPr>
              <w:t xml:space="preserve"> </w:t>
            </w:r>
            <w:r w:rsidR="00003F34" w:rsidRPr="001B53A8">
              <w:rPr>
                <w:sz w:val="22"/>
                <w:szCs w:val="22"/>
                <w:lang w:val="sr-Latn-BA"/>
              </w:rPr>
              <w:t>Luka</w:t>
            </w:r>
          </w:p>
        </w:tc>
        <w:tc>
          <w:tcPr>
            <w:tcW w:w="2127" w:type="dxa"/>
            <w:shd w:val="clear" w:color="auto" w:fill="auto"/>
            <w:vAlign w:val="center"/>
          </w:tcPr>
          <w:p w14:paraId="4BC58FB3" w14:textId="1A7B1236" w:rsidR="0091431E" w:rsidRPr="001B53A8" w:rsidRDefault="0091431E" w:rsidP="00003F34">
            <w:pPr>
              <w:spacing w:before="0" w:after="60" w:line="240" w:lineRule="auto"/>
              <w:ind w:firstLine="0"/>
              <w:jc w:val="center"/>
              <w:rPr>
                <w:sz w:val="22"/>
                <w:szCs w:val="22"/>
                <w:lang w:val="sr-Latn-BA"/>
              </w:rPr>
            </w:pPr>
            <w:r w:rsidRPr="001B53A8">
              <w:rPr>
                <w:sz w:val="22"/>
                <w:szCs w:val="22"/>
                <w:lang w:val="sr-Latn-BA"/>
              </w:rPr>
              <w:t>5 (</w:t>
            </w:r>
            <w:r w:rsidR="00003F34" w:rsidRPr="001B53A8">
              <w:rPr>
                <w:sz w:val="22"/>
                <w:szCs w:val="22"/>
                <w:lang w:val="sr-Latn-BA"/>
              </w:rPr>
              <w:t>akcije</w:t>
            </w:r>
            <w:r w:rsidRPr="001B53A8">
              <w:rPr>
                <w:sz w:val="22"/>
                <w:szCs w:val="22"/>
                <w:lang w:val="sr-Latn-BA"/>
              </w:rPr>
              <w:t>)</w:t>
            </w:r>
          </w:p>
        </w:tc>
        <w:tc>
          <w:tcPr>
            <w:tcW w:w="1559" w:type="dxa"/>
            <w:shd w:val="clear" w:color="auto" w:fill="auto"/>
            <w:vAlign w:val="center"/>
          </w:tcPr>
          <w:p w14:paraId="7526A782"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3.100.000</w:t>
            </w:r>
          </w:p>
        </w:tc>
        <w:tc>
          <w:tcPr>
            <w:tcW w:w="1417" w:type="dxa"/>
            <w:shd w:val="clear" w:color="auto" w:fill="auto"/>
            <w:vAlign w:val="center"/>
          </w:tcPr>
          <w:p w14:paraId="66F50C21"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899.000</w:t>
            </w:r>
          </w:p>
        </w:tc>
      </w:tr>
      <w:tr w:rsidR="0091431E" w:rsidRPr="001B53A8" w14:paraId="5D6A2E92" w14:textId="77777777" w:rsidTr="0091431E">
        <w:trPr>
          <w:trHeight w:val="264"/>
        </w:trPr>
        <w:tc>
          <w:tcPr>
            <w:tcW w:w="610" w:type="dxa"/>
            <w:shd w:val="clear" w:color="auto" w:fill="auto"/>
            <w:noWrap/>
            <w:vAlign w:val="center"/>
          </w:tcPr>
          <w:p w14:paraId="4935BF9E" w14:textId="77777777" w:rsidR="0091431E" w:rsidRPr="001B53A8" w:rsidRDefault="0091431E" w:rsidP="00003F34">
            <w:pPr>
              <w:spacing w:before="0" w:after="60" w:line="240" w:lineRule="auto"/>
              <w:ind w:firstLine="0"/>
              <w:jc w:val="center"/>
              <w:rPr>
                <w:bCs/>
                <w:sz w:val="22"/>
                <w:szCs w:val="22"/>
                <w:lang w:val="sr-Latn-BA" w:eastAsia="bs-Latn-BA"/>
              </w:rPr>
            </w:pPr>
            <w:r w:rsidRPr="001B53A8">
              <w:rPr>
                <w:bCs/>
                <w:sz w:val="22"/>
                <w:szCs w:val="22"/>
                <w:lang w:val="sr-Latn-BA" w:eastAsia="bs-Latn-BA"/>
              </w:rPr>
              <w:t>7.</w:t>
            </w:r>
          </w:p>
        </w:tc>
        <w:tc>
          <w:tcPr>
            <w:tcW w:w="3260" w:type="dxa"/>
            <w:shd w:val="clear" w:color="auto" w:fill="auto"/>
            <w:vAlign w:val="center"/>
          </w:tcPr>
          <w:p w14:paraId="2E04F494" w14:textId="219F67EC" w:rsidR="0091431E" w:rsidRPr="001B53A8" w:rsidRDefault="0091431E" w:rsidP="00003F34">
            <w:pPr>
              <w:spacing w:before="0" w:after="60" w:line="240" w:lineRule="auto"/>
              <w:ind w:firstLine="0"/>
              <w:jc w:val="left"/>
              <w:outlineLvl w:val="1"/>
              <w:rPr>
                <w:sz w:val="22"/>
                <w:szCs w:val="22"/>
                <w:lang w:val="sr-Latn-BA"/>
              </w:rPr>
            </w:pPr>
            <w:r w:rsidRPr="001B53A8">
              <w:rPr>
                <w:sz w:val="22"/>
                <w:szCs w:val="22"/>
                <w:lang w:val="sr-Latn-BA"/>
              </w:rPr>
              <w:t xml:space="preserve">„Smart solution“ </w:t>
            </w:r>
            <w:r w:rsidR="00003F34" w:rsidRPr="001B53A8">
              <w:rPr>
                <w:sz w:val="22"/>
                <w:szCs w:val="22"/>
                <w:lang w:val="sr-Latn-BA"/>
              </w:rPr>
              <w:t>d</w:t>
            </w:r>
            <w:r w:rsidRPr="001B53A8">
              <w:rPr>
                <w:sz w:val="22"/>
                <w:szCs w:val="22"/>
                <w:lang w:val="sr-Latn-BA"/>
              </w:rPr>
              <w:t>.</w:t>
            </w:r>
            <w:r w:rsidR="00003F34" w:rsidRPr="001B53A8">
              <w:rPr>
                <w:sz w:val="22"/>
                <w:szCs w:val="22"/>
                <w:lang w:val="sr-Latn-BA"/>
              </w:rPr>
              <w:t>o</w:t>
            </w:r>
            <w:r w:rsidRPr="001B53A8">
              <w:rPr>
                <w:sz w:val="22"/>
                <w:szCs w:val="22"/>
                <w:lang w:val="sr-Latn-BA"/>
              </w:rPr>
              <w:t>.</w:t>
            </w:r>
            <w:r w:rsidR="00003F34" w:rsidRPr="001B53A8">
              <w:rPr>
                <w:sz w:val="22"/>
                <w:szCs w:val="22"/>
                <w:lang w:val="sr-Latn-BA"/>
              </w:rPr>
              <w:t>o</w:t>
            </w:r>
            <w:r w:rsidRPr="001B53A8">
              <w:rPr>
                <w:sz w:val="22"/>
                <w:szCs w:val="22"/>
                <w:lang w:val="sr-Latn-BA"/>
              </w:rPr>
              <w:t xml:space="preserve">. </w:t>
            </w:r>
            <w:r w:rsidR="00003F34" w:rsidRPr="001B53A8">
              <w:rPr>
                <w:sz w:val="22"/>
                <w:szCs w:val="22"/>
                <w:lang w:val="sr-Latn-BA"/>
              </w:rPr>
              <w:t>Banja</w:t>
            </w:r>
            <w:r w:rsidRPr="001B53A8">
              <w:rPr>
                <w:sz w:val="22"/>
                <w:szCs w:val="22"/>
                <w:lang w:val="sr-Latn-BA"/>
              </w:rPr>
              <w:t xml:space="preserve"> </w:t>
            </w:r>
            <w:r w:rsidR="00003F34" w:rsidRPr="001B53A8">
              <w:rPr>
                <w:sz w:val="22"/>
                <w:szCs w:val="22"/>
                <w:lang w:val="sr-Latn-BA"/>
              </w:rPr>
              <w:t>Luka</w:t>
            </w:r>
          </w:p>
        </w:tc>
        <w:tc>
          <w:tcPr>
            <w:tcW w:w="2127" w:type="dxa"/>
            <w:shd w:val="clear" w:color="auto" w:fill="auto"/>
            <w:vAlign w:val="center"/>
          </w:tcPr>
          <w:p w14:paraId="0F27A5FD" w14:textId="2051815D" w:rsidR="0091431E" w:rsidRPr="001B53A8" w:rsidRDefault="0091431E" w:rsidP="00003F34">
            <w:pPr>
              <w:spacing w:before="0" w:after="60" w:line="240" w:lineRule="auto"/>
              <w:ind w:firstLine="0"/>
              <w:jc w:val="center"/>
              <w:rPr>
                <w:sz w:val="22"/>
                <w:szCs w:val="22"/>
                <w:lang w:val="sr-Latn-BA"/>
              </w:rPr>
            </w:pPr>
            <w:r w:rsidRPr="001B53A8">
              <w:rPr>
                <w:sz w:val="22"/>
                <w:szCs w:val="22"/>
                <w:lang w:val="sr-Latn-BA"/>
              </w:rPr>
              <w:t>1 (</w:t>
            </w:r>
            <w:r w:rsidR="00003F34" w:rsidRPr="001B53A8">
              <w:rPr>
                <w:sz w:val="22"/>
                <w:szCs w:val="22"/>
                <w:lang w:val="sr-Latn-BA"/>
              </w:rPr>
              <w:t>obveznice</w:t>
            </w:r>
            <w:r w:rsidRPr="001B53A8">
              <w:rPr>
                <w:sz w:val="22"/>
                <w:szCs w:val="22"/>
                <w:lang w:val="sr-Latn-BA"/>
              </w:rPr>
              <w:t>)</w:t>
            </w:r>
          </w:p>
        </w:tc>
        <w:tc>
          <w:tcPr>
            <w:tcW w:w="1559" w:type="dxa"/>
            <w:shd w:val="clear" w:color="auto" w:fill="auto"/>
            <w:vAlign w:val="center"/>
          </w:tcPr>
          <w:p w14:paraId="7F1794AD"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700.000</w:t>
            </w:r>
          </w:p>
        </w:tc>
        <w:tc>
          <w:tcPr>
            <w:tcW w:w="1417" w:type="dxa"/>
            <w:shd w:val="clear" w:color="auto" w:fill="auto"/>
            <w:vAlign w:val="center"/>
          </w:tcPr>
          <w:p w14:paraId="46AFB2C6"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700.000</w:t>
            </w:r>
          </w:p>
        </w:tc>
      </w:tr>
      <w:tr w:rsidR="0091431E" w:rsidRPr="001B53A8" w14:paraId="2E0EC004" w14:textId="77777777" w:rsidTr="0091431E">
        <w:trPr>
          <w:trHeight w:val="264"/>
        </w:trPr>
        <w:tc>
          <w:tcPr>
            <w:tcW w:w="610" w:type="dxa"/>
            <w:shd w:val="clear" w:color="auto" w:fill="auto"/>
            <w:noWrap/>
            <w:vAlign w:val="center"/>
          </w:tcPr>
          <w:p w14:paraId="4D896C4F" w14:textId="77777777" w:rsidR="0091431E" w:rsidRPr="001B53A8" w:rsidRDefault="0091431E" w:rsidP="00003F34">
            <w:pPr>
              <w:spacing w:before="0" w:after="60" w:line="240" w:lineRule="auto"/>
              <w:ind w:firstLine="0"/>
              <w:jc w:val="center"/>
              <w:rPr>
                <w:bCs/>
                <w:sz w:val="22"/>
                <w:szCs w:val="22"/>
                <w:lang w:val="sr-Latn-BA" w:eastAsia="bs-Latn-BA"/>
              </w:rPr>
            </w:pPr>
            <w:r w:rsidRPr="001B53A8">
              <w:rPr>
                <w:bCs/>
                <w:sz w:val="22"/>
                <w:szCs w:val="22"/>
                <w:lang w:val="sr-Latn-BA" w:eastAsia="bs-Latn-BA"/>
              </w:rPr>
              <w:t>8.</w:t>
            </w:r>
          </w:p>
        </w:tc>
        <w:tc>
          <w:tcPr>
            <w:tcW w:w="3260" w:type="dxa"/>
            <w:shd w:val="clear" w:color="auto" w:fill="auto"/>
            <w:vAlign w:val="center"/>
          </w:tcPr>
          <w:p w14:paraId="2C0CE14D" w14:textId="10F31775" w:rsidR="0091431E" w:rsidRPr="001B53A8" w:rsidRDefault="00003F34" w:rsidP="00003F34">
            <w:pPr>
              <w:spacing w:before="0" w:after="60" w:line="240" w:lineRule="auto"/>
              <w:ind w:firstLine="0"/>
              <w:jc w:val="left"/>
              <w:outlineLvl w:val="1"/>
              <w:rPr>
                <w:sz w:val="22"/>
                <w:szCs w:val="22"/>
                <w:lang w:val="sr-Latn-BA"/>
              </w:rPr>
            </w:pPr>
            <w:r w:rsidRPr="001B53A8">
              <w:rPr>
                <w:sz w:val="22"/>
                <w:szCs w:val="22"/>
                <w:lang w:val="sr-Latn-BA"/>
              </w:rPr>
              <w:t>MKD</w:t>
            </w:r>
            <w:r w:rsidR="0091431E" w:rsidRPr="001B53A8">
              <w:rPr>
                <w:sz w:val="22"/>
                <w:szCs w:val="22"/>
                <w:lang w:val="sr-Latn-BA"/>
              </w:rPr>
              <w:t xml:space="preserve"> „</w:t>
            </w:r>
            <w:r w:rsidRPr="001B53A8">
              <w:rPr>
                <w:sz w:val="22"/>
                <w:szCs w:val="22"/>
                <w:lang w:val="sr-Latn-BA"/>
              </w:rPr>
              <w:t>Pro</w:t>
            </w:r>
            <w:r w:rsidR="0091431E" w:rsidRPr="001B53A8">
              <w:rPr>
                <w:sz w:val="22"/>
                <w:szCs w:val="22"/>
                <w:lang w:val="sr-Latn-BA"/>
              </w:rPr>
              <w:t xml:space="preserve"> </w:t>
            </w:r>
            <w:r w:rsidRPr="001B53A8">
              <w:rPr>
                <w:sz w:val="22"/>
                <w:szCs w:val="22"/>
                <w:lang w:val="sr-Latn-BA"/>
              </w:rPr>
              <w:t>fin</w:t>
            </w:r>
            <w:r w:rsidR="0091431E" w:rsidRPr="001B53A8">
              <w:rPr>
                <w:sz w:val="22"/>
                <w:szCs w:val="22"/>
                <w:lang w:val="sr-Latn-BA"/>
              </w:rPr>
              <w:t xml:space="preserve">“ </w:t>
            </w:r>
            <w:r w:rsidRPr="001B53A8">
              <w:rPr>
                <w:sz w:val="22"/>
                <w:szCs w:val="22"/>
                <w:lang w:val="sr-Latn-BA"/>
              </w:rPr>
              <w:t>d</w:t>
            </w:r>
            <w:r w:rsidR="0091431E" w:rsidRPr="001B53A8">
              <w:rPr>
                <w:sz w:val="22"/>
                <w:szCs w:val="22"/>
                <w:lang w:val="sr-Latn-BA"/>
              </w:rPr>
              <w:t>.</w:t>
            </w:r>
            <w:r w:rsidRPr="001B53A8">
              <w:rPr>
                <w:sz w:val="22"/>
                <w:szCs w:val="22"/>
                <w:lang w:val="sr-Latn-BA"/>
              </w:rPr>
              <w:t>o</w:t>
            </w:r>
            <w:r w:rsidR="0091431E" w:rsidRPr="001B53A8">
              <w:rPr>
                <w:sz w:val="22"/>
                <w:szCs w:val="22"/>
                <w:lang w:val="sr-Latn-BA"/>
              </w:rPr>
              <w:t>.</w:t>
            </w:r>
            <w:r w:rsidRPr="001B53A8">
              <w:rPr>
                <w:sz w:val="22"/>
                <w:szCs w:val="22"/>
                <w:lang w:val="sr-Latn-BA"/>
              </w:rPr>
              <w:t>o</w:t>
            </w:r>
            <w:r w:rsidR="0091431E" w:rsidRPr="001B53A8">
              <w:rPr>
                <w:sz w:val="22"/>
                <w:szCs w:val="22"/>
                <w:lang w:val="sr-Latn-BA"/>
              </w:rPr>
              <w:t xml:space="preserve">. </w:t>
            </w:r>
            <w:r w:rsidRPr="001B53A8">
              <w:rPr>
                <w:sz w:val="22"/>
                <w:szCs w:val="22"/>
                <w:lang w:val="sr-Latn-BA"/>
              </w:rPr>
              <w:t>Istočno</w:t>
            </w:r>
            <w:r w:rsidR="0091431E" w:rsidRPr="001B53A8">
              <w:rPr>
                <w:sz w:val="22"/>
                <w:szCs w:val="22"/>
                <w:lang w:val="sr-Latn-BA"/>
              </w:rPr>
              <w:t xml:space="preserve"> </w:t>
            </w:r>
            <w:r w:rsidRPr="001B53A8">
              <w:rPr>
                <w:sz w:val="22"/>
                <w:szCs w:val="22"/>
                <w:lang w:val="sr-Latn-BA"/>
              </w:rPr>
              <w:t>Sarajevo</w:t>
            </w:r>
          </w:p>
        </w:tc>
        <w:tc>
          <w:tcPr>
            <w:tcW w:w="2127" w:type="dxa"/>
            <w:shd w:val="clear" w:color="auto" w:fill="auto"/>
            <w:vAlign w:val="center"/>
          </w:tcPr>
          <w:p w14:paraId="052C0F35" w14:textId="33A456D7" w:rsidR="0091431E" w:rsidRPr="001B53A8" w:rsidRDefault="0091431E" w:rsidP="00003F34">
            <w:pPr>
              <w:spacing w:before="0" w:after="60" w:line="240" w:lineRule="auto"/>
              <w:ind w:firstLine="0"/>
              <w:jc w:val="center"/>
              <w:rPr>
                <w:sz w:val="22"/>
                <w:szCs w:val="22"/>
                <w:lang w:val="sr-Latn-BA"/>
              </w:rPr>
            </w:pPr>
            <w:r w:rsidRPr="001B53A8">
              <w:rPr>
                <w:sz w:val="22"/>
                <w:szCs w:val="22"/>
                <w:lang w:val="sr-Latn-BA"/>
              </w:rPr>
              <w:t>6 (</w:t>
            </w:r>
            <w:r w:rsidR="00003F34" w:rsidRPr="001B53A8">
              <w:rPr>
                <w:sz w:val="22"/>
                <w:szCs w:val="22"/>
                <w:lang w:val="sr-Latn-BA"/>
              </w:rPr>
              <w:t>obveznice</w:t>
            </w:r>
            <w:r w:rsidRPr="001B53A8">
              <w:rPr>
                <w:sz w:val="22"/>
                <w:szCs w:val="22"/>
                <w:lang w:val="sr-Latn-BA"/>
              </w:rPr>
              <w:t>)</w:t>
            </w:r>
          </w:p>
        </w:tc>
        <w:tc>
          <w:tcPr>
            <w:tcW w:w="1559" w:type="dxa"/>
            <w:shd w:val="clear" w:color="auto" w:fill="auto"/>
            <w:vAlign w:val="center"/>
          </w:tcPr>
          <w:p w14:paraId="06501BA1"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1.600.000</w:t>
            </w:r>
          </w:p>
        </w:tc>
        <w:tc>
          <w:tcPr>
            <w:tcW w:w="1417" w:type="dxa"/>
            <w:shd w:val="clear" w:color="auto" w:fill="auto"/>
            <w:vAlign w:val="center"/>
          </w:tcPr>
          <w:p w14:paraId="4A40ABE1"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1.600.000</w:t>
            </w:r>
          </w:p>
        </w:tc>
      </w:tr>
      <w:tr w:rsidR="0091431E" w:rsidRPr="001B53A8" w14:paraId="52512684" w14:textId="77777777" w:rsidTr="0091431E">
        <w:trPr>
          <w:trHeight w:val="264"/>
        </w:trPr>
        <w:tc>
          <w:tcPr>
            <w:tcW w:w="610" w:type="dxa"/>
            <w:shd w:val="clear" w:color="auto" w:fill="auto"/>
            <w:noWrap/>
            <w:vAlign w:val="center"/>
          </w:tcPr>
          <w:p w14:paraId="06E914CD" w14:textId="77777777" w:rsidR="0091431E" w:rsidRPr="001B53A8" w:rsidRDefault="0091431E" w:rsidP="00003F34">
            <w:pPr>
              <w:spacing w:before="0" w:after="60" w:line="240" w:lineRule="auto"/>
              <w:ind w:firstLine="0"/>
              <w:jc w:val="center"/>
              <w:rPr>
                <w:bCs/>
                <w:sz w:val="22"/>
                <w:szCs w:val="22"/>
                <w:lang w:val="sr-Latn-BA" w:eastAsia="bs-Latn-BA"/>
              </w:rPr>
            </w:pPr>
            <w:r w:rsidRPr="001B53A8">
              <w:rPr>
                <w:bCs/>
                <w:sz w:val="22"/>
                <w:szCs w:val="22"/>
                <w:lang w:val="sr-Latn-BA" w:eastAsia="bs-Latn-BA"/>
              </w:rPr>
              <w:t>9.</w:t>
            </w:r>
          </w:p>
        </w:tc>
        <w:tc>
          <w:tcPr>
            <w:tcW w:w="3260" w:type="dxa"/>
            <w:shd w:val="clear" w:color="auto" w:fill="auto"/>
            <w:vAlign w:val="center"/>
          </w:tcPr>
          <w:p w14:paraId="36CFAA8E" w14:textId="538A12AE" w:rsidR="0091431E" w:rsidRPr="001B53A8" w:rsidRDefault="00003F34" w:rsidP="00003F34">
            <w:pPr>
              <w:spacing w:before="0" w:after="60" w:line="240" w:lineRule="auto"/>
              <w:ind w:firstLine="0"/>
              <w:jc w:val="left"/>
              <w:outlineLvl w:val="1"/>
              <w:rPr>
                <w:sz w:val="22"/>
                <w:szCs w:val="22"/>
                <w:lang w:val="sr-Latn-BA"/>
              </w:rPr>
            </w:pPr>
            <w:r w:rsidRPr="001B53A8">
              <w:rPr>
                <w:sz w:val="22"/>
                <w:szCs w:val="22"/>
                <w:lang w:val="sr-Latn-BA"/>
              </w:rPr>
              <w:t>Društvo</w:t>
            </w:r>
            <w:r w:rsidR="0091431E" w:rsidRPr="001B53A8">
              <w:rPr>
                <w:sz w:val="22"/>
                <w:szCs w:val="22"/>
                <w:lang w:val="sr-Latn-BA"/>
              </w:rPr>
              <w:t xml:space="preserve"> </w:t>
            </w:r>
            <w:r w:rsidRPr="001B53A8">
              <w:rPr>
                <w:sz w:val="22"/>
                <w:szCs w:val="22"/>
                <w:lang w:val="sr-Latn-BA"/>
              </w:rPr>
              <w:t>za</w:t>
            </w:r>
            <w:r w:rsidR="0091431E" w:rsidRPr="001B53A8">
              <w:rPr>
                <w:sz w:val="22"/>
                <w:szCs w:val="22"/>
                <w:lang w:val="sr-Latn-BA"/>
              </w:rPr>
              <w:t xml:space="preserve"> </w:t>
            </w:r>
            <w:r w:rsidRPr="001B53A8">
              <w:rPr>
                <w:sz w:val="22"/>
                <w:szCs w:val="22"/>
                <w:lang w:val="sr-Latn-BA"/>
              </w:rPr>
              <w:t>proizvodnju</w:t>
            </w:r>
            <w:r w:rsidR="0091431E" w:rsidRPr="001B53A8">
              <w:rPr>
                <w:sz w:val="22"/>
                <w:szCs w:val="22"/>
                <w:lang w:val="sr-Latn-BA"/>
              </w:rPr>
              <w:t xml:space="preserve"> </w:t>
            </w:r>
            <w:r w:rsidRPr="001B53A8">
              <w:rPr>
                <w:sz w:val="22"/>
                <w:szCs w:val="22"/>
                <w:lang w:val="sr-Latn-BA"/>
              </w:rPr>
              <w:t>metalnih</w:t>
            </w:r>
            <w:r w:rsidR="0091431E" w:rsidRPr="001B53A8">
              <w:rPr>
                <w:sz w:val="22"/>
                <w:szCs w:val="22"/>
                <w:lang w:val="sr-Latn-BA"/>
              </w:rPr>
              <w:t xml:space="preserve"> </w:t>
            </w:r>
            <w:r w:rsidRPr="001B53A8">
              <w:rPr>
                <w:sz w:val="22"/>
                <w:szCs w:val="22"/>
                <w:lang w:val="sr-Latn-BA"/>
              </w:rPr>
              <w:t>proizvoda</w:t>
            </w:r>
            <w:r w:rsidR="0091431E" w:rsidRPr="001B53A8">
              <w:rPr>
                <w:sz w:val="22"/>
                <w:szCs w:val="22"/>
                <w:lang w:val="sr-Latn-BA"/>
              </w:rPr>
              <w:t xml:space="preserve"> „</w:t>
            </w:r>
            <w:r w:rsidRPr="001B53A8">
              <w:rPr>
                <w:sz w:val="22"/>
                <w:szCs w:val="22"/>
                <w:lang w:val="sr-Latn-BA"/>
              </w:rPr>
              <w:t>METAL</w:t>
            </w:r>
            <w:r w:rsidR="0091431E" w:rsidRPr="001B53A8">
              <w:rPr>
                <w:sz w:val="22"/>
                <w:szCs w:val="22"/>
                <w:lang w:val="sr-Latn-BA"/>
              </w:rPr>
              <w:t xml:space="preserve">“ </w:t>
            </w:r>
            <w:r w:rsidRPr="001B53A8">
              <w:rPr>
                <w:sz w:val="22"/>
                <w:szCs w:val="22"/>
                <w:lang w:val="sr-Latn-BA"/>
              </w:rPr>
              <w:t>a</w:t>
            </w:r>
            <w:r w:rsidR="0091431E" w:rsidRPr="001B53A8">
              <w:rPr>
                <w:sz w:val="22"/>
                <w:szCs w:val="22"/>
                <w:lang w:val="sr-Latn-BA"/>
              </w:rPr>
              <w:t>.</w:t>
            </w:r>
            <w:r w:rsidRPr="001B53A8">
              <w:rPr>
                <w:sz w:val="22"/>
                <w:szCs w:val="22"/>
                <w:lang w:val="sr-Latn-BA"/>
              </w:rPr>
              <w:t>d</w:t>
            </w:r>
            <w:r w:rsidR="0091431E" w:rsidRPr="001B53A8">
              <w:rPr>
                <w:sz w:val="22"/>
                <w:szCs w:val="22"/>
                <w:lang w:val="sr-Latn-BA"/>
              </w:rPr>
              <w:t xml:space="preserve">. </w:t>
            </w:r>
            <w:r w:rsidRPr="001B53A8">
              <w:rPr>
                <w:sz w:val="22"/>
                <w:szCs w:val="22"/>
                <w:lang w:val="sr-Latn-BA"/>
              </w:rPr>
              <w:t>Gradiška</w:t>
            </w:r>
          </w:p>
        </w:tc>
        <w:tc>
          <w:tcPr>
            <w:tcW w:w="2127" w:type="dxa"/>
            <w:shd w:val="clear" w:color="auto" w:fill="auto"/>
            <w:vAlign w:val="center"/>
          </w:tcPr>
          <w:p w14:paraId="57CED842" w14:textId="32DB5CC3" w:rsidR="0091431E" w:rsidRPr="001B53A8" w:rsidRDefault="0091431E" w:rsidP="00003F34">
            <w:pPr>
              <w:spacing w:before="0" w:after="60" w:line="240" w:lineRule="auto"/>
              <w:ind w:firstLine="0"/>
              <w:jc w:val="center"/>
              <w:rPr>
                <w:sz w:val="22"/>
                <w:szCs w:val="22"/>
                <w:lang w:val="sr-Latn-BA"/>
              </w:rPr>
            </w:pPr>
            <w:r w:rsidRPr="001B53A8">
              <w:rPr>
                <w:sz w:val="22"/>
                <w:szCs w:val="22"/>
                <w:lang w:val="sr-Latn-BA"/>
              </w:rPr>
              <w:t>3 (</w:t>
            </w:r>
            <w:r w:rsidR="00003F34" w:rsidRPr="001B53A8">
              <w:rPr>
                <w:sz w:val="22"/>
                <w:szCs w:val="22"/>
                <w:lang w:val="sr-Latn-BA"/>
              </w:rPr>
              <w:t>akcije</w:t>
            </w:r>
            <w:r w:rsidRPr="001B53A8">
              <w:rPr>
                <w:sz w:val="22"/>
                <w:szCs w:val="22"/>
                <w:lang w:val="sr-Latn-BA"/>
              </w:rPr>
              <w:t>)</w:t>
            </w:r>
          </w:p>
        </w:tc>
        <w:tc>
          <w:tcPr>
            <w:tcW w:w="1559" w:type="dxa"/>
            <w:shd w:val="clear" w:color="auto" w:fill="auto"/>
            <w:vAlign w:val="center"/>
          </w:tcPr>
          <w:p w14:paraId="354B518A"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4.700.000</w:t>
            </w:r>
          </w:p>
        </w:tc>
        <w:tc>
          <w:tcPr>
            <w:tcW w:w="1417" w:type="dxa"/>
            <w:shd w:val="clear" w:color="auto" w:fill="auto"/>
            <w:vAlign w:val="center"/>
          </w:tcPr>
          <w:p w14:paraId="2583F4C0"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4.030.554</w:t>
            </w:r>
          </w:p>
        </w:tc>
      </w:tr>
      <w:tr w:rsidR="0091431E" w:rsidRPr="001B53A8" w14:paraId="22AD1610" w14:textId="77777777" w:rsidTr="0091431E">
        <w:trPr>
          <w:trHeight w:val="264"/>
        </w:trPr>
        <w:tc>
          <w:tcPr>
            <w:tcW w:w="610" w:type="dxa"/>
            <w:shd w:val="clear" w:color="auto" w:fill="auto"/>
            <w:noWrap/>
            <w:vAlign w:val="center"/>
          </w:tcPr>
          <w:p w14:paraId="0E3F7BB6" w14:textId="77777777" w:rsidR="0091431E" w:rsidRPr="001B53A8" w:rsidRDefault="0091431E" w:rsidP="00003F34">
            <w:pPr>
              <w:spacing w:before="0" w:after="60" w:line="240" w:lineRule="auto"/>
              <w:ind w:firstLine="0"/>
              <w:jc w:val="center"/>
              <w:rPr>
                <w:bCs/>
                <w:sz w:val="22"/>
                <w:szCs w:val="22"/>
                <w:lang w:val="sr-Latn-BA" w:eastAsia="bs-Latn-BA"/>
              </w:rPr>
            </w:pPr>
            <w:r w:rsidRPr="001B53A8">
              <w:rPr>
                <w:bCs/>
                <w:sz w:val="22"/>
                <w:szCs w:val="22"/>
                <w:lang w:val="sr-Latn-BA" w:eastAsia="bs-Latn-BA"/>
              </w:rPr>
              <w:t>10.</w:t>
            </w:r>
          </w:p>
        </w:tc>
        <w:tc>
          <w:tcPr>
            <w:tcW w:w="3260" w:type="dxa"/>
            <w:shd w:val="clear" w:color="auto" w:fill="auto"/>
            <w:vAlign w:val="center"/>
          </w:tcPr>
          <w:p w14:paraId="34799BDB" w14:textId="60CC1616" w:rsidR="0091431E" w:rsidRPr="001B53A8" w:rsidRDefault="00003F34" w:rsidP="00003F34">
            <w:pPr>
              <w:spacing w:before="0" w:after="60" w:line="240" w:lineRule="auto"/>
              <w:ind w:firstLine="0"/>
              <w:jc w:val="left"/>
              <w:outlineLvl w:val="1"/>
              <w:rPr>
                <w:sz w:val="22"/>
                <w:szCs w:val="22"/>
                <w:lang w:val="sr-Latn-BA"/>
              </w:rPr>
            </w:pPr>
            <w:r w:rsidRPr="001B53A8">
              <w:rPr>
                <w:sz w:val="22"/>
                <w:szCs w:val="22"/>
                <w:lang w:val="sr-Latn-BA"/>
              </w:rPr>
              <w:t>Drvna</w:t>
            </w:r>
            <w:r w:rsidR="0091431E" w:rsidRPr="001B53A8">
              <w:rPr>
                <w:sz w:val="22"/>
                <w:szCs w:val="22"/>
                <w:lang w:val="sr-Latn-BA"/>
              </w:rPr>
              <w:t xml:space="preserve"> </w:t>
            </w:r>
            <w:r w:rsidRPr="001B53A8">
              <w:rPr>
                <w:sz w:val="22"/>
                <w:szCs w:val="22"/>
                <w:lang w:val="sr-Latn-BA"/>
              </w:rPr>
              <w:t>industrija</w:t>
            </w:r>
            <w:r w:rsidR="0091431E" w:rsidRPr="001B53A8">
              <w:rPr>
                <w:sz w:val="22"/>
                <w:szCs w:val="22"/>
                <w:lang w:val="sr-Latn-BA"/>
              </w:rPr>
              <w:t xml:space="preserve"> „</w:t>
            </w:r>
            <w:r w:rsidRPr="001B53A8">
              <w:rPr>
                <w:sz w:val="22"/>
                <w:szCs w:val="22"/>
                <w:lang w:val="sr-Latn-BA"/>
              </w:rPr>
              <w:t>Šipovo</w:t>
            </w:r>
            <w:r w:rsidR="0091431E" w:rsidRPr="001B53A8">
              <w:rPr>
                <w:sz w:val="22"/>
                <w:szCs w:val="22"/>
                <w:lang w:val="sr-Latn-BA"/>
              </w:rPr>
              <w:t xml:space="preserve">“ </w:t>
            </w:r>
            <w:r w:rsidRPr="001B53A8">
              <w:rPr>
                <w:sz w:val="22"/>
                <w:szCs w:val="22"/>
                <w:lang w:val="sr-Latn-BA"/>
              </w:rPr>
              <w:t>d</w:t>
            </w:r>
            <w:r w:rsidR="0091431E" w:rsidRPr="001B53A8">
              <w:rPr>
                <w:sz w:val="22"/>
                <w:szCs w:val="22"/>
                <w:lang w:val="sr-Latn-BA"/>
              </w:rPr>
              <w:t>.</w:t>
            </w:r>
            <w:r w:rsidRPr="001B53A8">
              <w:rPr>
                <w:sz w:val="22"/>
                <w:szCs w:val="22"/>
                <w:lang w:val="sr-Latn-BA"/>
              </w:rPr>
              <w:t>o</w:t>
            </w:r>
            <w:r w:rsidR="0091431E" w:rsidRPr="001B53A8">
              <w:rPr>
                <w:sz w:val="22"/>
                <w:szCs w:val="22"/>
                <w:lang w:val="sr-Latn-BA"/>
              </w:rPr>
              <w:t>.</w:t>
            </w:r>
            <w:r w:rsidRPr="001B53A8">
              <w:rPr>
                <w:sz w:val="22"/>
                <w:szCs w:val="22"/>
                <w:lang w:val="sr-Latn-BA"/>
              </w:rPr>
              <w:t>o</w:t>
            </w:r>
            <w:r w:rsidR="0091431E" w:rsidRPr="001B53A8">
              <w:rPr>
                <w:sz w:val="22"/>
                <w:szCs w:val="22"/>
                <w:lang w:val="sr-Latn-BA"/>
              </w:rPr>
              <w:t xml:space="preserve">. </w:t>
            </w:r>
            <w:r w:rsidRPr="001B53A8">
              <w:rPr>
                <w:sz w:val="22"/>
                <w:szCs w:val="22"/>
                <w:lang w:val="sr-Latn-BA"/>
              </w:rPr>
              <w:t>Šipovo</w:t>
            </w:r>
          </w:p>
        </w:tc>
        <w:tc>
          <w:tcPr>
            <w:tcW w:w="2127" w:type="dxa"/>
            <w:shd w:val="clear" w:color="auto" w:fill="auto"/>
            <w:vAlign w:val="center"/>
          </w:tcPr>
          <w:p w14:paraId="385CF6E0" w14:textId="3BCCFBB2" w:rsidR="0091431E" w:rsidRPr="001B53A8" w:rsidRDefault="0091431E" w:rsidP="00003F34">
            <w:pPr>
              <w:spacing w:before="0" w:after="60" w:line="240" w:lineRule="auto"/>
              <w:ind w:firstLine="0"/>
              <w:jc w:val="center"/>
              <w:rPr>
                <w:sz w:val="22"/>
                <w:szCs w:val="22"/>
                <w:lang w:val="sr-Latn-BA"/>
              </w:rPr>
            </w:pPr>
            <w:r w:rsidRPr="001B53A8">
              <w:rPr>
                <w:sz w:val="22"/>
                <w:szCs w:val="22"/>
                <w:lang w:val="sr-Latn-BA"/>
              </w:rPr>
              <w:t>1 (</w:t>
            </w:r>
            <w:r w:rsidR="00003F34" w:rsidRPr="001B53A8">
              <w:rPr>
                <w:sz w:val="22"/>
                <w:szCs w:val="22"/>
                <w:lang w:val="sr-Latn-BA"/>
              </w:rPr>
              <w:t>obveznice</w:t>
            </w:r>
            <w:r w:rsidRPr="001B53A8">
              <w:rPr>
                <w:sz w:val="22"/>
                <w:szCs w:val="22"/>
                <w:lang w:val="sr-Latn-BA"/>
              </w:rPr>
              <w:t>)</w:t>
            </w:r>
          </w:p>
        </w:tc>
        <w:tc>
          <w:tcPr>
            <w:tcW w:w="1559" w:type="dxa"/>
            <w:shd w:val="clear" w:color="auto" w:fill="auto"/>
            <w:vAlign w:val="center"/>
          </w:tcPr>
          <w:p w14:paraId="6177D2CE"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2.200.000</w:t>
            </w:r>
          </w:p>
        </w:tc>
        <w:tc>
          <w:tcPr>
            <w:tcW w:w="1417" w:type="dxa"/>
            <w:shd w:val="clear" w:color="auto" w:fill="auto"/>
            <w:vAlign w:val="center"/>
          </w:tcPr>
          <w:p w14:paraId="4CDF0419"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2.200.000</w:t>
            </w:r>
          </w:p>
        </w:tc>
      </w:tr>
      <w:tr w:rsidR="0091431E" w:rsidRPr="001B53A8" w14:paraId="17BB7E16" w14:textId="77777777" w:rsidTr="0091431E">
        <w:trPr>
          <w:trHeight w:val="264"/>
        </w:trPr>
        <w:tc>
          <w:tcPr>
            <w:tcW w:w="610" w:type="dxa"/>
            <w:shd w:val="clear" w:color="auto" w:fill="auto"/>
            <w:noWrap/>
            <w:vAlign w:val="center"/>
          </w:tcPr>
          <w:p w14:paraId="65343BA0" w14:textId="77777777" w:rsidR="0091431E" w:rsidRPr="001B53A8" w:rsidRDefault="0091431E" w:rsidP="00003F34">
            <w:pPr>
              <w:spacing w:before="0" w:after="60" w:line="240" w:lineRule="auto"/>
              <w:ind w:firstLine="0"/>
              <w:jc w:val="center"/>
              <w:rPr>
                <w:bCs/>
                <w:sz w:val="22"/>
                <w:szCs w:val="22"/>
                <w:lang w:val="sr-Latn-BA" w:eastAsia="bs-Latn-BA"/>
              </w:rPr>
            </w:pPr>
            <w:r w:rsidRPr="001B53A8">
              <w:rPr>
                <w:bCs/>
                <w:sz w:val="22"/>
                <w:szCs w:val="22"/>
                <w:lang w:val="sr-Latn-BA" w:eastAsia="bs-Latn-BA"/>
              </w:rPr>
              <w:t>11.</w:t>
            </w:r>
          </w:p>
        </w:tc>
        <w:tc>
          <w:tcPr>
            <w:tcW w:w="3260" w:type="dxa"/>
            <w:shd w:val="clear" w:color="auto" w:fill="auto"/>
            <w:vAlign w:val="center"/>
          </w:tcPr>
          <w:p w14:paraId="1FE064D5" w14:textId="334C0532" w:rsidR="0091431E" w:rsidRPr="001B53A8" w:rsidRDefault="00003F34" w:rsidP="00003F34">
            <w:pPr>
              <w:spacing w:before="0" w:after="60" w:line="240" w:lineRule="auto"/>
              <w:ind w:firstLine="0"/>
              <w:jc w:val="left"/>
              <w:outlineLvl w:val="1"/>
              <w:rPr>
                <w:sz w:val="22"/>
                <w:szCs w:val="22"/>
                <w:lang w:val="sr-Latn-BA"/>
              </w:rPr>
            </w:pPr>
            <w:r w:rsidRPr="001B53A8">
              <w:rPr>
                <w:sz w:val="22"/>
                <w:szCs w:val="22"/>
                <w:lang w:val="sr-Latn-BA"/>
              </w:rPr>
              <w:t>Mikrokreditno</w:t>
            </w:r>
            <w:r w:rsidR="0091431E" w:rsidRPr="001B53A8">
              <w:rPr>
                <w:sz w:val="22"/>
                <w:szCs w:val="22"/>
                <w:lang w:val="sr-Latn-BA"/>
              </w:rPr>
              <w:t xml:space="preserve"> </w:t>
            </w:r>
            <w:r w:rsidRPr="001B53A8">
              <w:rPr>
                <w:sz w:val="22"/>
                <w:szCs w:val="22"/>
                <w:lang w:val="sr-Latn-BA"/>
              </w:rPr>
              <w:t>društvo</w:t>
            </w:r>
            <w:r w:rsidR="0091431E" w:rsidRPr="001B53A8">
              <w:rPr>
                <w:sz w:val="22"/>
                <w:szCs w:val="22"/>
                <w:lang w:val="sr-Latn-BA"/>
              </w:rPr>
              <w:t xml:space="preserve"> „CREDIS“ </w:t>
            </w:r>
            <w:r w:rsidRPr="001B53A8">
              <w:rPr>
                <w:sz w:val="22"/>
                <w:szCs w:val="22"/>
                <w:lang w:val="sr-Latn-BA"/>
              </w:rPr>
              <w:t>akcionarsko</w:t>
            </w:r>
            <w:r w:rsidR="0091431E" w:rsidRPr="001B53A8">
              <w:rPr>
                <w:sz w:val="22"/>
                <w:szCs w:val="22"/>
                <w:lang w:val="sr-Latn-BA"/>
              </w:rPr>
              <w:t xml:space="preserve"> </w:t>
            </w:r>
            <w:r w:rsidRPr="001B53A8">
              <w:rPr>
                <w:sz w:val="22"/>
                <w:szCs w:val="22"/>
                <w:lang w:val="sr-Latn-BA"/>
              </w:rPr>
              <w:t>društvo</w:t>
            </w:r>
            <w:r w:rsidR="0091431E" w:rsidRPr="001B53A8">
              <w:rPr>
                <w:sz w:val="22"/>
                <w:szCs w:val="22"/>
                <w:lang w:val="sr-Latn-BA"/>
              </w:rPr>
              <w:t xml:space="preserve"> </w:t>
            </w:r>
            <w:r w:rsidRPr="001B53A8">
              <w:rPr>
                <w:sz w:val="22"/>
                <w:szCs w:val="22"/>
                <w:lang w:val="sr-Latn-BA"/>
              </w:rPr>
              <w:t>Banja</w:t>
            </w:r>
            <w:r w:rsidR="0091431E" w:rsidRPr="001B53A8">
              <w:rPr>
                <w:sz w:val="22"/>
                <w:szCs w:val="22"/>
                <w:lang w:val="sr-Latn-BA"/>
              </w:rPr>
              <w:t xml:space="preserve"> </w:t>
            </w:r>
            <w:r w:rsidRPr="001B53A8">
              <w:rPr>
                <w:sz w:val="22"/>
                <w:szCs w:val="22"/>
                <w:lang w:val="sr-Latn-BA"/>
              </w:rPr>
              <w:t>Luka</w:t>
            </w:r>
          </w:p>
        </w:tc>
        <w:tc>
          <w:tcPr>
            <w:tcW w:w="2127" w:type="dxa"/>
            <w:shd w:val="clear" w:color="auto" w:fill="auto"/>
            <w:vAlign w:val="center"/>
          </w:tcPr>
          <w:p w14:paraId="7E8914F2" w14:textId="03890A42" w:rsidR="0091431E" w:rsidRPr="001B53A8" w:rsidRDefault="0091431E" w:rsidP="00003F34">
            <w:pPr>
              <w:spacing w:before="0" w:after="60" w:line="240" w:lineRule="auto"/>
              <w:ind w:firstLine="0"/>
              <w:jc w:val="center"/>
              <w:rPr>
                <w:sz w:val="22"/>
                <w:szCs w:val="22"/>
                <w:lang w:val="sr-Latn-BA"/>
              </w:rPr>
            </w:pPr>
            <w:r w:rsidRPr="001B53A8">
              <w:rPr>
                <w:sz w:val="22"/>
                <w:szCs w:val="22"/>
                <w:lang w:val="sr-Latn-BA"/>
              </w:rPr>
              <w:t>10 (</w:t>
            </w:r>
            <w:r w:rsidR="00003F34" w:rsidRPr="001B53A8">
              <w:rPr>
                <w:sz w:val="22"/>
                <w:szCs w:val="22"/>
                <w:lang w:val="sr-Latn-BA"/>
              </w:rPr>
              <w:t>obveznice</w:t>
            </w:r>
            <w:r w:rsidRPr="001B53A8">
              <w:rPr>
                <w:sz w:val="22"/>
                <w:szCs w:val="22"/>
                <w:lang w:val="sr-Latn-BA"/>
              </w:rPr>
              <w:t>)</w:t>
            </w:r>
          </w:p>
        </w:tc>
        <w:tc>
          <w:tcPr>
            <w:tcW w:w="1559" w:type="dxa"/>
            <w:shd w:val="clear" w:color="auto" w:fill="auto"/>
            <w:vAlign w:val="center"/>
          </w:tcPr>
          <w:p w14:paraId="6BF57263"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1.600.000</w:t>
            </w:r>
          </w:p>
        </w:tc>
        <w:tc>
          <w:tcPr>
            <w:tcW w:w="1417" w:type="dxa"/>
            <w:shd w:val="clear" w:color="auto" w:fill="auto"/>
            <w:vAlign w:val="center"/>
          </w:tcPr>
          <w:p w14:paraId="42321E26"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1.600.000</w:t>
            </w:r>
          </w:p>
        </w:tc>
      </w:tr>
      <w:tr w:rsidR="0091431E" w:rsidRPr="001B53A8" w14:paraId="1FA4CB00" w14:textId="77777777" w:rsidTr="0091431E">
        <w:trPr>
          <w:trHeight w:val="264"/>
        </w:trPr>
        <w:tc>
          <w:tcPr>
            <w:tcW w:w="610" w:type="dxa"/>
            <w:shd w:val="clear" w:color="auto" w:fill="auto"/>
            <w:noWrap/>
            <w:vAlign w:val="center"/>
          </w:tcPr>
          <w:p w14:paraId="0EE0C326" w14:textId="77777777" w:rsidR="0091431E" w:rsidRPr="001B53A8" w:rsidRDefault="0091431E" w:rsidP="00003F34">
            <w:pPr>
              <w:spacing w:before="0" w:after="60" w:line="240" w:lineRule="auto"/>
              <w:ind w:firstLine="0"/>
              <w:jc w:val="center"/>
              <w:rPr>
                <w:bCs/>
                <w:sz w:val="22"/>
                <w:szCs w:val="22"/>
                <w:lang w:val="sr-Latn-BA" w:eastAsia="bs-Latn-BA"/>
              </w:rPr>
            </w:pPr>
            <w:r w:rsidRPr="001B53A8">
              <w:rPr>
                <w:bCs/>
                <w:sz w:val="22"/>
                <w:szCs w:val="22"/>
                <w:lang w:val="sr-Latn-BA" w:eastAsia="bs-Latn-BA"/>
              </w:rPr>
              <w:t>12.</w:t>
            </w:r>
          </w:p>
        </w:tc>
        <w:tc>
          <w:tcPr>
            <w:tcW w:w="3260" w:type="dxa"/>
            <w:shd w:val="clear" w:color="auto" w:fill="auto"/>
            <w:vAlign w:val="center"/>
          </w:tcPr>
          <w:p w14:paraId="5FAB4246" w14:textId="16C829B6" w:rsidR="0091431E" w:rsidRPr="001B53A8" w:rsidRDefault="00003F34" w:rsidP="00003F34">
            <w:pPr>
              <w:spacing w:before="0" w:after="60" w:line="240" w:lineRule="auto"/>
              <w:ind w:firstLine="0"/>
              <w:jc w:val="left"/>
              <w:outlineLvl w:val="1"/>
              <w:rPr>
                <w:sz w:val="22"/>
                <w:szCs w:val="22"/>
                <w:lang w:val="sr-Latn-BA"/>
              </w:rPr>
            </w:pPr>
            <w:r w:rsidRPr="001B53A8">
              <w:rPr>
                <w:sz w:val="22"/>
                <w:szCs w:val="22"/>
                <w:lang w:val="sr-Latn-BA"/>
              </w:rPr>
              <w:t>Mikrokreditno</w:t>
            </w:r>
            <w:r w:rsidR="0091431E" w:rsidRPr="001B53A8">
              <w:rPr>
                <w:sz w:val="22"/>
                <w:szCs w:val="22"/>
                <w:lang w:val="sr-Latn-BA"/>
              </w:rPr>
              <w:t xml:space="preserve"> </w:t>
            </w:r>
            <w:r w:rsidRPr="001B53A8">
              <w:rPr>
                <w:sz w:val="22"/>
                <w:szCs w:val="22"/>
                <w:lang w:val="sr-Latn-BA"/>
              </w:rPr>
              <w:t>društvo</w:t>
            </w:r>
            <w:r w:rsidR="0091431E" w:rsidRPr="001B53A8">
              <w:rPr>
                <w:sz w:val="22"/>
                <w:szCs w:val="22"/>
                <w:lang w:val="sr-Latn-BA"/>
              </w:rPr>
              <w:t xml:space="preserve"> „</w:t>
            </w:r>
            <w:r w:rsidRPr="001B53A8">
              <w:rPr>
                <w:sz w:val="22"/>
                <w:szCs w:val="22"/>
                <w:lang w:val="sr-Latn-BA"/>
              </w:rPr>
              <w:t>PRIVREDNIK</w:t>
            </w:r>
            <w:r w:rsidR="0091431E" w:rsidRPr="001B53A8">
              <w:rPr>
                <w:sz w:val="22"/>
                <w:szCs w:val="22"/>
                <w:lang w:val="sr-Latn-BA"/>
              </w:rPr>
              <w:t xml:space="preserve">“ </w:t>
            </w:r>
            <w:r w:rsidRPr="001B53A8">
              <w:rPr>
                <w:sz w:val="22"/>
                <w:szCs w:val="22"/>
                <w:lang w:val="sr-Latn-BA"/>
              </w:rPr>
              <w:t>d</w:t>
            </w:r>
            <w:r w:rsidR="0091431E" w:rsidRPr="001B53A8">
              <w:rPr>
                <w:sz w:val="22"/>
                <w:szCs w:val="22"/>
                <w:lang w:val="sr-Latn-BA"/>
              </w:rPr>
              <w:t>.</w:t>
            </w:r>
            <w:r w:rsidRPr="001B53A8">
              <w:rPr>
                <w:sz w:val="22"/>
                <w:szCs w:val="22"/>
                <w:lang w:val="sr-Latn-BA"/>
              </w:rPr>
              <w:t>o</w:t>
            </w:r>
            <w:r w:rsidR="0091431E" w:rsidRPr="001B53A8">
              <w:rPr>
                <w:sz w:val="22"/>
                <w:szCs w:val="22"/>
                <w:lang w:val="sr-Latn-BA"/>
              </w:rPr>
              <w:t>.</w:t>
            </w:r>
            <w:r w:rsidRPr="001B53A8">
              <w:rPr>
                <w:sz w:val="22"/>
                <w:szCs w:val="22"/>
                <w:lang w:val="sr-Latn-BA"/>
              </w:rPr>
              <w:t>o</w:t>
            </w:r>
            <w:r w:rsidR="0091431E" w:rsidRPr="001B53A8">
              <w:rPr>
                <w:sz w:val="22"/>
                <w:szCs w:val="22"/>
                <w:lang w:val="sr-Latn-BA"/>
              </w:rPr>
              <w:t xml:space="preserve">. </w:t>
            </w:r>
            <w:r w:rsidRPr="001B53A8">
              <w:rPr>
                <w:sz w:val="22"/>
                <w:szCs w:val="22"/>
                <w:lang w:val="sr-Latn-BA"/>
              </w:rPr>
              <w:t>Bijelјina</w:t>
            </w:r>
          </w:p>
        </w:tc>
        <w:tc>
          <w:tcPr>
            <w:tcW w:w="2127" w:type="dxa"/>
            <w:shd w:val="clear" w:color="auto" w:fill="auto"/>
            <w:vAlign w:val="center"/>
          </w:tcPr>
          <w:p w14:paraId="481A5D7B" w14:textId="34C673AD" w:rsidR="0091431E" w:rsidRPr="001B53A8" w:rsidRDefault="0091431E" w:rsidP="00003F34">
            <w:pPr>
              <w:spacing w:before="0" w:after="60" w:line="240" w:lineRule="auto"/>
              <w:ind w:firstLine="0"/>
              <w:jc w:val="center"/>
              <w:rPr>
                <w:sz w:val="22"/>
                <w:szCs w:val="22"/>
                <w:lang w:val="sr-Latn-BA"/>
              </w:rPr>
            </w:pPr>
            <w:r w:rsidRPr="001B53A8">
              <w:rPr>
                <w:sz w:val="22"/>
                <w:szCs w:val="22"/>
                <w:lang w:val="sr-Latn-BA"/>
              </w:rPr>
              <w:t>3 (</w:t>
            </w:r>
            <w:r w:rsidR="00003F34" w:rsidRPr="001B53A8">
              <w:rPr>
                <w:sz w:val="22"/>
                <w:szCs w:val="22"/>
                <w:lang w:val="sr-Latn-BA"/>
              </w:rPr>
              <w:t>obveznice</w:t>
            </w:r>
            <w:r w:rsidRPr="001B53A8">
              <w:rPr>
                <w:sz w:val="22"/>
                <w:szCs w:val="22"/>
                <w:lang w:val="sr-Latn-BA"/>
              </w:rPr>
              <w:t>)</w:t>
            </w:r>
          </w:p>
        </w:tc>
        <w:tc>
          <w:tcPr>
            <w:tcW w:w="1559" w:type="dxa"/>
            <w:shd w:val="clear" w:color="auto" w:fill="auto"/>
            <w:vAlign w:val="center"/>
          </w:tcPr>
          <w:p w14:paraId="368120A9"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1.500.000</w:t>
            </w:r>
          </w:p>
        </w:tc>
        <w:tc>
          <w:tcPr>
            <w:tcW w:w="1417" w:type="dxa"/>
            <w:shd w:val="clear" w:color="auto" w:fill="auto"/>
            <w:vAlign w:val="center"/>
          </w:tcPr>
          <w:p w14:paraId="12CEB93B"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1.500.000</w:t>
            </w:r>
          </w:p>
        </w:tc>
      </w:tr>
      <w:tr w:rsidR="0091431E" w:rsidRPr="001B53A8" w14:paraId="26E32CDC" w14:textId="77777777" w:rsidTr="0091431E">
        <w:trPr>
          <w:trHeight w:val="264"/>
        </w:trPr>
        <w:tc>
          <w:tcPr>
            <w:tcW w:w="610" w:type="dxa"/>
            <w:shd w:val="clear" w:color="auto" w:fill="auto"/>
            <w:noWrap/>
            <w:vAlign w:val="center"/>
          </w:tcPr>
          <w:p w14:paraId="100C8C2E" w14:textId="77777777" w:rsidR="0091431E" w:rsidRPr="001B53A8" w:rsidRDefault="0091431E" w:rsidP="00003F34">
            <w:pPr>
              <w:spacing w:before="0" w:after="60" w:line="240" w:lineRule="auto"/>
              <w:ind w:firstLine="0"/>
              <w:jc w:val="center"/>
              <w:rPr>
                <w:bCs/>
                <w:sz w:val="22"/>
                <w:szCs w:val="22"/>
                <w:lang w:val="sr-Latn-BA" w:eastAsia="bs-Latn-BA"/>
              </w:rPr>
            </w:pPr>
            <w:r w:rsidRPr="001B53A8">
              <w:rPr>
                <w:bCs/>
                <w:sz w:val="22"/>
                <w:szCs w:val="22"/>
                <w:lang w:val="sr-Latn-BA" w:eastAsia="bs-Latn-BA"/>
              </w:rPr>
              <w:t>13.</w:t>
            </w:r>
          </w:p>
        </w:tc>
        <w:tc>
          <w:tcPr>
            <w:tcW w:w="3260" w:type="dxa"/>
            <w:shd w:val="clear" w:color="auto" w:fill="auto"/>
            <w:vAlign w:val="center"/>
          </w:tcPr>
          <w:p w14:paraId="4C6A77A2" w14:textId="2B031CC0" w:rsidR="0091431E" w:rsidRPr="001B53A8" w:rsidRDefault="00003F34" w:rsidP="00003F34">
            <w:pPr>
              <w:spacing w:before="0" w:after="60" w:line="240" w:lineRule="auto"/>
              <w:ind w:firstLine="0"/>
              <w:jc w:val="left"/>
              <w:outlineLvl w:val="1"/>
              <w:rPr>
                <w:sz w:val="22"/>
                <w:szCs w:val="22"/>
                <w:lang w:val="sr-Latn-BA"/>
              </w:rPr>
            </w:pPr>
            <w:r w:rsidRPr="001B53A8">
              <w:rPr>
                <w:sz w:val="22"/>
                <w:szCs w:val="22"/>
                <w:lang w:val="sr-Latn-BA"/>
              </w:rPr>
              <w:t>Mikrokreditno</w:t>
            </w:r>
            <w:r w:rsidR="0091431E" w:rsidRPr="001B53A8">
              <w:rPr>
                <w:sz w:val="22"/>
                <w:szCs w:val="22"/>
                <w:lang w:val="sr-Latn-BA"/>
              </w:rPr>
              <w:t xml:space="preserve"> </w:t>
            </w:r>
            <w:r w:rsidRPr="001B53A8">
              <w:rPr>
                <w:sz w:val="22"/>
                <w:szCs w:val="22"/>
                <w:lang w:val="sr-Latn-BA"/>
              </w:rPr>
              <w:t>društvo</w:t>
            </w:r>
            <w:r w:rsidR="0091431E" w:rsidRPr="001B53A8">
              <w:rPr>
                <w:sz w:val="22"/>
                <w:szCs w:val="22"/>
                <w:lang w:val="sr-Latn-BA"/>
              </w:rPr>
              <w:t xml:space="preserve"> „</w:t>
            </w:r>
            <w:r w:rsidRPr="001B53A8">
              <w:rPr>
                <w:sz w:val="22"/>
                <w:szCs w:val="22"/>
                <w:lang w:val="sr-Latn-BA"/>
              </w:rPr>
              <w:t>PRO</w:t>
            </w:r>
            <w:r w:rsidR="0091431E" w:rsidRPr="001B53A8">
              <w:rPr>
                <w:sz w:val="22"/>
                <w:szCs w:val="22"/>
                <w:lang w:val="sr-Latn-BA"/>
              </w:rPr>
              <w:t xml:space="preserve"> </w:t>
            </w:r>
            <w:r w:rsidRPr="001B53A8">
              <w:rPr>
                <w:sz w:val="22"/>
                <w:szCs w:val="22"/>
                <w:lang w:val="sr-Latn-BA"/>
              </w:rPr>
              <w:t>FIN</w:t>
            </w:r>
            <w:r w:rsidR="0091431E" w:rsidRPr="001B53A8">
              <w:rPr>
                <w:sz w:val="22"/>
                <w:szCs w:val="22"/>
                <w:lang w:val="sr-Latn-BA"/>
              </w:rPr>
              <w:t xml:space="preserve">“ </w:t>
            </w:r>
            <w:r w:rsidRPr="001B53A8">
              <w:rPr>
                <w:sz w:val="22"/>
                <w:szCs w:val="22"/>
                <w:lang w:val="sr-Latn-BA"/>
              </w:rPr>
              <w:t>d</w:t>
            </w:r>
            <w:r w:rsidR="0091431E" w:rsidRPr="001B53A8">
              <w:rPr>
                <w:sz w:val="22"/>
                <w:szCs w:val="22"/>
                <w:lang w:val="sr-Latn-BA"/>
              </w:rPr>
              <w:t>.</w:t>
            </w:r>
            <w:r w:rsidRPr="001B53A8">
              <w:rPr>
                <w:sz w:val="22"/>
                <w:szCs w:val="22"/>
                <w:lang w:val="sr-Latn-BA"/>
              </w:rPr>
              <w:t>o</w:t>
            </w:r>
            <w:r w:rsidR="0091431E" w:rsidRPr="001B53A8">
              <w:rPr>
                <w:sz w:val="22"/>
                <w:szCs w:val="22"/>
                <w:lang w:val="sr-Latn-BA"/>
              </w:rPr>
              <w:t>.</w:t>
            </w:r>
            <w:r w:rsidRPr="001B53A8">
              <w:rPr>
                <w:sz w:val="22"/>
                <w:szCs w:val="22"/>
                <w:lang w:val="sr-Latn-BA"/>
              </w:rPr>
              <w:t>o</w:t>
            </w:r>
            <w:r w:rsidR="0091431E" w:rsidRPr="001B53A8">
              <w:rPr>
                <w:sz w:val="22"/>
                <w:szCs w:val="22"/>
                <w:lang w:val="sr-Latn-BA"/>
              </w:rPr>
              <w:t xml:space="preserve">. </w:t>
            </w:r>
            <w:r w:rsidRPr="001B53A8">
              <w:rPr>
                <w:sz w:val="22"/>
                <w:szCs w:val="22"/>
                <w:lang w:val="sr-Latn-BA"/>
              </w:rPr>
              <w:t>Istočno</w:t>
            </w:r>
            <w:r w:rsidR="0091431E" w:rsidRPr="001B53A8">
              <w:rPr>
                <w:sz w:val="22"/>
                <w:szCs w:val="22"/>
                <w:lang w:val="sr-Latn-BA"/>
              </w:rPr>
              <w:t xml:space="preserve"> </w:t>
            </w:r>
            <w:r w:rsidRPr="001B53A8">
              <w:rPr>
                <w:sz w:val="22"/>
                <w:szCs w:val="22"/>
                <w:lang w:val="sr-Latn-BA"/>
              </w:rPr>
              <w:t>Sarajevo</w:t>
            </w:r>
          </w:p>
        </w:tc>
        <w:tc>
          <w:tcPr>
            <w:tcW w:w="2127" w:type="dxa"/>
            <w:shd w:val="clear" w:color="auto" w:fill="auto"/>
            <w:vAlign w:val="center"/>
          </w:tcPr>
          <w:p w14:paraId="2B7C6129" w14:textId="7969A9D5" w:rsidR="0091431E" w:rsidRPr="001B53A8" w:rsidRDefault="0091431E" w:rsidP="00003F34">
            <w:pPr>
              <w:spacing w:before="0" w:after="60" w:line="240" w:lineRule="auto"/>
              <w:ind w:firstLine="0"/>
              <w:jc w:val="center"/>
              <w:rPr>
                <w:sz w:val="22"/>
                <w:szCs w:val="22"/>
                <w:lang w:val="sr-Latn-BA"/>
              </w:rPr>
            </w:pPr>
            <w:r w:rsidRPr="001B53A8">
              <w:rPr>
                <w:sz w:val="22"/>
                <w:szCs w:val="22"/>
                <w:lang w:val="sr-Latn-BA"/>
              </w:rPr>
              <w:t>7 (</w:t>
            </w:r>
            <w:r w:rsidR="00003F34" w:rsidRPr="001B53A8">
              <w:rPr>
                <w:sz w:val="22"/>
                <w:szCs w:val="22"/>
                <w:lang w:val="sr-Latn-BA"/>
              </w:rPr>
              <w:t>obveznice</w:t>
            </w:r>
            <w:r w:rsidRPr="001B53A8">
              <w:rPr>
                <w:sz w:val="22"/>
                <w:szCs w:val="22"/>
                <w:lang w:val="sr-Latn-BA"/>
              </w:rPr>
              <w:t>)</w:t>
            </w:r>
          </w:p>
        </w:tc>
        <w:tc>
          <w:tcPr>
            <w:tcW w:w="1559" w:type="dxa"/>
            <w:shd w:val="clear" w:color="auto" w:fill="auto"/>
            <w:vAlign w:val="center"/>
          </w:tcPr>
          <w:p w14:paraId="5DA83D88"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2.000.000</w:t>
            </w:r>
          </w:p>
        </w:tc>
        <w:tc>
          <w:tcPr>
            <w:tcW w:w="1417" w:type="dxa"/>
            <w:shd w:val="clear" w:color="auto" w:fill="auto"/>
            <w:vAlign w:val="center"/>
          </w:tcPr>
          <w:p w14:paraId="1A4D69DE"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2.000.000</w:t>
            </w:r>
          </w:p>
        </w:tc>
      </w:tr>
      <w:tr w:rsidR="0091431E" w:rsidRPr="001B53A8" w14:paraId="1B9CD103" w14:textId="77777777" w:rsidTr="0091431E">
        <w:trPr>
          <w:trHeight w:val="264"/>
        </w:trPr>
        <w:tc>
          <w:tcPr>
            <w:tcW w:w="610" w:type="dxa"/>
            <w:shd w:val="clear" w:color="auto" w:fill="auto"/>
            <w:noWrap/>
            <w:vAlign w:val="center"/>
          </w:tcPr>
          <w:p w14:paraId="743CCB23" w14:textId="77777777" w:rsidR="0091431E" w:rsidRPr="001B53A8" w:rsidRDefault="0091431E" w:rsidP="00003F34">
            <w:pPr>
              <w:spacing w:before="0" w:after="60" w:line="240" w:lineRule="auto"/>
              <w:ind w:firstLine="0"/>
              <w:jc w:val="center"/>
              <w:rPr>
                <w:bCs/>
                <w:sz w:val="22"/>
                <w:szCs w:val="22"/>
                <w:lang w:val="sr-Latn-BA" w:eastAsia="bs-Latn-BA"/>
              </w:rPr>
            </w:pPr>
            <w:r w:rsidRPr="001B53A8">
              <w:rPr>
                <w:bCs/>
                <w:sz w:val="22"/>
                <w:szCs w:val="22"/>
                <w:lang w:val="sr-Latn-BA" w:eastAsia="bs-Latn-BA"/>
              </w:rPr>
              <w:t>14.</w:t>
            </w:r>
          </w:p>
        </w:tc>
        <w:tc>
          <w:tcPr>
            <w:tcW w:w="3260" w:type="dxa"/>
            <w:shd w:val="clear" w:color="auto" w:fill="auto"/>
            <w:vAlign w:val="center"/>
          </w:tcPr>
          <w:p w14:paraId="5B49E809" w14:textId="19D70A1A" w:rsidR="0091431E" w:rsidRPr="001B53A8" w:rsidRDefault="00003F34" w:rsidP="00003F34">
            <w:pPr>
              <w:spacing w:before="0" w:after="60" w:line="240" w:lineRule="auto"/>
              <w:ind w:firstLine="0"/>
              <w:jc w:val="left"/>
              <w:outlineLvl w:val="1"/>
              <w:rPr>
                <w:sz w:val="22"/>
                <w:szCs w:val="22"/>
                <w:lang w:val="sr-Latn-BA"/>
              </w:rPr>
            </w:pPr>
            <w:r w:rsidRPr="001B53A8">
              <w:rPr>
                <w:sz w:val="22"/>
                <w:szCs w:val="22"/>
                <w:lang w:val="sr-Latn-BA"/>
              </w:rPr>
              <w:t>Mikrokreditno</w:t>
            </w:r>
            <w:r w:rsidR="0091431E" w:rsidRPr="001B53A8">
              <w:rPr>
                <w:sz w:val="22"/>
                <w:szCs w:val="22"/>
                <w:lang w:val="sr-Latn-BA"/>
              </w:rPr>
              <w:t xml:space="preserve"> </w:t>
            </w:r>
            <w:r w:rsidRPr="001B53A8">
              <w:rPr>
                <w:sz w:val="22"/>
                <w:szCs w:val="22"/>
                <w:lang w:val="sr-Latn-BA"/>
              </w:rPr>
              <w:t>društvo</w:t>
            </w:r>
            <w:r w:rsidR="0091431E" w:rsidRPr="001B53A8">
              <w:rPr>
                <w:sz w:val="22"/>
                <w:szCs w:val="22"/>
                <w:lang w:val="sr-Latn-BA"/>
              </w:rPr>
              <w:t xml:space="preserve"> „</w:t>
            </w:r>
            <w:r w:rsidRPr="001B53A8">
              <w:rPr>
                <w:sz w:val="22"/>
                <w:szCs w:val="22"/>
                <w:lang w:val="sr-Latn-BA"/>
              </w:rPr>
              <w:t>TAURUS</w:t>
            </w:r>
            <w:r w:rsidR="0091431E" w:rsidRPr="001B53A8">
              <w:rPr>
                <w:sz w:val="22"/>
                <w:szCs w:val="22"/>
                <w:lang w:val="sr-Latn-BA"/>
              </w:rPr>
              <w:t xml:space="preserve">“ </w:t>
            </w:r>
            <w:r w:rsidRPr="001B53A8">
              <w:rPr>
                <w:sz w:val="22"/>
                <w:szCs w:val="22"/>
                <w:lang w:val="sr-Latn-BA"/>
              </w:rPr>
              <w:t>d</w:t>
            </w:r>
            <w:r w:rsidR="0091431E" w:rsidRPr="001B53A8">
              <w:rPr>
                <w:sz w:val="22"/>
                <w:szCs w:val="22"/>
                <w:lang w:val="sr-Latn-BA"/>
              </w:rPr>
              <w:t>.</w:t>
            </w:r>
            <w:r w:rsidRPr="001B53A8">
              <w:rPr>
                <w:sz w:val="22"/>
                <w:szCs w:val="22"/>
                <w:lang w:val="sr-Latn-BA"/>
              </w:rPr>
              <w:t>o</w:t>
            </w:r>
            <w:r w:rsidR="0091431E" w:rsidRPr="001B53A8">
              <w:rPr>
                <w:sz w:val="22"/>
                <w:szCs w:val="22"/>
                <w:lang w:val="sr-Latn-BA"/>
              </w:rPr>
              <w:t>.</w:t>
            </w:r>
            <w:r w:rsidRPr="001B53A8">
              <w:rPr>
                <w:sz w:val="22"/>
                <w:szCs w:val="22"/>
                <w:lang w:val="sr-Latn-BA"/>
              </w:rPr>
              <w:t>o</w:t>
            </w:r>
            <w:r w:rsidR="0091431E" w:rsidRPr="001B53A8">
              <w:rPr>
                <w:sz w:val="22"/>
                <w:szCs w:val="22"/>
                <w:lang w:val="sr-Latn-BA"/>
              </w:rPr>
              <w:t xml:space="preserve">. </w:t>
            </w:r>
            <w:r w:rsidRPr="001B53A8">
              <w:rPr>
                <w:sz w:val="22"/>
                <w:szCs w:val="22"/>
                <w:lang w:val="sr-Latn-BA"/>
              </w:rPr>
              <w:t>Banja</w:t>
            </w:r>
            <w:r w:rsidR="0091431E" w:rsidRPr="001B53A8">
              <w:rPr>
                <w:sz w:val="22"/>
                <w:szCs w:val="22"/>
                <w:lang w:val="sr-Latn-BA"/>
              </w:rPr>
              <w:t xml:space="preserve"> </w:t>
            </w:r>
            <w:r w:rsidRPr="001B53A8">
              <w:rPr>
                <w:sz w:val="22"/>
                <w:szCs w:val="22"/>
                <w:lang w:val="sr-Latn-BA"/>
              </w:rPr>
              <w:t>Luka</w:t>
            </w:r>
          </w:p>
        </w:tc>
        <w:tc>
          <w:tcPr>
            <w:tcW w:w="2127" w:type="dxa"/>
            <w:shd w:val="clear" w:color="auto" w:fill="auto"/>
            <w:vAlign w:val="center"/>
          </w:tcPr>
          <w:p w14:paraId="3D5797E2" w14:textId="0E4B6155" w:rsidR="0091431E" w:rsidRPr="001B53A8" w:rsidRDefault="0091431E" w:rsidP="00003F34">
            <w:pPr>
              <w:spacing w:before="0" w:after="60" w:line="240" w:lineRule="auto"/>
              <w:ind w:firstLine="0"/>
              <w:jc w:val="center"/>
              <w:rPr>
                <w:sz w:val="22"/>
                <w:szCs w:val="22"/>
                <w:lang w:val="sr-Latn-BA"/>
              </w:rPr>
            </w:pPr>
            <w:r w:rsidRPr="001B53A8">
              <w:rPr>
                <w:sz w:val="22"/>
                <w:szCs w:val="22"/>
                <w:lang w:val="sr-Latn-BA"/>
              </w:rPr>
              <w:t>5 (</w:t>
            </w:r>
            <w:r w:rsidR="00003F34" w:rsidRPr="001B53A8">
              <w:rPr>
                <w:sz w:val="22"/>
                <w:szCs w:val="22"/>
                <w:lang w:val="sr-Latn-BA"/>
              </w:rPr>
              <w:t>obveznice</w:t>
            </w:r>
            <w:r w:rsidRPr="001B53A8">
              <w:rPr>
                <w:sz w:val="22"/>
                <w:szCs w:val="22"/>
                <w:lang w:val="sr-Latn-BA"/>
              </w:rPr>
              <w:t>)</w:t>
            </w:r>
          </w:p>
        </w:tc>
        <w:tc>
          <w:tcPr>
            <w:tcW w:w="1559" w:type="dxa"/>
            <w:shd w:val="clear" w:color="auto" w:fill="auto"/>
            <w:vAlign w:val="center"/>
          </w:tcPr>
          <w:p w14:paraId="646A812E"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2.000.000</w:t>
            </w:r>
          </w:p>
        </w:tc>
        <w:tc>
          <w:tcPr>
            <w:tcW w:w="1417" w:type="dxa"/>
            <w:shd w:val="clear" w:color="auto" w:fill="auto"/>
            <w:vAlign w:val="center"/>
          </w:tcPr>
          <w:p w14:paraId="64EAB7DF"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2.000.000</w:t>
            </w:r>
          </w:p>
        </w:tc>
      </w:tr>
      <w:tr w:rsidR="0091431E" w:rsidRPr="001B53A8" w14:paraId="37D4C7E9" w14:textId="77777777" w:rsidTr="0091431E">
        <w:trPr>
          <w:trHeight w:val="264"/>
        </w:trPr>
        <w:tc>
          <w:tcPr>
            <w:tcW w:w="610" w:type="dxa"/>
            <w:shd w:val="clear" w:color="auto" w:fill="auto"/>
            <w:noWrap/>
            <w:vAlign w:val="center"/>
          </w:tcPr>
          <w:p w14:paraId="6A0B2240" w14:textId="77777777" w:rsidR="0091431E" w:rsidRPr="001B53A8" w:rsidRDefault="0091431E" w:rsidP="00003F34">
            <w:pPr>
              <w:spacing w:before="0" w:after="60" w:line="240" w:lineRule="auto"/>
              <w:ind w:firstLine="0"/>
              <w:jc w:val="center"/>
              <w:rPr>
                <w:bCs/>
                <w:sz w:val="22"/>
                <w:szCs w:val="22"/>
                <w:lang w:val="sr-Latn-BA" w:eastAsia="bs-Latn-BA"/>
              </w:rPr>
            </w:pPr>
            <w:r w:rsidRPr="001B53A8">
              <w:rPr>
                <w:bCs/>
                <w:sz w:val="22"/>
                <w:szCs w:val="22"/>
                <w:lang w:val="sr-Latn-BA" w:eastAsia="bs-Latn-BA"/>
              </w:rPr>
              <w:t>15.</w:t>
            </w:r>
          </w:p>
        </w:tc>
        <w:tc>
          <w:tcPr>
            <w:tcW w:w="3260" w:type="dxa"/>
            <w:shd w:val="clear" w:color="auto" w:fill="auto"/>
            <w:vAlign w:val="center"/>
          </w:tcPr>
          <w:p w14:paraId="482DDA00" w14:textId="6D7EE2FA" w:rsidR="0091431E" w:rsidRPr="001B53A8" w:rsidRDefault="0091431E" w:rsidP="00003F34">
            <w:pPr>
              <w:spacing w:before="0" w:after="60" w:line="240" w:lineRule="auto"/>
              <w:ind w:firstLine="0"/>
              <w:jc w:val="left"/>
              <w:outlineLvl w:val="1"/>
              <w:rPr>
                <w:sz w:val="22"/>
                <w:szCs w:val="22"/>
                <w:lang w:val="sr-Latn-BA"/>
              </w:rPr>
            </w:pPr>
            <w:r w:rsidRPr="001B53A8">
              <w:rPr>
                <w:sz w:val="22"/>
                <w:szCs w:val="22"/>
                <w:lang w:val="sr-Latn-BA"/>
              </w:rPr>
              <w:t>„</w:t>
            </w:r>
            <w:r w:rsidR="00003F34" w:rsidRPr="001B53A8">
              <w:rPr>
                <w:sz w:val="22"/>
                <w:szCs w:val="22"/>
                <w:lang w:val="sr-Latn-BA"/>
              </w:rPr>
              <w:t>NAŠA</w:t>
            </w:r>
            <w:r w:rsidRPr="001B53A8">
              <w:rPr>
                <w:sz w:val="22"/>
                <w:szCs w:val="22"/>
                <w:lang w:val="sr-Latn-BA"/>
              </w:rPr>
              <w:t xml:space="preserve"> </w:t>
            </w:r>
            <w:r w:rsidR="00003F34" w:rsidRPr="001B53A8">
              <w:rPr>
                <w:sz w:val="22"/>
                <w:szCs w:val="22"/>
                <w:lang w:val="sr-Latn-BA"/>
              </w:rPr>
              <w:t>BANKA</w:t>
            </w:r>
            <w:r w:rsidRPr="001B53A8">
              <w:rPr>
                <w:sz w:val="22"/>
                <w:szCs w:val="22"/>
                <w:lang w:val="sr-Latn-BA"/>
              </w:rPr>
              <w:t>“ a.</w:t>
            </w:r>
            <w:r w:rsidR="00003F34" w:rsidRPr="001B53A8">
              <w:rPr>
                <w:sz w:val="22"/>
                <w:szCs w:val="22"/>
                <w:lang w:val="sr-Latn-BA"/>
              </w:rPr>
              <w:t>d</w:t>
            </w:r>
            <w:r w:rsidRPr="001B53A8">
              <w:rPr>
                <w:sz w:val="22"/>
                <w:szCs w:val="22"/>
                <w:lang w:val="sr-Latn-BA"/>
              </w:rPr>
              <w:t xml:space="preserve">. </w:t>
            </w:r>
            <w:r w:rsidR="00003F34" w:rsidRPr="001B53A8">
              <w:rPr>
                <w:sz w:val="22"/>
                <w:szCs w:val="22"/>
                <w:lang w:val="sr-Latn-BA"/>
              </w:rPr>
              <w:t>Banja</w:t>
            </w:r>
            <w:r w:rsidRPr="001B53A8">
              <w:rPr>
                <w:sz w:val="22"/>
                <w:szCs w:val="22"/>
                <w:lang w:val="sr-Latn-BA"/>
              </w:rPr>
              <w:t xml:space="preserve"> </w:t>
            </w:r>
            <w:r w:rsidR="00003F34" w:rsidRPr="001B53A8">
              <w:rPr>
                <w:sz w:val="22"/>
                <w:szCs w:val="22"/>
                <w:lang w:val="sr-Latn-BA"/>
              </w:rPr>
              <w:t>Luka</w:t>
            </w:r>
          </w:p>
        </w:tc>
        <w:tc>
          <w:tcPr>
            <w:tcW w:w="2127" w:type="dxa"/>
            <w:shd w:val="clear" w:color="auto" w:fill="auto"/>
            <w:vAlign w:val="center"/>
          </w:tcPr>
          <w:p w14:paraId="2211094B" w14:textId="7A485C45" w:rsidR="0091431E" w:rsidRPr="001B53A8" w:rsidRDefault="0091431E" w:rsidP="00003F34">
            <w:pPr>
              <w:spacing w:before="0" w:after="60" w:line="240" w:lineRule="auto"/>
              <w:ind w:firstLine="0"/>
              <w:jc w:val="center"/>
              <w:rPr>
                <w:sz w:val="22"/>
                <w:szCs w:val="22"/>
                <w:lang w:val="sr-Latn-BA"/>
              </w:rPr>
            </w:pPr>
            <w:r w:rsidRPr="001B53A8">
              <w:rPr>
                <w:sz w:val="22"/>
                <w:szCs w:val="22"/>
                <w:lang w:val="sr-Latn-BA"/>
              </w:rPr>
              <w:t>1 (</w:t>
            </w:r>
            <w:r w:rsidR="00003F34" w:rsidRPr="001B53A8">
              <w:rPr>
                <w:sz w:val="22"/>
                <w:szCs w:val="22"/>
                <w:lang w:val="sr-Latn-BA"/>
              </w:rPr>
              <w:t>obveznice</w:t>
            </w:r>
            <w:r w:rsidRPr="001B53A8">
              <w:rPr>
                <w:sz w:val="22"/>
                <w:szCs w:val="22"/>
                <w:lang w:val="sr-Latn-BA"/>
              </w:rPr>
              <w:t>)</w:t>
            </w:r>
          </w:p>
        </w:tc>
        <w:tc>
          <w:tcPr>
            <w:tcW w:w="1559" w:type="dxa"/>
            <w:shd w:val="clear" w:color="auto" w:fill="auto"/>
            <w:vAlign w:val="center"/>
          </w:tcPr>
          <w:p w14:paraId="029E4D2E"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7.000.000</w:t>
            </w:r>
          </w:p>
        </w:tc>
        <w:tc>
          <w:tcPr>
            <w:tcW w:w="1417" w:type="dxa"/>
            <w:shd w:val="clear" w:color="auto" w:fill="auto"/>
            <w:vAlign w:val="center"/>
          </w:tcPr>
          <w:p w14:paraId="0E038367"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4.227.000</w:t>
            </w:r>
          </w:p>
        </w:tc>
      </w:tr>
      <w:tr w:rsidR="0091431E" w:rsidRPr="001B53A8" w14:paraId="32F992DD" w14:textId="77777777" w:rsidTr="0091431E">
        <w:trPr>
          <w:trHeight w:val="264"/>
        </w:trPr>
        <w:tc>
          <w:tcPr>
            <w:tcW w:w="610" w:type="dxa"/>
            <w:shd w:val="clear" w:color="auto" w:fill="auto"/>
            <w:noWrap/>
            <w:vAlign w:val="center"/>
          </w:tcPr>
          <w:p w14:paraId="7905F6AE" w14:textId="77777777" w:rsidR="0091431E" w:rsidRPr="001B53A8" w:rsidRDefault="0091431E" w:rsidP="00003F34">
            <w:pPr>
              <w:spacing w:before="0" w:after="60" w:line="240" w:lineRule="auto"/>
              <w:ind w:firstLine="0"/>
              <w:jc w:val="center"/>
              <w:rPr>
                <w:bCs/>
                <w:sz w:val="22"/>
                <w:szCs w:val="22"/>
                <w:lang w:val="sr-Latn-BA" w:eastAsia="bs-Latn-BA"/>
              </w:rPr>
            </w:pPr>
            <w:r w:rsidRPr="001B53A8">
              <w:rPr>
                <w:bCs/>
                <w:sz w:val="22"/>
                <w:szCs w:val="22"/>
                <w:lang w:val="sr-Latn-BA" w:eastAsia="bs-Latn-BA"/>
              </w:rPr>
              <w:t>16.</w:t>
            </w:r>
          </w:p>
        </w:tc>
        <w:tc>
          <w:tcPr>
            <w:tcW w:w="3260" w:type="dxa"/>
            <w:shd w:val="clear" w:color="auto" w:fill="auto"/>
            <w:vAlign w:val="center"/>
          </w:tcPr>
          <w:p w14:paraId="74D56486" w14:textId="6B4AA705" w:rsidR="0091431E" w:rsidRPr="001B53A8" w:rsidRDefault="00003F34" w:rsidP="00003F34">
            <w:pPr>
              <w:spacing w:before="0" w:after="60" w:line="240" w:lineRule="auto"/>
              <w:ind w:firstLine="0"/>
              <w:jc w:val="left"/>
              <w:outlineLvl w:val="1"/>
              <w:rPr>
                <w:sz w:val="22"/>
                <w:szCs w:val="22"/>
                <w:lang w:val="sr-Latn-BA"/>
              </w:rPr>
            </w:pPr>
            <w:r w:rsidRPr="001B53A8">
              <w:rPr>
                <w:sz w:val="22"/>
                <w:szCs w:val="22"/>
                <w:lang w:val="sr-Latn-BA"/>
              </w:rPr>
              <w:t>Mikrokreditno</w:t>
            </w:r>
            <w:r w:rsidR="0091431E" w:rsidRPr="001B53A8">
              <w:rPr>
                <w:sz w:val="22"/>
                <w:szCs w:val="22"/>
                <w:lang w:val="sr-Latn-BA"/>
              </w:rPr>
              <w:t xml:space="preserve"> </w:t>
            </w:r>
            <w:r w:rsidRPr="001B53A8">
              <w:rPr>
                <w:sz w:val="22"/>
                <w:szCs w:val="22"/>
                <w:lang w:val="sr-Latn-BA"/>
              </w:rPr>
              <w:t>društvo</w:t>
            </w:r>
            <w:r w:rsidR="0091431E" w:rsidRPr="001B53A8">
              <w:rPr>
                <w:sz w:val="22"/>
                <w:szCs w:val="22"/>
                <w:lang w:val="sr-Latn-BA"/>
              </w:rPr>
              <w:t xml:space="preserve"> „</w:t>
            </w:r>
            <w:r w:rsidRPr="001B53A8">
              <w:rPr>
                <w:sz w:val="22"/>
                <w:szCs w:val="22"/>
                <w:lang w:val="sr-Latn-BA"/>
              </w:rPr>
              <w:t>PRO</w:t>
            </w:r>
            <w:r w:rsidR="0091431E" w:rsidRPr="001B53A8">
              <w:rPr>
                <w:sz w:val="22"/>
                <w:szCs w:val="22"/>
                <w:lang w:val="sr-Latn-BA"/>
              </w:rPr>
              <w:t xml:space="preserve"> </w:t>
            </w:r>
            <w:r w:rsidRPr="001B53A8">
              <w:rPr>
                <w:sz w:val="22"/>
                <w:szCs w:val="22"/>
                <w:lang w:val="sr-Latn-BA"/>
              </w:rPr>
              <w:t>FIN</w:t>
            </w:r>
            <w:r w:rsidR="0091431E" w:rsidRPr="001B53A8">
              <w:rPr>
                <w:sz w:val="22"/>
                <w:szCs w:val="22"/>
                <w:lang w:val="sr-Latn-BA"/>
              </w:rPr>
              <w:t xml:space="preserve">“ </w:t>
            </w:r>
            <w:r w:rsidRPr="001B53A8">
              <w:rPr>
                <w:sz w:val="22"/>
                <w:szCs w:val="22"/>
                <w:lang w:val="sr-Latn-BA"/>
              </w:rPr>
              <w:t>d</w:t>
            </w:r>
            <w:r w:rsidR="0091431E" w:rsidRPr="001B53A8">
              <w:rPr>
                <w:sz w:val="22"/>
                <w:szCs w:val="22"/>
                <w:lang w:val="sr-Latn-BA"/>
              </w:rPr>
              <w:t>.</w:t>
            </w:r>
            <w:r w:rsidRPr="001B53A8">
              <w:rPr>
                <w:sz w:val="22"/>
                <w:szCs w:val="22"/>
                <w:lang w:val="sr-Latn-BA"/>
              </w:rPr>
              <w:t>o</w:t>
            </w:r>
            <w:r w:rsidR="0091431E" w:rsidRPr="001B53A8">
              <w:rPr>
                <w:sz w:val="22"/>
                <w:szCs w:val="22"/>
                <w:lang w:val="sr-Latn-BA"/>
              </w:rPr>
              <w:t>.</w:t>
            </w:r>
            <w:r w:rsidRPr="001B53A8">
              <w:rPr>
                <w:sz w:val="22"/>
                <w:szCs w:val="22"/>
                <w:lang w:val="sr-Latn-BA"/>
              </w:rPr>
              <w:t>o</w:t>
            </w:r>
            <w:r w:rsidR="0091431E" w:rsidRPr="001B53A8">
              <w:rPr>
                <w:sz w:val="22"/>
                <w:szCs w:val="22"/>
                <w:lang w:val="sr-Latn-BA"/>
              </w:rPr>
              <w:t xml:space="preserve">. </w:t>
            </w:r>
            <w:r w:rsidRPr="001B53A8">
              <w:rPr>
                <w:sz w:val="22"/>
                <w:szCs w:val="22"/>
                <w:lang w:val="sr-Latn-BA"/>
              </w:rPr>
              <w:t>Istočno</w:t>
            </w:r>
            <w:r w:rsidR="0091431E" w:rsidRPr="001B53A8">
              <w:rPr>
                <w:sz w:val="22"/>
                <w:szCs w:val="22"/>
                <w:lang w:val="sr-Latn-BA"/>
              </w:rPr>
              <w:t xml:space="preserve"> </w:t>
            </w:r>
            <w:r w:rsidRPr="001B53A8">
              <w:rPr>
                <w:sz w:val="22"/>
                <w:szCs w:val="22"/>
                <w:lang w:val="sr-Latn-BA"/>
              </w:rPr>
              <w:t>Sarajevo</w:t>
            </w:r>
          </w:p>
        </w:tc>
        <w:tc>
          <w:tcPr>
            <w:tcW w:w="2127" w:type="dxa"/>
            <w:shd w:val="clear" w:color="auto" w:fill="auto"/>
            <w:vAlign w:val="center"/>
          </w:tcPr>
          <w:p w14:paraId="397E5780" w14:textId="7946E1B2" w:rsidR="0091431E" w:rsidRPr="001B53A8" w:rsidRDefault="0091431E" w:rsidP="00003F34">
            <w:pPr>
              <w:spacing w:before="0" w:after="60" w:line="240" w:lineRule="auto"/>
              <w:ind w:firstLine="0"/>
              <w:jc w:val="center"/>
              <w:rPr>
                <w:sz w:val="22"/>
                <w:szCs w:val="22"/>
                <w:lang w:val="sr-Latn-BA"/>
              </w:rPr>
            </w:pPr>
            <w:r w:rsidRPr="001B53A8">
              <w:rPr>
                <w:sz w:val="22"/>
                <w:szCs w:val="22"/>
                <w:lang w:val="sr-Latn-BA"/>
              </w:rPr>
              <w:t>8 (</w:t>
            </w:r>
            <w:r w:rsidR="00003F34" w:rsidRPr="001B53A8">
              <w:rPr>
                <w:sz w:val="22"/>
                <w:szCs w:val="22"/>
                <w:lang w:val="sr-Latn-BA"/>
              </w:rPr>
              <w:t>obveznice</w:t>
            </w:r>
            <w:r w:rsidRPr="001B53A8">
              <w:rPr>
                <w:sz w:val="22"/>
                <w:szCs w:val="22"/>
                <w:lang w:val="sr-Latn-BA"/>
              </w:rPr>
              <w:t>)</w:t>
            </w:r>
          </w:p>
        </w:tc>
        <w:tc>
          <w:tcPr>
            <w:tcW w:w="1559" w:type="dxa"/>
            <w:shd w:val="clear" w:color="auto" w:fill="auto"/>
            <w:vAlign w:val="center"/>
          </w:tcPr>
          <w:p w14:paraId="3EEF95DA"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1.650.000</w:t>
            </w:r>
          </w:p>
        </w:tc>
        <w:tc>
          <w:tcPr>
            <w:tcW w:w="1417" w:type="dxa"/>
            <w:shd w:val="clear" w:color="auto" w:fill="auto"/>
            <w:vAlign w:val="center"/>
          </w:tcPr>
          <w:p w14:paraId="0854A98F" w14:textId="77777777" w:rsidR="0091431E" w:rsidRPr="001B53A8" w:rsidRDefault="0091431E" w:rsidP="00003F34">
            <w:pPr>
              <w:spacing w:before="0" w:after="60" w:line="240" w:lineRule="auto"/>
              <w:ind w:firstLine="0"/>
              <w:jc w:val="right"/>
              <w:rPr>
                <w:sz w:val="22"/>
                <w:szCs w:val="22"/>
                <w:lang w:val="sr-Latn-BA"/>
              </w:rPr>
            </w:pPr>
            <w:r w:rsidRPr="001B53A8">
              <w:rPr>
                <w:sz w:val="22"/>
                <w:szCs w:val="22"/>
                <w:lang w:val="sr-Latn-BA"/>
              </w:rPr>
              <w:t>1.650.000</w:t>
            </w:r>
          </w:p>
        </w:tc>
      </w:tr>
      <w:tr w:rsidR="0091431E" w:rsidRPr="001B53A8" w14:paraId="01F93B4F" w14:textId="77777777" w:rsidTr="0091431E">
        <w:trPr>
          <w:trHeight w:val="264"/>
        </w:trPr>
        <w:tc>
          <w:tcPr>
            <w:tcW w:w="8973" w:type="dxa"/>
            <w:gridSpan w:val="5"/>
            <w:shd w:val="clear" w:color="auto" w:fill="C6D9F1" w:themeFill="text2" w:themeFillTint="33"/>
            <w:noWrap/>
            <w:vAlign w:val="center"/>
            <w:hideMark/>
          </w:tcPr>
          <w:p w14:paraId="2B83FFCE" w14:textId="7DB1D43F" w:rsidR="0091431E" w:rsidRPr="001B53A8" w:rsidRDefault="00003F34" w:rsidP="00003F34">
            <w:pPr>
              <w:spacing w:before="0" w:after="60" w:line="240" w:lineRule="auto"/>
              <w:ind w:firstLine="0"/>
              <w:jc w:val="center"/>
              <w:rPr>
                <w:b/>
                <w:bCs/>
                <w:sz w:val="22"/>
                <w:szCs w:val="22"/>
                <w:lang w:val="sr-Latn-BA" w:eastAsia="bs-Latn-BA"/>
              </w:rPr>
            </w:pPr>
            <w:r w:rsidRPr="001B53A8">
              <w:rPr>
                <w:b/>
                <w:bCs/>
                <w:sz w:val="22"/>
                <w:szCs w:val="22"/>
                <w:lang w:val="sr-Latn-BA" w:eastAsia="bs-Latn-BA"/>
              </w:rPr>
              <w:t>EMISIJE</w:t>
            </w:r>
            <w:r w:rsidR="0091431E" w:rsidRPr="001B53A8">
              <w:rPr>
                <w:b/>
                <w:bCs/>
                <w:sz w:val="22"/>
                <w:szCs w:val="22"/>
                <w:lang w:val="sr-Latn-BA" w:eastAsia="bs-Latn-BA"/>
              </w:rPr>
              <w:t xml:space="preserve"> </w:t>
            </w:r>
            <w:r w:rsidRPr="001B53A8">
              <w:rPr>
                <w:b/>
                <w:bCs/>
                <w:sz w:val="22"/>
                <w:szCs w:val="22"/>
                <w:lang w:val="sr-Latn-BA" w:eastAsia="bs-Latn-BA"/>
              </w:rPr>
              <w:t>BEZ</w:t>
            </w:r>
            <w:r w:rsidR="0091431E" w:rsidRPr="001B53A8">
              <w:rPr>
                <w:b/>
                <w:bCs/>
                <w:sz w:val="22"/>
                <w:szCs w:val="22"/>
                <w:lang w:val="sr-Latn-BA" w:eastAsia="bs-Latn-BA"/>
              </w:rPr>
              <w:t xml:space="preserve"> </w:t>
            </w:r>
            <w:r w:rsidRPr="001B53A8">
              <w:rPr>
                <w:b/>
                <w:bCs/>
                <w:sz w:val="22"/>
                <w:szCs w:val="22"/>
                <w:lang w:val="sr-Latn-BA" w:eastAsia="bs-Latn-BA"/>
              </w:rPr>
              <w:t>OBAVEZE</w:t>
            </w:r>
            <w:r w:rsidR="0091431E" w:rsidRPr="001B53A8">
              <w:rPr>
                <w:b/>
                <w:bCs/>
                <w:sz w:val="22"/>
                <w:szCs w:val="22"/>
                <w:lang w:val="sr-Latn-BA" w:eastAsia="bs-Latn-BA"/>
              </w:rPr>
              <w:t xml:space="preserve"> </w:t>
            </w:r>
            <w:r w:rsidRPr="001B53A8">
              <w:rPr>
                <w:b/>
                <w:bCs/>
                <w:sz w:val="22"/>
                <w:szCs w:val="22"/>
                <w:lang w:val="sr-Latn-BA" w:eastAsia="bs-Latn-BA"/>
              </w:rPr>
              <w:t>OBJAVLjIVANјA</w:t>
            </w:r>
            <w:r w:rsidR="0091431E" w:rsidRPr="001B53A8">
              <w:rPr>
                <w:b/>
                <w:bCs/>
                <w:sz w:val="22"/>
                <w:szCs w:val="22"/>
                <w:lang w:val="sr-Latn-BA" w:eastAsia="bs-Latn-BA"/>
              </w:rPr>
              <w:t xml:space="preserve"> </w:t>
            </w:r>
            <w:r w:rsidRPr="001B53A8">
              <w:rPr>
                <w:b/>
                <w:bCs/>
                <w:sz w:val="22"/>
                <w:szCs w:val="22"/>
                <w:lang w:val="sr-Latn-BA" w:eastAsia="bs-Latn-BA"/>
              </w:rPr>
              <w:t>PROSPEKTA</w:t>
            </w:r>
          </w:p>
        </w:tc>
      </w:tr>
      <w:tr w:rsidR="0091431E" w:rsidRPr="001B53A8" w14:paraId="2B8C8FF1" w14:textId="77777777" w:rsidTr="0091431E">
        <w:trPr>
          <w:trHeight w:val="191"/>
        </w:trPr>
        <w:tc>
          <w:tcPr>
            <w:tcW w:w="8973" w:type="dxa"/>
            <w:gridSpan w:val="5"/>
            <w:shd w:val="clear" w:color="auto" w:fill="DBE5F1" w:themeFill="accent1" w:themeFillTint="33"/>
            <w:noWrap/>
            <w:vAlign w:val="bottom"/>
          </w:tcPr>
          <w:p w14:paraId="51650563" w14:textId="5AF7242B" w:rsidR="0091431E" w:rsidRPr="001B53A8" w:rsidRDefault="00003F34" w:rsidP="00003F34">
            <w:pPr>
              <w:spacing w:before="0" w:after="60" w:line="240" w:lineRule="auto"/>
              <w:ind w:firstLine="0"/>
              <w:jc w:val="center"/>
              <w:rPr>
                <w:b/>
                <w:bCs/>
                <w:sz w:val="22"/>
                <w:szCs w:val="22"/>
                <w:lang w:val="sr-Latn-BA" w:eastAsia="bs-Latn-BA"/>
              </w:rPr>
            </w:pPr>
            <w:r w:rsidRPr="001B53A8">
              <w:rPr>
                <w:b/>
                <w:bCs/>
                <w:sz w:val="22"/>
                <w:szCs w:val="22"/>
                <w:lang w:val="sr-Latn-BA" w:eastAsia="bs-Latn-BA"/>
              </w:rPr>
              <w:t>Ponuda</w:t>
            </w:r>
            <w:r w:rsidR="0091431E" w:rsidRPr="001B53A8">
              <w:rPr>
                <w:b/>
                <w:bCs/>
                <w:sz w:val="22"/>
                <w:szCs w:val="22"/>
                <w:lang w:val="sr-Latn-BA" w:eastAsia="bs-Latn-BA"/>
              </w:rPr>
              <w:t xml:space="preserve"> </w:t>
            </w:r>
            <w:r w:rsidRPr="001B53A8">
              <w:rPr>
                <w:b/>
                <w:bCs/>
                <w:sz w:val="22"/>
                <w:szCs w:val="22"/>
                <w:lang w:val="sr-Latn-BA" w:eastAsia="bs-Latn-BA"/>
              </w:rPr>
              <w:t>za</w:t>
            </w:r>
            <w:r w:rsidR="0091431E" w:rsidRPr="001B53A8">
              <w:rPr>
                <w:b/>
                <w:bCs/>
                <w:sz w:val="22"/>
                <w:szCs w:val="22"/>
                <w:lang w:val="sr-Latn-BA" w:eastAsia="bs-Latn-BA"/>
              </w:rPr>
              <w:t xml:space="preserve"> </w:t>
            </w:r>
            <w:r w:rsidRPr="001B53A8">
              <w:rPr>
                <w:b/>
                <w:bCs/>
                <w:sz w:val="22"/>
                <w:szCs w:val="22"/>
                <w:lang w:val="sr-Latn-BA" w:eastAsia="bs-Latn-BA"/>
              </w:rPr>
              <w:t>kvalifikovane</w:t>
            </w:r>
            <w:r w:rsidR="0091431E" w:rsidRPr="001B53A8">
              <w:rPr>
                <w:b/>
                <w:bCs/>
                <w:sz w:val="22"/>
                <w:szCs w:val="22"/>
                <w:lang w:val="sr-Latn-BA" w:eastAsia="bs-Latn-BA"/>
              </w:rPr>
              <w:t xml:space="preserve"> </w:t>
            </w:r>
            <w:r w:rsidRPr="001B53A8">
              <w:rPr>
                <w:b/>
                <w:bCs/>
                <w:sz w:val="22"/>
                <w:szCs w:val="22"/>
                <w:lang w:val="sr-Latn-BA" w:eastAsia="bs-Latn-BA"/>
              </w:rPr>
              <w:t>investitore</w:t>
            </w:r>
          </w:p>
        </w:tc>
      </w:tr>
      <w:tr w:rsidR="0091431E" w:rsidRPr="001B53A8" w14:paraId="193AD7D8" w14:textId="77777777" w:rsidTr="0091431E">
        <w:trPr>
          <w:trHeight w:val="107"/>
        </w:trPr>
        <w:tc>
          <w:tcPr>
            <w:tcW w:w="610" w:type="dxa"/>
            <w:shd w:val="clear" w:color="000000" w:fill="FFFFFF"/>
            <w:vAlign w:val="center"/>
          </w:tcPr>
          <w:p w14:paraId="4A7AED63" w14:textId="77777777" w:rsidR="0091431E" w:rsidRPr="001B53A8" w:rsidRDefault="0091431E" w:rsidP="00003F34">
            <w:pPr>
              <w:spacing w:before="0" w:after="60" w:line="240" w:lineRule="auto"/>
              <w:ind w:firstLine="0"/>
              <w:jc w:val="center"/>
              <w:rPr>
                <w:bCs/>
                <w:sz w:val="22"/>
                <w:szCs w:val="22"/>
                <w:lang w:val="sr-Latn-BA" w:eastAsia="bs-Latn-BA"/>
              </w:rPr>
            </w:pPr>
            <w:r w:rsidRPr="001B53A8">
              <w:rPr>
                <w:bCs/>
                <w:sz w:val="22"/>
                <w:szCs w:val="22"/>
                <w:lang w:val="sr-Latn-BA" w:eastAsia="bs-Latn-BA"/>
              </w:rPr>
              <w:t>17.</w:t>
            </w:r>
          </w:p>
        </w:tc>
        <w:tc>
          <w:tcPr>
            <w:tcW w:w="3260" w:type="dxa"/>
            <w:shd w:val="clear" w:color="auto" w:fill="auto"/>
            <w:vAlign w:val="center"/>
          </w:tcPr>
          <w:p w14:paraId="68F1CAD3" w14:textId="058C6082" w:rsidR="0091431E" w:rsidRPr="001B53A8" w:rsidRDefault="0091431E" w:rsidP="00003F34">
            <w:pPr>
              <w:spacing w:before="0" w:after="60" w:line="240" w:lineRule="auto"/>
              <w:ind w:firstLine="0"/>
              <w:jc w:val="left"/>
              <w:outlineLvl w:val="1"/>
              <w:rPr>
                <w:sz w:val="22"/>
                <w:szCs w:val="22"/>
                <w:lang w:val="sr-Latn-BA"/>
              </w:rPr>
            </w:pPr>
            <w:r w:rsidRPr="001B53A8">
              <w:rPr>
                <w:sz w:val="22"/>
                <w:szCs w:val="22"/>
                <w:lang w:val="sr-Latn-BA"/>
              </w:rPr>
              <w:t xml:space="preserve">„Premium finance“ </w:t>
            </w:r>
            <w:r w:rsidR="00003F34" w:rsidRPr="001B53A8">
              <w:rPr>
                <w:sz w:val="22"/>
                <w:szCs w:val="22"/>
                <w:lang w:val="sr-Latn-BA"/>
              </w:rPr>
              <w:t>a</w:t>
            </w:r>
            <w:r w:rsidRPr="001B53A8">
              <w:rPr>
                <w:sz w:val="22"/>
                <w:szCs w:val="22"/>
                <w:lang w:val="sr-Latn-BA"/>
              </w:rPr>
              <w:t>.</w:t>
            </w:r>
            <w:r w:rsidR="00003F34" w:rsidRPr="001B53A8">
              <w:rPr>
                <w:sz w:val="22"/>
                <w:szCs w:val="22"/>
                <w:lang w:val="sr-Latn-BA"/>
              </w:rPr>
              <w:t>d</w:t>
            </w:r>
            <w:r w:rsidRPr="001B53A8">
              <w:rPr>
                <w:sz w:val="22"/>
                <w:szCs w:val="22"/>
                <w:lang w:val="sr-Latn-BA"/>
              </w:rPr>
              <w:t xml:space="preserve">. </w:t>
            </w:r>
            <w:r w:rsidR="00003F34" w:rsidRPr="001B53A8">
              <w:rPr>
                <w:sz w:val="22"/>
                <w:szCs w:val="22"/>
                <w:lang w:val="sr-Latn-BA"/>
              </w:rPr>
              <w:t>Banja</w:t>
            </w:r>
            <w:r w:rsidRPr="001B53A8">
              <w:rPr>
                <w:sz w:val="22"/>
                <w:szCs w:val="22"/>
                <w:lang w:val="sr-Latn-BA"/>
              </w:rPr>
              <w:t xml:space="preserve"> </w:t>
            </w:r>
            <w:r w:rsidR="00003F34" w:rsidRPr="001B53A8">
              <w:rPr>
                <w:sz w:val="22"/>
                <w:szCs w:val="22"/>
                <w:lang w:val="sr-Latn-BA"/>
              </w:rPr>
              <w:t>Luka</w:t>
            </w:r>
          </w:p>
        </w:tc>
        <w:tc>
          <w:tcPr>
            <w:tcW w:w="2127" w:type="dxa"/>
            <w:shd w:val="clear" w:color="auto" w:fill="auto"/>
            <w:vAlign w:val="center"/>
          </w:tcPr>
          <w:p w14:paraId="1EFEF505" w14:textId="43F248B7" w:rsidR="0091431E" w:rsidRPr="001B53A8" w:rsidRDefault="0091431E" w:rsidP="00003F34">
            <w:pPr>
              <w:spacing w:before="0" w:after="60" w:line="240" w:lineRule="auto"/>
              <w:ind w:firstLine="0"/>
              <w:jc w:val="center"/>
              <w:rPr>
                <w:sz w:val="22"/>
                <w:szCs w:val="22"/>
                <w:lang w:val="sr-Latn-BA"/>
              </w:rPr>
            </w:pPr>
            <w:r w:rsidRPr="001B53A8">
              <w:rPr>
                <w:sz w:val="22"/>
                <w:szCs w:val="22"/>
                <w:lang w:val="sr-Latn-BA"/>
              </w:rPr>
              <w:t>2 (</w:t>
            </w:r>
            <w:r w:rsidR="00003F34" w:rsidRPr="001B53A8">
              <w:rPr>
                <w:sz w:val="22"/>
                <w:szCs w:val="22"/>
                <w:lang w:val="sr-Latn-BA"/>
              </w:rPr>
              <w:t>akcije</w:t>
            </w:r>
            <w:r w:rsidRPr="001B53A8">
              <w:rPr>
                <w:sz w:val="22"/>
                <w:szCs w:val="22"/>
                <w:lang w:val="sr-Latn-BA"/>
              </w:rPr>
              <w:t>)</w:t>
            </w:r>
          </w:p>
        </w:tc>
        <w:tc>
          <w:tcPr>
            <w:tcW w:w="1559" w:type="dxa"/>
            <w:shd w:val="clear" w:color="000000" w:fill="FFFFFF"/>
            <w:vAlign w:val="center"/>
          </w:tcPr>
          <w:p w14:paraId="360A77AA" w14:textId="77777777" w:rsidR="0091431E" w:rsidRPr="001B53A8" w:rsidRDefault="0091431E" w:rsidP="00003F34">
            <w:pPr>
              <w:spacing w:before="0" w:after="60" w:line="240" w:lineRule="auto"/>
              <w:ind w:firstLine="0"/>
              <w:jc w:val="right"/>
              <w:outlineLvl w:val="1"/>
              <w:rPr>
                <w:sz w:val="22"/>
                <w:szCs w:val="22"/>
                <w:lang w:val="sr-Latn-BA"/>
              </w:rPr>
            </w:pPr>
            <w:r w:rsidRPr="001B53A8">
              <w:rPr>
                <w:sz w:val="22"/>
                <w:szCs w:val="22"/>
                <w:lang w:val="sr-Latn-BA"/>
              </w:rPr>
              <w:t>320.000</w:t>
            </w:r>
          </w:p>
        </w:tc>
        <w:tc>
          <w:tcPr>
            <w:tcW w:w="1417" w:type="dxa"/>
            <w:shd w:val="clear" w:color="000000" w:fill="FFFFFF"/>
            <w:vAlign w:val="center"/>
          </w:tcPr>
          <w:p w14:paraId="4A9D8D19" w14:textId="77777777" w:rsidR="0091431E" w:rsidRPr="001B53A8" w:rsidRDefault="0091431E" w:rsidP="00003F34">
            <w:pPr>
              <w:spacing w:before="0" w:after="60" w:line="240" w:lineRule="auto"/>
              <w:ind w:firstLine="0"/>
              <w:jc w:val="right"/>
              <w:rPr>
                <w:bCs/>
                <w:sz w:val="22"/>
                <w:szCs w:val="22"/>
                <w:lang w:val="sr-Latn-BA"/>
              </w:rPr>
            </w:pPr>
            <w:r w:rsidRPr="001B53A8">
              <w:rPr>
                <w:sz w:val="22"/>
                <w:szCs w:val="22"/>
                <w:lang w:val="sr-Latn-BA"/>
              </w:rPr>
              <w:t>320.000</w:t>
            </w:r>
          </w:p>
        </w:tc>
      </w:tr>
      <w:tr w:rsidR="0091431E" w:rsidRPr="001B53A8" w14:paraId="54CD4888" w14:textId="77777777" w:rsidTr="0091431E">
        <w:trPr>
          <w:trHeight w:val="191"/>
        </w:trPr>
        <w:tc>
          <w:tcPr>
            <w:tcW w:w="8973" w:type="dxa"/>
            <w:gridSpan w:val="5"/>
            <w:shd w:val="clear" w:color="auto" w:fill="DBE5F1" w:themeFill="accent1" w:themeFillTint="33"/>
            <w:noWrap/>
            <w:vAlign w:val="bottom"/>
            <w:hideMark/>
          </w:tcPr>
          <w:p w14:paraId="01773232" w14:textId="585CBCBD" w:rsidR="0091431E" w:rsidRPr="001B53A8" w:rsidRDefault="00003F34" w:rsidP="00003F34">
            <w:pPr>
              <w:spacing w:before="0" w:after="60" w:line="240" w:lineRule="auto"/>
              <w:ind w:firstLine="0"/>
              <w:jc w:val="center"/>
              <w:rPr>
                <w:b/>
                <w:bCs/>
                <w:sz w:val="22"/>
                <w:szCs w:val="22"/>
                <w:lang w:val="sr-Latn-BA" w:eastAsia="bs-Latn-BA"/>
              </w:rPr>
            </w:pPr>
            <w:r w:rsidRPr="001B53A8">
              <w:rPr>
                <w:b/>
                <w:bCs/>
                <w:sz w:val="22"/>
                <w:szCs w:val="22"/>
                <w:lang w:val="sr-Latn-BA" w:eastAsia="bs-Latn-BA"/>
              </w:rPr>
              <w:t>Pretvaranje</w:t>
            </w:r>
            <w:r w:rsidR="0091431E" w:rsidRPr="001B53A8">
              <w:rPr>
                <w:b/>
                <w:bCs/>
                <w:sz w:val="22"/>
                <w:szCs w:val="22"/>
                <w:lang w:val="sr-Latn-BA" w:eastAsia="bs-Latn-BA"/>
              </w:rPr>
              <w:t xml:space="preserve"> </w:t>
            </w:r>
            <w:r w:rsidRPr="001B53A8">
              <w:rPr>
                <w:b/>
                <w:bCs/>
                <w:sz w:val="22"/>
                <w:szCs w:val="22"/>
                <w:lang w:val="sr-Latn-BA" w:eastAsia="bs-Latn-BA"/>
              </w:rPr>
              <w:t>rezervi</w:t>
            </w:r>
            <w:r w:rsidR="0091431E" w:rsidRPr="001B53A8">
              <w:rPr>
                <w:b/>
                <w:bCs/>
                <w:sz w:val="22"/>
                <w:szCs w:val="22"/>
                <w:lang w:val="sr-Latn-BA" w:eastAsia="bs-Latn-BA"/>
              </w:rPr>
              <w:t xml:space="preserve"> </w:t>
            </w:r>
            <w:r w:rsidRPr="001B53A8">
              <w:rPr>
                <w:b/>
                <w:bCs/>
                <w:sz w:val="22"/>
                <w:szCs w:val="22"/>
                <w:lang w:val="sr-Latn-BA" w:eastAsia="bs-Latn-BA"/>
              </w:rPr>
              <w:t>i</w:t>
            </w:r>
            <w:r w:rsidR="0091431E" w:rsidRPr="001B53A8">
              <w:rPr>
                <w:b/>
                <w:bCs/>
                <w:sz w:val="22"/>
                <w:szCs w:val="22"/>
                <w:lang w:val="sr-Latn-BA" w:eastAsia="bs-Latn-BA"/>
              </w:rPr>
              <w:t xml:space="preserve"> </w:t>
            </w:r>
            <w:r w:rsidRPr="001B53A8">
              <w:rPr>
                <w:b/>
                <w:bCs/>
                <w:sz w:val="22"/>
                <w:szCs w:val="22"/>
                <w:lang w:val="sr-Latn-BA" w:eastAsia="bs-Latn-BA"/>
              </w:rPr>
              <w:t>neraspoređene</w:t>
            </w:r>
            <w:r w:rsidR="0091431E" w:rsidRPr="001B53A8">
              <w:rPr>
                <w:b/>
                <w:bCs/>
                <w:sz w:val="22"/>
                <w:szCs w:val="22"/>
                <w:lang w:val="sr-Latn-BA" w:eastAsia="bs-Latn-BA"/>
              </w:rPr>
              <w:t xml:space="preserve"> </w:t>
            </w:r>
            <w:r w:rsidRPr="001B53A8">
              <w:rPr>
                <w:b/>
                <w:bCs/>
                <w:sz w:val="22"/>
                <w:szCs w:val="22"/>
                <w:lang w:val="sr-Latn-BA" w:eastAsia="bs-Latn-BA"/>
              </w:rPr>
              <w:t>dobiti</w:t>
            </w:r>
            <w:r w:rsidR="0091431E" w:rsidRPr="001B53A8">
              <w:rPr>
                <w:b/>
                <w:bCs/>
                <w:sz w:val="22"/>
                <w:szCs w:val="22"/>
                <w:lang w:val="sr-Latn-BA" w:eastAsia="bs-Latn-BA"/>
              </w:rPr>
              <w:t xml:space="preserve"> </w:t>
            </w:r>
            <w:r w:rsidRPr="001B53A8">
              <w:rPr>
                <w:b/>
                <w:bCs/>
                <w:sz w:val="22"/>
                <w:szCs w:val="22"/>
                <w:lang w:val="sr-Latn-BA" w:eastAsia="bs-Latn-BA"/>
              </w:rPr>
              <w:t>u</w:t>
            </w:r>
            <w:r w:rsidR="0091431E" w:rsidRPr="001B53A8">
              <w:rPr>
                <w:b/>
                <w:bCs/>
                <w:sz w:val="22"/>
                <w:szCs w:val="22"/>
                <w:lang w:val="sr-Latn-BA" w:eastAsia="bs-Latn-BA"/>
              </w:rPr>
              <w:t xml:space="preserve"> </w:t>
            </w:r>
            <w:r w:rsidRPr="001B53A8">
              <w:rPr>
                <w:b/>
                <w:bCs/>
                <w:sz w:val="22"/>
                <w:szCs w:val="22"/>
                <w:lang w:val="sr-Latn-BA" w:eastAsia="bs-Latn-BA"/>
              </w:rPr>
              <w:t>osnovni</w:t>
            </w:r>
            <w:r w:rsidR="0091431E" w:rsidRPr="001B53A8">
              <w:rPr>
                <w:b/>
                <w:bCs/>
                <w:sz w:val="22"/>
                <w:szCs w:val="22"/>
                <w:lang w:val="sr-Latn-BA" w:eastAsia="bs-Latn-BA"/>
              </w:rPr>
              <w:t xml:space="preserve"> </w:t>
            </w:r>
            <w:r w:rsidRPr="001B53A8">
              <w:rPr>
                <w:b/>
                <w:bCs/>
                <w:sz w:val="22"/>
                <w:szCs w:val="22"/>
                <w:lang w:val="sr-Latn-BA" w:eastAsia="bs-Latn-BA"/>
              </w:rPr>
              <w:t>kapital</w:t>
            </w:r>
          </w:p>
        </w:tc>
      </w:tr>
      <w:tr w:rsidR="0091431E" w:rsidRPr="001B53A8" w14:paraId="76FF8B54" w14:textId="77777777" w:rsidTr="0091431E">
        <w:trPr>
          <w:trHeight w:val="107"/>
        </w:trPr>
        <w:tc>
          <w:tcPr>
            <w:tcW w:w="610" w:type="dxa"/>
            <w:shd w:val="clear" w:color="000000" w:fill="FFFFFF"/>
            <w:vAlign w:val="center"/>
          </w:tcPr>
          <w:p w14:paraId="6264753A" w14:textId="77777777" w:rsidR="0091431E" w:rsidRPr="001B53A8" w:rsidRDefault="0091431E" w:rsidP="00003F34">
            <w:pPr>
              <w:spacing w:before="0" w:after="60" w:line="240" w:lineRule="auto"/>
              <w:ind w:firstLine="0"/>
              <w:jc w:val="center"/>
              <w:rPr>
                <w:bCs/>
                <w:sz w:val="22"/>
                <w:szCs w:val="22"/>
                <w:lang w:val="sr-Latn-BA" w:eastAsia="bs-Latn-BA"/>
              </w:rPr>
            </w:pPr>
            <w:r w:rsidRPr="001B53A8">
              <w:rPr>
                <w:bCs/>
                <w:sz w:val="22"/>
                <w:szCs w:val="22"/>
                <w:lang w:val="sr-Latn-BA" w:eastAsia="bs-Latn-BA"/>
              </w:rPr>
              <w:t>18.</w:t>
            </w:r>
          </w:p>
        </w:tc>
        <w:tc>
          <w:tcPr>
            <w:tcW w:w="3260" w:type="dxa"/>
            <w:shd w:val="clear" w:color="auto" w:fill="auto"/>
            <w:vAlign w:val="center"/>
          </w:tcPr>
          <w:p w14:paraId="42F225FC" w14:textId="6DE1ABA5" w:rsidR="0091431E" w:rsidRPr="001B53A8" w:rsidRDefault="00003F34" w:rsidP="00003F34">
            <w:pPr>
              <w:spacing w:before="0" w:after="60" w:line="240" w:lineRule="auto"/>
              <w:ind w:firstLine="0"/>
              <w:jc w:val="left"/>
              <w:outlineLvl w:val="1"/>
              <w:rPr>
                <w:sz w:val="22"/>
                <w:szCs w:val="22"/>
                <w:lang w:val="sr-Latn-BA"/>
              </w:rPr>
            </w:pPr>
            <w:r w:rsidRPr="001B53A8">
              <w:rPr>
                <w:sz w:val="22"/>
                <w:szCs w:val="22"/>
                <w:lang w:val="sr-Latn-BA"/>
              </w:rPr>
              <w:t>Akcionarsko</w:t>
            </w:r>
            <w:r w:rsidR="0091431E" w:rsidRPr="001B53A8">
              <w:rPr>
                <w:sz w:val="22"/>
                <w:szCs w:val="22"/>
                <w:lang w:val="sr-Latn-BA"/>
              </w:rPr>
              <w:t xml:space="preserve"> </w:t>
            </w:r>
            <w:r w:rsidRPr="001B53A8">
              <w:rPr>
                <w:sz w:val="22"/>
                <w:szCs w:val="22"/>
                <w:lang w:val="sr-Latn-BA"/>
              </w:rPr>
              <w:t>društvo</w:t>
            </w:r>
            <w:r w:rsidR="0091431E" w:rsidRPr="001B53A8">
              <w:rPr>
                <w:sz w:val="22"/>
                <w:szCs w:val="22"/>
                <w:lang w:val="sr-Latn-BA"/>
              </w:rPr>
              <w:t xml:space="preserve"> </w:t>
            </w:r>
            <w:r w:rsidRPr="001B53A8">
              <w:rPr>
                <w:sz w:val="22"/>
                <w:szCs w:val="22"/>
                <w:lang w:val="sr-Latn-BA"/>
              </w:rPr>
              <w:t>za</w:t>
            </w:r>
            <w:r w:rsidR="0091431E" w:rsidRPr="001B53A8">
              <w:rPr>
                <w:sz w:val="22"/>
                <w:szCs w:val="22"/>
                <w:lang w:val="sr-Latn-BA"/>
              </w:rPr>
              <w:t xml:space="preserve"> </w:t>
            </w:r>
            <w:r w:rsidRPr="001B53A8">
              <w:rPr>
                <w:sz w:val="22"/>
                <w:szCs w:val="22"/>
                <w:lang w:val="sr-Latn-BA"/>
              </w:rPr>
              <w:t>osiguranje</w:t>
            </w:r>
            <w:r w:rsidR="0091431E" w:rsidRPr="001B53A8">
              <w:rPr>
                <w:sz w:val="22"/>
                <w:szCs w:val="22"/>
                <w:lang w:val="sr-Latn-BA"/>
              </w:rPr>
              <w:t xml:space="preserve"> „</w:t>
            </w:r>
            <w:r w:rsidRPr="001B53A8">
              <w:rPr>
                <w:sz w:val="22"/>
                <w:szCs w:val="22"/>
                <w:lang w:val="sr-Latn-BA"/>
              </w:rPr>
              <w:t>Osiguranje</w:t>
            </w:r>
            <w:r w:rsidR="0091431E" w:rsidRPr="001B53A8">
              <w:rPr>
                <w:sz w:val="22"/>
                <w:szCs w:val="22"/>
                <w:lang w:val="sr-Latn-BA"/>
              </w:rPr>
              <w:t xml:space="preserve"> </w:t>
            </w:r>
            <w:r w:rsidRPr="001B53A8">
              <w:rPr>
                <w:sz w:val="22"/>
                <w:szCs w:val="22"/>
                <w:lang w:val="sr-Latn-BA"/>
              </w:rPr>
              <w:t>Aura</w:t>
            </w:r>
            <w:r w:rsidR="0091431E" w:rsidRPr="001B53A8">
              <w:rPr>
                <w:sz w:val="22"/>
                <w:szCs w:val="22"/>
                <w:lang w:val="sr-Latn-BA"/>
              </w:rPr>
              <w:t xml:space="preserve">“ </w:t>
            </w:r>
            <w:r w:rsidRPr="001B53A8">
              <w:rPr>
                <w:sz w:val="22"/>
                <w:szCs w:val="22"/>
                <w:lang w:val="sr-Latn-BA"/>
              </w:rPr>
              <w:t>Banja</w:t>
            </w:r>
            <w:r w:rsidR="0091431E" w:rsidRPr="001B53A8">
              <w:rPr>
                <w:sz w:val="22"/>
                <w:szCs w:val="22"/>
                <w:lang w:val="sr-Latn-BA"/>
              </w:rPr>
              <w:t xml:space="preserve"> </w:t>
            </w:r>
            <w:r w:rsidRPr="001B53A8">
              <w:rPr>
                <w:sz w:val="22"/>
                <w:szCs w:val="22"/>
                <w:lang w:val="sr-Latn-BA"/>
              </w:rPr>
              <w:t>Luka</w:t>
            </w:r>
          </w:p>
        </w:tc>
        <w:tc>
          <w:tcPr>
            <w:tcW w:w="2127" w:type="dxa"/>
            <w:shd w:val="clear" w:color="auto" w:fill="auto"/>
            <w:vAlign w:val="center"/>
          </w:tcPr>
          <w:p w14:paraId="5EA80E4F" w14:textId="1074435F" w:rsidR="0091431E" w:rsidRPr="001B53A8" w:rsidRDefault="0091431E" w:rsidP="00003F34">
            <w:pPr>
              <w:spacing w:before="0" w:after="60" w:line="240" w:lineRule="auto"/>
              <w:ind w:firstLine="0"/>
              <w:jc w:val="center"/>
              <w:rPr>
                <w:sz w:val="22"/>
                <w:szCs w:val="22"/>
                <w:lang w:val="sr-Latn-BA"/>
              </w:rPr>
            </w:pPr>
            <w:r w:rsidRPr="001B53A8">
              <w:rPr>
                <w:sz w:val="22"/>
                <w:szCs w:val="22"/>
                <w:lang w:val="sr-Latn-BA"/>
              </w:rPr>
              <w:t>5 (</w:t>
            </w:r>
            <w:r w:rsidR="00003F34" w:rsidRPr="001B53A8">
              <w:rPr>
                <w:sz w:val="22"/>
                <w:szCs w:val="22"/>
                <w:lang w:val="sr-Latn-BA"/>
              </w:rPr>
              <w:t>akcije</w:t>
            </w:r>
            <w:r w:rsidRPr="001B53A8">
              <w:rPr>
                <w:sz w:val="22"/>
                <w:szCs w:val="22"/>
                <w:lang w:val="sr-Latn-BA"/>
              </w:rPr>
              <w:t>)</w:t>
            </w:r>
          </w:p>
        </w:tc>
        <w:tc>
          <w:tcPr>
            <w:tcW w:w="1559" w:type="dxa"/>
            <w:shd w:val="clear" w:color="000000" w:fill="FFFFFF"/>
            <w:vAlign w:val="center"/>
          </w:tcPr>
          <w:p w14:paraId="7039DDC3" w14:textId="77777777" w:rsidR="0091431E" w:rsidRPr="001B53A8" w:rsidRDefault="0091431E" w:rsidP="00003F34">
            <w:pPr>
              <w:spacing w:before="0" w:after="60" w:line="240" w:lineRule="auto"/>
              <w:ind w:firstLine="0"/>
              <w:jc w:val="right"/>
              <w:outlineLvl w:val="1"/>
              <w:rPr>
                <w:sz w:val="22"/>
                <w:szCs w:val="22"/>
                <w:lang w:val="sr-Latn-BA"/>
              </w:rPr>
            </w:pPr>
            <w:r w:rsidRPr="001B53A8">
              <w:rPr>
                <w:sz w:val="22"/>
                <w:szCs w:val="22"/>
                <w:lang w:val="sr-Latn-BA"/>
              </w:rPr>
              <w:t>1.000.000</w:t>
            </w:r>
          </w:p>
        </w:tc>
        <w:tc>
          <w:tcPr>
            <w:tcW w:w="1417" w:type="dxa"/>
            <w:shd w:val="clear" w:color="000000" w:fill="FFFFFF"/>
            <w:vAlign w:val="center"/>
          </w:tcPr>
          <w:p w14:paraId="76FD85B6" w14:textId="77777777" w:rsidR="0091431E" w:rsidRPr="001B53A8" w:rsidRDefault="0091431E" w:rsidP="00003F34">
            <w:pPr>
              <w:spacing w:before="0" w:after="60" w:line="240" w:lineRule="auto"/>
              <w:ind w:firstLine="0"/>
              <w:jc w:val="right"/>
              <w:rPr>
                <w:bCs/>
                <w:sz w:val="22"/>
                <w:szCs w:val="22"/>
                <w:lang w:val="sr-Latn-BA"/>
              </w:rPr>
            </w:pPr>
            <w:r w:rsidRPr="001B53A8">
              <w:rPr>
                <w:bCs/>
                <w:sz w:val="22"/>
                <w:szCs w:val="22"/>
                <w:lang w:val="sr-Latn-BA"/>
              </w:rPr>
              <w:t>-</w:t>
            </w:r>
          </w:p>
        </w:tc>
      </w:tr>
      <w:tr w:rsidR="0091431E" w:rsidRPr="001B53A8" w14:paraId="2148D480" w14:textId="77777777" w:rsidTr="0091431E">
        <w:trPr>
          <w:trHeight w:val="107"/>
        </w:trPr>
        <w:tc>
          <w:tcPr>
            <w:tcW w:w="610" w:type="dxa"/>
            <w:shd w:val="clear" w:color="000000" w:fill="FFFFFF"/>
            <w:vAlign w:val="center"/>
          </w:tcPr>
          <w:p w14:paraId="44910B3A" w14:textId="77777777" w:rsidR="0091431E" w:rsidRPr="001B53A8" w:rsidRDefault="0091431E" w:rsidP="00003F34">
            <w:pPr>
              <w:spacing w:before="0" w:after="60" w:line="240" w:lineRule="auto"/>
              <w:ind w:firstLine="0"/>
              <w:jc w:val="center"/>
              <w:rPr>
                <w:bCs/>
                <w:sz w:val="22"/>
                <w:szCs w:val="22"/>
                <w:lang w:val="sr-Latn-BA" w:eastAsia="bs-Latn-BA"/>
              </w:rPr>
            </w:pPr>
            <w:r w:rsidRPr="001B53A8">
              <w:rPr>
                <w:bCs/>
                <w:sz w:val="22"/>
                <w:szCs w:val="22"/>
                <w:lang w:val="sr-Latn-BA" w:eastAsia="bs-Latn-BA"/>
              </w:rPr>
              <w:t>19.</w:t>
            </w:r>
          </w:p>
        </w:tc>
        <w:tc>
          <w:tcPr>
            <w:tcW w:w="3260" w:type="dxa"/>
            <w:shd w:val="clear" w:color="auto" w:fill="auto"/>
            <w:vAlign w:val="center"/>
          </w:tcPr>
          <w:p w14:paraId="46906985" w14:textId="76DCF788" w:rsidR="0091431E" w:rsidRPr="001B53A8" w:rsidRDefault="00003F34" w:rsidP="00003F34">
            <w:pPr>
              <w:spacing w:before="0" w:after="60" w:line="240" w:lineRule="auto"/>
              <w:ind w:firstLine="0"/>
              <w:jc w:val="left"/>
              <w:outlineLvl w:val="1"/>
              <w:rPr>
                <w:sz w:val="22"/>
                <w:szCs w:val="22"/>
                <w:lang w:val="sr-Latn-BA"/>
              </w:rPr>
            </w:pPr>
            <w:r w:rsidRPr="001B53A8">
              <w:rPr>
                <w:sz w:val="22"/>
                <w:szCs w:val="22"/>
                <w:lang w:val="sr-Latn-BA"/>
              </w:rPr>
              <w:t>Akcionarsko</w:t>
            </w:r>
            <w:r w:rsidR="0091431E" w:rsidRPr="001B53A8">
              <w:rPr>
                <w:sz w:val="22"/>
                <w:szCs w:val="22"/>
                <w:lang w:val="sr-Latn-BA"/>
              </w:rPr>
              <w:t xml:space="preserve"> </w:t>
            </w:r>
            <w:r w:rsidRPr="001B53A8">
              <w:rPr>
                <w:sz w:val="22"/>
                <w:szCs w:val="22"/>
                <w:lang w:val="sr-Latn-BA"/>
              </w:rPr>
              <w:t>društvo</w:t>
            </w:r>
            <w:r w:rsidR="0091431E" w:rsidRPr="001B53A8">
              <w:rPr>
                <w:sz w:val="22"/>
                <w:szCs w:val="22"/>
                <w:lang w:val="sr-Latn-BA"/>
              </w:rPr>
              <w:t xml:space="preserve"> </w:t>
            </w:r>
            <w:r w:rsidRPr="001B53A8">
              <w:rPr>
                <w:sz w:val="22"/>
                <w:szCs w:val="22"/>
                <w:lang w:val="sr-Latn-BA"/>
              </w:rPr>
              <w:t>za</w:t>
            </w:r>
            <w:r w:rsidR="0091431E" w:rsidRPr="001B53A8">
              <w:rPr>
                <w:sz w:val="22"/>
                <w:szCs w:val="22"/>
                <w:lang w:val="sr-Latn-BA"/>
              </w:rPr>
              <w:t xml:space="preserve"> </w:t>
            </w:r>
            <w:r w:rsidRPr="001B53A8">
              <w:rPr>
                <w:sz w:val="22"/>
                <w:szCs w:val="22"/>
                <w:lang w:val="sr-Latn-BA"/>
              </w:rPr>
              <w:t>osiguranje</w:t>
            </w:r>
            <w:r w:rsidR="0091431E" w:rsidRPr="001B53A8">
              <w:rPr>
                <w:sz w:val="22"/>
                <w:szCs w:val="22"/>
                <w:lang w:val="sr-Latn-BA"/>
              </w:rPr>
              <w:t xml:space="preserve"> „</w:t>
            </w:r>
            <w:r w:rsidRPr="001B53A8">
              <w:rPr>
                <w:sz w:val="22"/>
                <w:szCs w:val="22"/>
                <w:lang w:val="sr-Latn-BA"/>
              </w:rPr>
              <w:t>Drina</w:t>
            </w:r>
            <w:r w:rsidR="0091431E" w:rsidRPr="001B53A8">
              <w:rPr>
                <w:sz w:val="22"/>
                <w:szCs w:val="22"/>
                <w:lang w:val="sr-Latn-BA"/>
              </w:rPr>
              <w:t xml:space="preserve"> </w:t>
            </w:r>
            <w:r w:rsidRPr="001B53A8">
              <w:rPr>
                <w:sz w:val="22"/>
                <w:szCs w:val="22"/>
                <w:lang w:val="sr-Latn-BA"/>
              </w:rPr>
              <w:t>osiguranje</w:t>
            </w:r>
            <w:r w:rsidR="0091431E" w:rsidRPr="001B53A8">
              <w:rPr>
                <w:sz w:val="22"/>
                <w:szCs w:val="22"/>
                <w:lang w:val="sr-Latn-BA"/>
              </w:rPr>
              <w:t xml:space="preserve">“ </w:t>
            </w:r>
            <w:r w:rsidRPr="001B53A8">
              <w:rPr>
                <w:sz w:val="22"/>
                <w:szCs w:val="22"/>
                <w:lang w:val="sr-Latn-BA"/>
              </w:rPr>
              <w:t>Milići</w:t>
            </w:r>
          </w:p>
        </w:tc>
        <w:tc>
          <w:tcPr>
            <w:tcW w:w="2127" w:type="dxa"/>
            <w:shd w:val="clear" w:color="auto" w:fill="auto"/>
            <w:vAlign w:val="center"/>
          </w:tcPr>
          <w:p w14:paraId="2D2CF5B3" w14:textId="74737B34" w:rsidR="0091431E" w:rsidRPr="001B53A8" w:rsidRDefault="0091431E" w:rsidP="00003F34">
            <w:pPr>
              <w:spacing w:before="0" w:after="60" w:line="240" w:lineRule="auto"/>
              <w:ind w:firstLine="0"/>
              <w:jc w:val="center"/>
              <w:rPr>
                <w:sz w:val="22"/>
                <w:szCs w:val="22"/>
                <w:lang w:val="sr-Latn-BA"/>
              </w:rPr>
            </w:pPr>
            <w:r w:rsidRPr="001B53A8">
              <w:rPr>
                <w:sz w:val="22"/>
                <w:szCs w:val="22"/>
                <w:lang w:val="sr-Latn-BA"/>
              </w:rPr>
              <w:t>11 (</w:t>
            </w:r>
            <w:r w:rsidR="00003F34" w:rsidRPr="001B53A8">
              <w:rPr>
                <w:sz w:val="22"/>
                <w:szCs w:val="22"/>
                <w:lang w:val="sr-Latn-BA"/>
              </w:rPr>
              <w:t>akcije</w:t>
            </w:r>
            <w:r w:rsidRPr="001B53A8">
              <w:rPr>
                <w:sz w:val="22"/>
                <w:szCs w:val="22"/>
                <w:lang w:val="sr-Latn-BA"/>
              </w:rPr>
              <w:t>)</w:t>
            </w:r>
          </w:p>
        </w:tc>
        <w:tc>
          <w:tcPr>
            <w:tcW w:w="1559" w:type="dxa"/>
            <w:shd w:val="clear" w:color="000000" w:fill="FFFFFF"/>
            <w:vAlign w:val="center"/>
          </w:tcPr>
          <w:p w14:paraId="30DA9A76" w14:textId="77777777" w:rsidR="0091431E" w:rsidRPr="001B53A8" w:rsidRDefault="0091431E" w:rsidP="00003F34">
            <w:pPr>
              <w:spacing w:before="0" w:after="60" w:line="240" w:lineRule="auto"/>
              <w:ind w:firstLine="0"/>
              <w:jc w:val="right"/>
              <w:outlineLvl w:val="1"/>
              <w:rPr>
                <w:sz w:val="22"/>
                <w:szCs w:val="22"/>
                <w:lang w:val="sr-Latn-BA"/>
              </w:rPr>
            </w:pPr>
            <w:r w:rsidRPr="001B53A8">
              <w:rPr>
                <w:sz w:val="22"/>
                <w:szCs w:val="22"/>
                <w:lang w:val="sr-Latn-BA"/>
              </w:rPr>
              <w:t>500.000</w:t>
            </w:r>
          </w:p>
        </w:tc>
        <w:tc>
          <w:tcPr>
            <w:tcW w:w="1417" w:type="dxa"/>
            <w:shd w:val="clear" w:color="000000" w:fill="FFFFFF"/>
            <w:vAlign w:val="center"/>
          </w:tcPr>
          <w:p w14:paraId="4D6470D1" w14:textId="77777777" w:rsidR="0091431E" w:rsidRPr="001B53A8" w:rsidRDefault="0091431E" w:rsidP="00003F34">
            <w:pPr>
              <w:spacing w:before="0" w:after="60" w:line="240" w:lineRule="auto"/>
              <w:ind w:firstLine="0"/>
              <w:jc w:val="right"/>
              <w:rPr>
                <w:bCs/>
                <w:sz w:val="22"/>
                <w:szCs w:val="22"/>
                <w:lang w:val="sr-Latn-BA"/>
              </w:rPr>
            </w:pPr>
            <w:r w:rsidRPr="001B53A8">
              <w:rPr>
                <w:bCs/>
                <w:sz w:val="22"/>
                <w:szCs w:val="22"/>
                <w:lang w:val="sr-Latn-BA"/>
              </w:rPr>
              <w:t>-</w:t>
            </w:r>
          </w:p>
        </w:tc>
      </w:tr>
    </w:tbl>
    <w:p w14:paraId="420C4AEE" w14:textId="0C26F9A9" w:rsidR="00A47DF9" w:rsidRDefault="00A47DF9"/>
    <w:p w14:paraId="4E447BB6" w14:textId="77777777" w:rsidR="00A47DF9" w:rsidRDefault="00A47DF9"/>
    <w:tbl>
      <w:tblPr>
        <w:tblW w:w="8973" w:type="dxa"/>
        <w:tblInd w:w="94"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4A0" w:firstRow="1" w:lastRow="0" w:firstColumn="1" w:lastColumn="0" w:noHBand="0" w:noVBand="1"/>
      </w:tblPr>
      <w:tblGrid>
        <w:gridCol w:w="610"/>
        <w:gridCol w:w="2552"/>
        <w:gridCol w:w="1275"/>
        <w:gridCol w:w="1276"/>
        <w:gridCol w:w="1701"/>
        <w:gridCol w:w="1559"/>
      </w:tblGrid>
      <w:tr w:rsidR="0091431E" w:rsidRPr="001B53A8" w14:paraId="44D6AE5F" w14:textId="77777777" w:rsidTr="00A47DF9">
        <w:trPr>
          <w:trHeight w:val="268"/>
        </w:trPr>
        <w:tc>
          <w:tcPr>
            <w:tcW w:w="8973" w:type="dxa"/>
            <w:gridSpan w:val="6"/>
            <w:shd w:val="clear" w:color="auto" w:fill="DBE5F1" w:themeFill="accent1" w:themeFillTint="33"/>
            <w:vAlign w:val="center"/>
          </w:tcPr>
          <w:p w14:paraId="020CEC6C" w14:textId="2679D126" w:rsidR="0091431E" w:rsidRPr="001B53A8" w:rsidRDefault="00003F34" w:rsidP="00003F34">
            <w:pPr>
              <w:spacing w:before="0" w:after="60" w:line="240" w:lineRule="auto"/>
              <w:ind w:firstLine="0"/>
              <w:jc w:val="center"/>
              <w:rPr>
                <w:b/>
                <w:bCs/>
                <w:sz w:val="22"/>
                <w:szCs w:val="22"/>
                <w:lang w:val="sr-Latn-BA" w:eastAsia="bs-Latn-BA"/>
              </w:rPr>
            </w:pPr>
            <w:r w:rsidRPr="001B53A8">
              <w:rPr>
                <w:b/>
                <w:bCs/>
                <w:sz w:val="22"/>
                <w:szCs w:val="22"/>
                <w:lang w:val="sr-Latn-BA" w:eastAsia="bs-Latn-BA"/>
              </w:rPr>
              <w:lastRenderedPageBreak/>
              <w:t>Smanjenje</w:t>
            </w:r>
            <w:r w:rsidR="0091431E" w:rsidRPr="001B53A8">
              <w:rPr>
                <w:b/>
                <w:bCs/>
                <w:sz w:val="22"/>
                <w:szCs w:val="22"/>
                <w:lang w:val="sr-Latn-BA" w:eastAsia="bs-Latn-BA"/>
              </w:rPr>
              <w:t xml:space="preserve"> </w:t>
            </w:r>
            <w:r w:rsidRPr="001B53A8">
              <w:rPr>
                <w:b/>
                <w:bCs/>
                <w:sz w:val="22"/>
                <w:szCs w:val="22"/>
                <w:lang w:val="sr-Latn-BA" w:eastAsia="bs-Latn-BA"/>
              </w:rPr>
              <w:t>kapitala</w:t>
            </w:r>
          </w:p>
        </w:tc>
      </w:tr>
      <w:tr w:rsidR="0091431E" w:rsidRPr="001B53A8" w14:paraId="5C949CE9" w14:textId="77777777" w:rsidTr="0091431E">
        <w:trPr>
          <w:trHeight w:val="524"/>
        </w:trPr>
        <w:tc>
          <w:tcPr>
            <w:tcW w:w="610" w:type="dxa"/>
            <w:vMerge w:val="restart"/>
            <w:shd w:val="clear" w:color="auto" w:fill="auto"/>
            <w:vAlign w:val="center"/>
            <w:hideMark/>
          </w:tcPr>
          <w:p w14:paraId="7AEC42C2" w14:textId="24BA8A4E" w:rsidR="0091431E" w:rsidRPr="001B53A8" w:rsidRDefault="0091431E" w:rsidP="00003F34">
            <w:pPr>
              <w:spacing w:before="0" w:after="60" w:line="240" w:lineRule="auto"/>
              <w:jc w:val="center"/>
              <w:rPr>
                <w:b/>
                <w:bCs/>
                <w:sz w:val="22"/>
                <w:szCs w:val="22"/>
                <w:lang w:val="sr-Latn-BA" w:eastAsia="bs-Latn-BA"/>
              </w:rPr>
            </w:pPr>
            <w:r w:rsidRPr="001B53A8">
              <w:rPr>
                <w:sz w:val="22"/>
                <w:szCs w:val="22"/>
                <w:lang w:val="sr-Latn-BA"/>
              </w:rPr>
              <w:br w:type="page"/>
            </w:r>
            <w:r w:rsidR="00003F34" w:rsidRPr="001B53A8">
              <w:rPr>
                <w:b/>
                <w:bCs/>
                <w:sz w:val="22"/>
                <w:szCs w:val="22"/>
                <w:lang w:val="sr-Latn-BA" w:eastAsia="bs-Latn-BA"/>
              </w:rPr>
              <w:t>RR</w:t>
            </w:r>
            <w:r w:rsidRPr="001B53A8">
              <w:rPr>
                <w:b/>
                <w:bCs/>
                <w:sz w:val="22"/>
                <w:szCs w:val="22"/>
                <w:lang w:val="sr-Latn-BA" w:eastAsia="bs-Latn-BA"/>
              </w:rPr>
              <w:t xml:space="preserve">. </w:t>
            </w:r>
            <w:r w:rsidR="00003F34" w:rsidRPr="001B53A8">
              <w:rPr>
                <w:b/>
                <w:bCs/>
                <w:sz w:val="22"/>
                <w:szCs w:val="22"/>
                <w:lang w:val="sr-Latn-BA" w:eastAsia="bs-Latn-BA"/>
              </w:rPr>
              <w:t>br</w:t>
            </w:r>
            <w:r w:rsidRPr="001B53A8">
              <w:rPr>
                <w:b/>
                <w:bCs/>
                <w:sz w:val="22"/>
                <w:szCs w:val="22"/>
                <w:lang w:val="sr-Latn-BA" w:eastAsia="bs-Latn-BA"/>
              </w:rPr>
              <w:t>.</w:t>
            </w:r>
          </w:p>
        </w:tc>
        <w:tc>
          <w:tcPr>
            <w:tcW w:w="2552" w:type="dxa"/>
            <w:vMerge w:val="restart"/>
            <w:shd w:val="clear" w:color="auto" w:fill="auto"/>
            <w:noWrap/>
            <w:vAlign w:val="center"/>
            <w:hideMark/>
          </w:tcPr>
          <w:p w14:paraId="54CA11EC" w14:textId="7E3956B4" w:rsidR="0091431E" w:rsidRPr="001B53A8" w:rsidRDefault="00003F34" w:rsidP="00003F34">
            <w:pPr>
              <w:spacing w:before="0" w:after="60" w:line="240" w:lineRule="auto"/>
              <w:ind w:firstLine="0"/>
              <w:jc w:val="center"/>
              <w:rPr>
                <w:b/>
                <w:bCs/>
                <w:sz w:val="22"/>
                <w:szCs w:val="22"/>
                <w:lang w:val="sr-Latn-BA" w:eastAsia="bs-Latn-BA"/>
              </w:rPr>
            </w:pPr>
            <w:r w:rsidRPr="001B53A8">
              <w:rPr>
                <w:b/>
                <w:bCs/>
                <w:sz w:val="22"/>
                <w:szCs w:val="22"/>
                <w:lang w:val="sr-Latn-BA" w:eastAsia="bs-Latn-BA"/>
              </w:rPr>
              <w:t>Naziv</w:t>
            </w:r>
            <w:r w:rsidR="0091431E" w:rsidRPr="001B53A8">
              <w:rPr>
                <w:b/>
                <w:bCs/>
                <w:sz w:val="22"/>
                <w:szCs w:val="22"/>
                <w:lang w:val="sr-Latn-BA" w:eastAsia="bs-Latn-BA"/>
              </w:rPr>
              <w:t xml:space="preserve"> </w:t>
            </w:r>
            <w:r w:rsidRPr="001B53A8">
              <w:rPr>
                <w:b/>
                <w:bCs/>
                <w:sz w:val="22"/>
                <w:szCs w:val="22"/>
                <w:lang w:val="sr-Latn-BA" w:eastAsia="bs-Latn-BA"/>
              </w:rPr>
              <w:t>emitenta</w:t>
            </w:r>
          </w:p>
        </w:tc>
        <w:tc>
          <w:tcPr>
            <w:tcW w:w="1275" w:type="dxa"/>
            <w:vMerge w:val="restart"/>
            <w:shd w:val="clear" w:color="auto" w:fill="auto"/>
            <w:vAlign w:val="center"/>
            <w:hideMark/>
          </w:tcPr>
          <w:p w14:paraId="671E77E7" w14:textId="1A17CD80" w:rsidR="0091431E" w:rsidRPr="001B53A8" w:rsidRDefault="00003F34" w:rsidP="00003F34">
            <w:pPr>
              <w:spacing w:before="0" w:after="60" w:line="240" w:lineRule="auto"/>
              <w:ind w:firstLine="0"/>
              <w:jc w:val="center"/>
              <w:rPr>
                <w:b/>
                <w:bCs/>
                <w:sz w:val="22"/>
                <w:szCs w:val="22"/>
                <w:lang w:val="sr-Latn-BA" w:eastAsia="bs-Latn-BA"/>
              </w:rPr>
            </w:pPr>
            <w:r w:rsidRPr="001B53A8">
              <w:rPr>
                <w:b/>
                <w:bCs/>
                <w:sz w:val="22"/>
                <w:szCs w:val="22"/>
                <w:lang w:val="sr-Latn-BA" w:eastAsia="bs-Latn-BA"/>
              </w:rPr>
              <w:t>Redni</w:t>
            </w:r>
            <w:r w:rsidR="0091431E" w:rsidRPr="001B53A8">
              <w:rPr>
                <w:b/>
                <w:bCs/>
                <w:sz w:val="22"/>
                <w:szCs w:val="22"/>
                <w:lang w:val="sr-Latn-BA" w:eastAsia="bs-Latn-BA"/>
              </w:rPr>
              <w:t xml:space="preserve"> </w:t>
            </w:r>
            <w:r w:rsidRPr="001B53A8">
              <w:rPr>
                <w:b/>
                <w:bCs/>
                <w:sz w:val="22"/>
                <w:szCs w:val="22"/>
                <w:lang w:val="sr-Latn-BA" w:eastAsia="bs-Latn-BA"/>
              </w:rPr>
              <w:t>broj</w:t>
            </w:r>
            <w:r w:rsidR="0091431E" w:rsidRPr="001B53A8">
              <w:rPr>
                <w:b/>
                <w:bCs/>
                <w:sz w:val="22"/>
                <w:szCs w:val="22"/>
                <w:lang w:val="sr-Latn-BA" w:eastAsia="bs-Latn-BA"/>
              </w:rPr>
              <w:t xml:space="preserve"> </w:t>
            </w:r>
            <w:r w:rsidRPr="001B53A8">
              <w:rPr>
                <w:b/>
                <w:bCs/>
                <w:sz w:val="22"/>
                <w:szCs w:val="22"/>
                <w:lang w:val="sr-Latn-BA" w:eastAsia="bs-Latn-BA"/>
              </w:rPr>
              <w:t>emisije</w:t>
            </w:r>
          </w:p>
        </w:tc>
        <w:tc>
          <w:tcPr>
            <w:tcW w:w="1276" w:type="dxa"/>
            <w:vMerge w:val="restart"/>
            <w:shd w:val="clear" w:color="auto" w:fill="auto"/>
            <w:noWrap/>
            <w:vAlign w:val="center"/>
            <w:hideMark/>
          </w:tcPr>
          <w:p w14:paraId="16EACBB6" w14:textId="6C5163E5" w:rsidR="0091431E" w:rsidRPr="001B53A8" w:rsidRDefault="00003F34" w:rsidP="00003F34">
            <w:pPr>
              <w:spacing w:before="0" w:after="60" w:line="240" w:lineRule="auto"/>
              <w:ind w:firstLine="0"/>
              <w:jc w:val="center"/>
              <w:rPr>
                <w:b/>
                <w:bCs/>
                <w:sz w:val="22"/>
                <w:szCs w:val="22"/>
                <w:lang w:val="sr-Latn-BA" w:eastAsia="bs-Latn-BA"/>
              </w:rPr>
            </w:pPr>
            <w:r w:rsidRPr="001B53A8">
              <w:rPr>
                <w:b/>
                <w:bCs/>
                <w:sz w:val="22"/>
                <w:szCs w:val="22"/>
                <w:lang w:val="sr-Latn-BA" w:eastAsia="bs-Latn-BA"/>
              </w:rPr>
              <w:t>Obim</w:t>
            </w:r>
            <w:r w:rsidR="0091431E" w:rsidRPr="001B53A8">
              <w:rPr>
                <w:b/>
                <w:bCs/>
                <w:sz w:val="22"/>
                <w:szCs w:val="22"/>
                <w:lang w:val="sr-Latn-BA" w:eastAsia="bs-Latn-BA"/>
              </w:rPr>
              <w:t xml:space="preserve"> </w:t>
            </w:r>
            <w:r w:rsidRPr="001B53A8">
              <w:rPr>
                <w:b/>
                <w:bCs/>
                <w:sz w:val="22"/>
                <w:szCs w:val="22"/>
                <w:lang w:val="sr-Latn-BA" w:eastAsia="bs-Latn-BA"/>
              </w:rPr>
              <w:t>emisije</w:t>
            </w:r>
            <w:r w:rsidR="0091431E" w:rsidRPr="001B53A8">
              <w:rPr>
                <w:b/>
                <w:bCs/>
                <w:sz w:val="22"/>
                <w:szCs w:val="22"/>
                <w:lang w:val="sr-Latn-BA" w:eastAsia="bs-Latn-BA"/>
              </w:rPr>
              <w:t xml:space="preserve"> (</w:t>
            </w:r>
            <w:r w:rsidRPr="001B53A8">
              <w:rPr>
                <w:b/>
                <w:bCs/>
                <w:sz w:val="22"/>
                <w:szCs w:val="22"/>
                <w:lang w:val="sr-Latn-BA" w:eastAsia="bs-Latn-BA"/>
              </w:rPr>
              <w:t>u</w:t>
            </w:r>
            <w:r w:rsidR="0091431E" w:rsidRPr="001B53A8">
              <w:rPr>
                <w:b/>
                <w:bCs/>
                <w:sz w:val="22"/>
                <w:szCs w:val="22"/>
                <w:lang w:val="sr-Latn-BA" w:eastAsia="bs-Latn-BA"/>
              </w:rPr>
              <w:t xml:space="preserve"> </w:t>
            </w:r>
            <w:r w:rsidRPr="001B53A8">
              <w:rPr>
                <w:b/>
                <w:bCs/>
                <w:sz w:val="22"/>
                <w:szCs w:val="22"/>
                <w:lang w:val="sr-Latn-BA" w:eastAsia="bs-Latn-BA"/>
              </w:rPr>
              <w:t>KM</w:t>
            </w:r>
            <w:r w:rsidR="0091431E" w:rsidRPr="001B53A8">
              <w:rPr>
                <w:b/>
                <w:bCs/>
                <w:sz w:val="22"/>
                <w:szCs w:val="22"/>
                <w:lang w:val="sr-Latn-BA" w:eastAsia="bs-Latn-BA"/>
              </w:rPr>
              <w:t>)</w:t>
            </w:r>
          </w:p>
        </w:tc>
        <w:tc>
          <w:tcPr>
            <w:tcW w:w="1701" w:type="dxa"/>
            <w:vMerge w:val="restart"/>
            <w:shd w:val="clear" w:color="auto" w:fill="auto"/>
            <w:vAlign w:val="center"/>
            <w:hideMark/>
          </w:tcPr>
          <w:p w14:paraId="4895C315" w14:textId="7C64E9A5" w:rsidR="0091431E" w:rsidRPr="001B53A8" w:rsidRDefault="00003F34" w:rsidP="00003F34">
            <w:pPr>
              <w:spacing w:before="0" w:after="60" w:line="240" w:lineRule="auto"/>
              <w:ind w:firstLine="0"/>
              <w:jc w:val="center"/>
              <w:rPr>
                <w:b/>
                <w:bCs/>
                <w:sz w:val="22"/>
                <w:szCs w:val="22"/>
                <w:lang w:val="sr-Latn-BA" w:eastAsia="bs-Latn-BA"/>
              </w:rPr>
            </w:pPr>
            <w:r w:rsidRPr="001B53A8">
              <w:rPr>
                <w:b/>
                <w:bCs/>
                <w:sz w:val="22"/>
                <w:szCs w:val="22"/>
                <w:lang w:val="sr-Latn-BA" w:eastAsia="bs-Latn-BA"/>
              </w:rPr>
              <w:t>Osnovni</w:t>
            </w:r>
            <w:r w:rsidR="0091431E" w:rsidRPr="001B53A8">
              <w:rPr>
                <w:b/>
                <w:bCs/>
                <w:sz w:val="22"/>
                <w:szCs w:val="22"/>
                <w:lang w:val="sr-Latn-BA" w:eastAsia="bs-Latn-BA"/>
              </w:rPr>
              <w:t xml:space="preserve"> </w:t>
            </w:r>
            <w:r w:rsidRPr="001B53A8">
              <w:rPr>
                <w:b/>
                <w:bCs/>
                <w:sz w:val="22"/>
                <w:szCs w:val="22"/>
                <w:lang w:val="sr-Latn-BA" w:eastAsia="bs-Latn-BA"/>
              </w:rPr>
              <w:t>kapital</w:t>
            </w:r>
            <w:r w:rsidR="0091431E" w:rsidRPr="001B53A8">
              <w:rPr>
                <w:b/>
                <w:bCs/>
                <w:sz w:val="22"/>
                <w:szCs w:val="22"/>
                <w:lang w:val="sr-Latn-BA" w:eastAsia="bs-Latn-BA"/>
              </w:rPr>
              <w:t xml:space="preserve"> </w:t>
            </w:r>
            <w:r w:rsidRPr="001B53A8">
              <w:rPr>
                <w:b/>
                <w:bCs/>
                <w:sz w:val="22"/>
                <w:szCs w:val="22"/>
                <w:lang w:val="sr-Latn-BA" w:eastAsia="bs-Latn-BA"/>
              </w:rPr>
              <w:t>prije</w:t>
            </w:r>
            <w:r w:rsidR="0091431E" w:rsidRPr="001B53A8">
              <w:rPr>
                <w:b/>
                <w:bCs/>
                <w:sz w:val="22"/>
                <w:szCs w:val="22"/>
                <w:lang w:val="sr-Latn-BA" w:eastAsia="bs-Latn-BA"/>
              </w:rPr>
              <w:t xml:space="preserve"> </w:t>
            </w:r>
            <w:r w:rsidRPr="001B53A8">
              <w:rPr>
                <w:b/>
                <w:bCs/>
                <w:sz w:val="22"/>
                <w:szCs w:val="22"/>
                <w:lang w:val="sr-Latn-BA" w:eastAsia="bs-Latn-BA"/>
              </w:rPr>
              <w:t>smanjenja</w:t>
            </w:r>
            <w:r w:rsidR="0091431E" w:rsidRPr="001B53A8">
              <w:rPr>
                <w:b/>
                <w:bCs/>
                <w:sz w:val="22"/>
                <w:szCs w:val="22"/>
                <w:lang w:val="sr-Latn-BA" w:eastAsia="bs-Latn-BA"/>
              </w:rPr>
              <w:t xml:space="preserve">         (</w:t>
            </w:r>
            <w:r w:rsidRPr="001B53A8">
              <w:rPr>
                <w:b/>
                <w:bCs/>
                <w:sz w:val="22"/>
                <w:szCs w:val="22"/>
                <w:lang w:val="sr-Latn-BA" w:eastAsia="bs-Latn-BA"/>
              </w:rPr>
              <w:t>u</w:t>
            </w:r>
            <w:r w:rsidR="0091431E" w:rsidRPr="001B53A8">
              <w:rPr>
                <w:b/>
                <w:bCs/>
                <w:sz w:val="22"/>
                <w:szCs w:val="22"/>
                <w:lang w:val="sr-Latn-BA" w:eastAsia="bs-Latn-BA"/>
              </w:rPr>
              <w:t xml:space="preserve"> </w:t>
            </w:r>
            <w:r w:rsidRPr="001B53A8">
              <w:rPr>
                <w:b/>
                <w:bCs/>
                <w:sz w:val="22"/>
                <w:szCs w:val="22"/>
                <w:lang w:val="sr-Latn-BA" w:eastAsia="bs-Latn-BA"/>
              </w:rPr>
              <w:t>KM</w:t>
            </w:r>
            <w:r w:rsidR="0091431E" w:rsidRPr="001B53A8">
              <w:rPr>
                <w:b/>
                <w:bCs/>
                <w:sz w:val="22"/>
                <w:szCs w:val="22"/>
                <w:lang w:val="sr-Latn-BA" w:eastAsia="bs-Latn-BA"/>
              </w:rPr>
              <w:t>)</w:t>
            </w:r>
          </w:p>
        </w:tc>
        <w:tc>
          <w:tcPr>
            <w:tcW w:w="1559" w:type="dxa"/>
            <w:vMerge w:val="restart"/>
            <w:shd w:val="clear" w:color="auto" w:fill="auto"/>
            <w:vAlign w:val="center"/>
            <w:hideMark/>
          </w:tcPr>
          <w:p w14:paraId="3469DEC9" w14:textId="12BA0ABE" w:rsidR="0091431E" w:rsidRPr="001B53A8" w:rsidRDefault="00003F34" w:rsidP="00003F34">
            <w:pPr>
              <w:spacing w:before="0" w:after="60" w:line="240" w:lineRule="auto"/>
              <w:ind w:firstLine="0"/>
              <w:jc w:val="center"/>
              <w:rPr>
                <w:b/>
                <w:bCs/>
                <w:sz w:val="22"/>
                <w:szCs w:val="22"/>
                <w:lang w:val="sr-Latn-BA" w:eastAsia="bs-Latn-BA"/>
              </w:rPr>
            </w:pPr>
            <w:r w:rsidRPr="001B53A8">
              <w:rPr>
                <w:b/>
                <w:bCs/>
                <w:sz w:val="22"/>
                <w:szCs w:val="22"/>
                <w:lang w:val="sr-Latn-BA" w:eastAsia="bs-Latn-BA"/>
              </w:rPr>
              <w:t>Iznos</w:t>
            </w:r>
            <w:r w:rsidR="0091431E" w:rsidRPr="001B53A8">
              <w:rPr>
                <w:b/>
                <w:bCs/>
                <w:sz w:val="22"/>
                <w:szCs w:val="22"/>
                <w:lang w:val="sr-Latn-BA" w:eastAsia="bs-Latn-BA"/>
              </w:rPr>
              <w:t xml:space="preserve"> </w:t>
            </w:r>
            <w:r w:rsidRPr="001B53A8">
              <w:rPr>
                <w:b/>
                <w:bCs/>
                <w:sz w:val="22"/>
                <w:szCs w:val="22"/>
                <w:lang w:val="sr-Latn-BA" w:eastAsia="bs-Latn-BA"/>
              </w:rPr>
              <w:t>smanjenja</w:t>
            </w:r>
            <w:r w:rsidR="0091431E" w:rsidRPr="001B53A8">
              <w:rPr>
                <w:b/>
                <w:bCs/>
                <w:sz w:val="22"/>
                <w:szCs w:val="22"/>
                <w:lang w:val="sr-Latn-BA" w:eastAsia="bs-Latn-BA"/>
              </w:rPr>
              <w:t xml:space="preserve"> </w:t>
            </w:r>
            <w:r w:rsidRPr="001B53A8">
              <w:rPr>
                <w:b/>
                <w:bCs/>
                <w:sz w:val="22"/>
                <w:szCs w:val="22"/>
                <w:lang w:val="sr-Latn-BA" w:eastAsia="bs-Latn-BA"/>
              </w:rPr>
              <w:t>kapitala</w:t>
            </w:r>
            <w:r w:rsidR="0091431E" w:rsidRPr="001B53A8">
              <w:rPr>
                <w:b/>
                <w:bCs/>
                <w:sz w:val="22"/>
                <w:szCs w:val="22"/>
                <w:lang w:val="sr-Latn-BA" w:eastAsia="bs-Latn-BA"/>
              </w:rPr>
              <w:t xml:space="preserve">      (</w:t>
            </w:r>
            <w:r w:rsidRPr="001B53A8">
              <w:rPr>
                <w:b/>
                <w:bCs/>
                <w:sz w:val="22"/>
                <w:szCs w:val="22"/>
                <w:lang w:val="sr-Latn-BA" w:eastAsia="bs-Latn-BA"/>
              </w:rPr>
              <w:t>u</w:t>
            </w:r>
            <w:r w:rsidR="0091431E" w:rsidRPr="001B53A8">
              <w:rPr>
                <w:b/>
                <w:bCs/>
                <w:sz w:val="22"/>
                <w:szCs w:val="22"/>
                <w:lang w:val="sr-Latn-BA" w:eastAsia="bs-Latn-BA"/>
              </w:rPr>
              <w:t xml:space="preserve"> </w:t>
            </w:r>
            <w:r w:rsidRPr="001B53A8">
              <w:rPr>
                <w:b/>
                <w:bCs/>
                <w:sz w:val="22"/>
                <w:szCs w:val="22"/>
                <w:lang w:val="sr-Latn-BA" w:eastAsia="bs-Latn-BA"/>
              </w:rPr>
              <w:t>KM</w:t>
            </w:r>
            <w:r w:rsidR="0091431E" w:rsidRPr="001B53A8">
              <w:rPr>
                <w:b/>
                <w:bCs/>
                <w:sz w:val="22"/>
                <w:szCs w:val="22"/>
                <w:lang w:val="sr-Latn-BA" w:eastAsia="bs-Latn-BA"/>
              </w:rPr>
              <w:t>)</w:t>
            </w:r>
          </w:p>
        </w:tc>
      </w:tr>
      <w:tr w:rsidR="0091431E" w:rsidRPr="001B53A8" w14:paraId="598F8973" w14:textId="77777777" w:rsidTr="0091431E">
        <w:trPr>
          <w:trHeight w:val="524"/>
        </w:trPr>
        <w:tc>
          <w:tcPr>
            <w:tcW w:w="610" w:type="dxa"/>
            <w:vMerge/>
            <w:vAlign w:val="center"/>
            <w:hideMark/>
          </w:tcPr>
          <w:p w14:paraId="4C5472F5" w14:textId="77777777" w:rsidR="0091431E" w:rsidRPr="001B53A8" w:rsidRDefault="0091431E" w:rsidP="00003F34">
            <w:pPr>
              <w:spacing w:before="0" w:after="60" w:line="240" w:lineRule="auto"/>
              <w:rPr>
                <w:bCs/>
                <w:sz w:val="22"/>
                <w:szCs w:val="22"/>
                <w:lang w:val="sr-Latn-BA" w:eastAsia="bs-Latn-BA"/>
              </w:rPr>
            </w:pPr>
          </w:p>
        </w:tc>
        <w:tc>
          <w:tcPr>
            <w:tcW w:w="2552" w:type="dxa"/>
            <w:vMerge/>
            <w:vAlign w:val="center"/>
            <w:hideMark/>
          </w:tcPr>
          <w:p w14:paraId="5ECAF273" w14:textId="77777777" w:rsidR="0091431E" w:rsidRPr="001B53A8" w:rsidRDefault="0091431E" w:rsidP="00003F34">
            <w:pPr>
              <w:spacing w:before="0" w:after="60" w:line="240" w:lineRule="auto"/>
              <w:rPr>
                <w:bCs/>
                <w:sz w:val="22"/>
                <w:szCs w:val="22"/>
                <w:lang w:val="sr-Latn-BA" w:eastAsia="bs-Latn-BA"/>
              </w:rPr>
            </w:pPr>
          </w:p>
        </w:tc>
        <w:tc>
          <w:tcPr>
            <w:tcW w:w="1275" w:type="dxa"/>
            <w:vMerge/>
            <w:vAlign w:val="center"/>
            <w:hideMark/>
          </w:tcPr>
          <w:p w14:paraId="2AC410A0" w14:textId="77777777" w:rsidR="0091431E" w:rsidRPr="001B53A8" w:rsidRDefault="0091431E" w:rsidP="00003F34">
            <w:pPr>
              <w:spacing w:before="0" w:after="60" w:line="240" w:lineRule="auto"/>
              <w:jc w:val="center"/>
              <w:rPr>
                <w:bCs/>
                <w:sz w:val="22"/>
                <w:szCs w:val="22"/>
                <w:lang w:val="sr-Latn-BA" w:eastAsia="bs-Latn-BA"/>
              </w:rPr>
            </w:pPr>
          </w:p>
        </w:tc>
        <w:tc>
          <w:tcPr>
            <w:tcW w:w="1276" w:type="dxa"/>
            <w:vMerge/>
            <w:vAlign w:val="center"/>
            <w:hideMark/>
          </w:tcPr>
          <w:p w14:paraId="3EBEA4B7" w14:textId="77777777" w:rsidR="0091431E" w:rsidRPr="001B53A8" w:rsidRDefault="0091431E" w:rsidP="00003F34">
            <w:pPr>
              <w:spacing w:before="0" w:after="60" w:line="240" w:lineRule="auto"/>
              <w:jc w:val="center"/>
              <w:rPr>
                <w:bCs/>
                <w:sz w:val="22"/>
                <w:szCs w:val="22"/>
                <w:lang w:val="sr-Latn-BA" w:eastAsia="bs-Latn-BA"/>
              </w:rPr>
            </w:pPr>
          </w:p>
        </w:tc>
        <w:tc>
          <w:tcPr>
            <w:tcW w:w="1701" w:type="dxa"/>
            <w:vMerge/>
            <w:vAlign w:val="center"/>
            <w:hideMark/>
          </w:tcPr>
          <w:p w14:paraId="32C1CB1C" w14:textId="77777777" w:rsidR="0091431E" w:rsidRPr="001B53A8" w:rsidRDefault="0091431E" w:rsidP="00003F34">
            <w:pPr>
              <w:spacing w:before="0" w:after="60" w:line="240" w:lineRule="auto"/>
              <w:rPr>
                <w:bCs/>
                <w:sz w:val="22"/>
                <w:szCs w:val="22"/>
                <w:lang w:val="sr-Latn-BA" w:eastAsia="bs-Latn-BA"/>
              </w:rPr>
            </w:pPr>
          </w:p>
        </w:tc>
        <w:tc>
          <w:tcPr>
            <w:tcW w:w="1559" w:type="dxa"/>
            <w:vMerge/>
            <w:vAlign w:val="center"/>
            <w:hideMark/>
          </w:tcPr>
          <w:p w14:paraId="4F99C7B7" w14:textId="77777777" w:rsidR="0091431E" w:rsidRPr="001B53A8" w:rsidRDefault="0091431E" w:rsidP="00003F34">
            <w:pPr>
              <w:spacing w:before="0" w:after="60" w:line="240" w:lineRule="auto"/>
              <w:rPr>
                <w:bCs/>
                <w:sz w:val="22"/>
                <w:szCs w:val="22"/>
                <w:lang w:val="sr-Latn-BA" w:eastAsia="bs-Latn-BA"/>
              </w:rPr>
            </w:pPr>
          </w:p>
        </w:tc>
      </w:tr>
      <w:tr w:rsidR="0091431E" w:rsidRPr="001B53A8" w14:paraId="056DCA6A" w14:textId="77777777" w:rsidTr="0091431E">
        <w:trPr>
          <w:trHeight w:val="161"/>
        </w:trPr>
        <w:tc>
          <w:tcPr>
            <w:tcW w:w="610" w:type="dxa"/>
            <w:shd w:val="clear" w:color="auto" w:fill="auto"/>
            <w:noWrap/>
            <w:vAlign w:val="center"/>
            <w:hideMark/>
          </w:tcPr>
          <w:p w14:paraId="7298F60A" w14:textId="77777777" w:rsidR="0091431E" w:rsidRPr="001B53A8" w:rsidRDefault="0091431E" w:rsidP="00003F34">
            <w:pPr>
              <w:spacing w:before="0" w:after="60" w:line="240" w:lineRule="auto"/>
              <w:ind w:right="-300" w:hanging="236"/>
              <w:jc w:val="center"/>
              <w:rPr>
                <w:bCs/>
                <w:sz w:val="22"/>
                <w:szCs w:val="22"/>
                <w:lang w:val="sr-Latn-BA"/>
              </w:rPr>
            </w:pPr>
            <w:r w:rsidRPr="001B53A8">
              <w:rPr>
                <w:bCs/>
                <w:sz w:val="22"/>
                <w:szCs w:val="22"/>
                <w:lang w:val="sr-Latn-BA"/>
              </w:rPr>
              <w:t>20.</w:t>
            </w:r>
          </w:p>
        </w:tc>
        <w:tc>
          <w:tcPr>
            <w:tcW w:w="2552" w:type="dxa"/>
            <w:shd w:val="clear" w:color="auto" w:fill="auto"/>
            <w:noWrap/>
            <w:vAlign w:val="center"/>
            <w:hideMark/>
          </w:tcPr>
          <w:p w14:paraId="7123C1BC" w14:textId="75497A72" w:rsidR="0091431E" w:rsidRPr="001B53A8" w:rsidRDefault="0091431E" w:rsidP="00003F34">
            <w:pPr>
              <w:spacing w:before="0" w:after="0" w:line="240" w:lineRule="auto"/>
              <w:ind w:firstLine="0"/>
              <w:jc w:val="left"/>
              <w:outlineLvl w:val="1"/>
              <w:rPr>
                <w:sz w:val="22"/>
                <w:szCs w:val="22"/>
                <w:lang w:val="sr-Latn-BA"/>
              </w:rPr>
            </w:pPr>
            <w:r w:rsidRPr="001B53A8">
              <w:rPr>
                <w:sz w:val="22"/>
                <w:szCs w:val="22"/>
                <w:lang w:val="sr-Latn-BA"/>
              </w:rPr>
              <w:t>„</w:t>
            </w:r>
            <w:r w:rsidR="00003F34" w:rsidRPr="001B53A8">
              <w:rPr>
                <w:sz w:val="22"/>
                <w:szCs w:val="22"/>
                <w:lang w:val="sr-Latn-BA"/>
              </w:rPr>
              <w:t>Krajina</w:t>
            </w:r>
            <w:r w:rsidRPr="001B53A8">
              <w:rPr>
                <w:sz w:val="22"/>
                <w:szCs w:val="22"/>
                <w:lang w:val="sr-Latn-BA"/>
              </w:rPr>
              <w:t xml:space="preserve"> </w:t>
            </w:r>
            <w:r w:rsidR="00003F34" w:rsidRPr="001B53A8">
              <w:rPr>
                <w:sz w:val="22"/>
                <w:szCs w:val="22"/>
                <w:lang w:val="sr-Latn-BA"/>
              </w:rPr>
              <w:t>osiguranje</w:t>
            </w:r>
            <w:r w:rsidRPr="001B53A8">
              <w:rPr>
                <w:sz w:val="22"/>
                <w:szCs w:val="22"/>
                <w:lang w:val="sr-Latn-BA"/>
              </w:rPr>
              <w:t xml:space="preserve">“ </w:t>
            </w:r>
            <w:r w:rsidR="00003F34" w:rsidRPr="001B53A8">
              <w:rPr>
                <w:sz w:val="22"/>
                <w:szCs w:val="22"/>
                <w:lang w:val="sr-Latn-BA"/>
              </w:rPr>
              <w:t>akcionarsko</w:t>
            </w:r>
            <w:r w:rsidRPr="001B53A8">
              <w:rPr>
                <w:sz w:val="22"/>
                <w:szCs w:val="22"/>
                <w:lang w:val="sr-Latn-BA"/>
              </w:rPr>
              <w:t xml:space="preserve"> </w:t>
            </w:r>
            <w:r w:rsidR="00003F34" w:rsidRPr="001B53A8">
              <w:rPr>
                <w:sz w:val="22"/>
                <w:szCs w:val="22"/>
                <w:lang w:val="sr-Latn-BA"/>
              </w:rPr>
              <w:t>društvo</w:t>
            </w:r>
            <w:r w:rsidRPr="001B53A8">
              <w:rPr>
                <w:sz w:val="22"/>
                <w:szCs w:val="22"/>
                <w:lang w:val="sr-Latn-BA"/>
              </w:rPr>
              <w:t xml:space="preserve"> </w:t>
            </w:r>
            <w:r w:rsidR="00003F34" w:rsidRPr="001B53A8">
              <w:rPr>
                <w:sz w:val="22"/>
                <w:szCs w:val="22"/>
                <w:lang w:val="sr-Latn-BA"/>
              </w:rPr>
              <w:t>Banja</w:t>
            </w:r>
            <w:r w:rsidRPr="001B53A8">
              <w:rPr>
                <w:sz w:val="22"/>
                <w:szCs w:val="22"/>
                <w:lang w:val="sr-Latn-BA"/>
              </w:rPr>
              <w:t xml:space="preserve"> </w:t>
            </w:r>
            <w:r w:rsidR="00003F34" w:rsidRPr="001B53A8">
              <w:rPr>
                <w:sz w:val="22"/>
                <w:szCs w:val="22"/>
                <w:lang w:val="sr-Latn-BA"/>
              </w:rPr>
              <w:t>Luka</w:t>
            </w:r>
          </w:p>
        </w:tc>
        <w:tc>
          <w:tcPr>
            <w:tcW w:w="1275" w:type="dxa"/>
            <w:shd w:val="clear" w:color="auto" w:fill="auto"/>
            <w:noWrap/>
            <w:vAlign w:val="center"/>
            <w:hideMark/>
          </w:tcPr>
          <w:p w14:paraId="03CC3CEA" w14:textId="3E507053" w:rsidR="0091431E" w:rsidRPr="001B53A8" w:rsidRDefault="0091431E" w:rsidP="00003F34">
            <w:pPr>
              <w:spacing w:before="0" w:after="60" w:line="240" w:lineRule="auto"/>
              <w:ind w:firstLine="0"/>
              <w:jc w:val="center"/>
              <w:outlineLvl w:val="1"/>
              <w:rPr>
                <w:sz w:val="22"/>
                <w:szCs w:val="22"/>
                <w:lang w:val="sr-Latn-BA"/>
              </w:rPr>
            </w:pPr>
            <w:r w:rsidRPr="001B53A8">
              <w:rPr>
                <w:sz w:val="22"/>
                <w:szCs w:val="22"/>
                <w:lang w:val="sr-Latn-BA"/>
              </w:rPr>
              <w:t>4 (</w:t>
            </w:r>
            <w:r w:rsidR="00003F34" w:rsidRPr="001B53A8">
              <w:rPr>
                <w:sz w:val="22"/>
                <w:szCs w:val="22"/>
                <w:lang w:val="sr-Latn-BA"/>
              </w:rPr>
              <w:t>akcije</w:t>
            </w:r>
            <w:r w:rsidRPr="001B53A8">
              <w:rPr>
                <w:sz w:val="22"/>
                <w:szCs w:val="22"/>
                <w:lang w:val="sr-Latn-BA"/>
              </w:rPr>
              <w:t>)</w:t>
            </w:r>
          </w:p>
        </w:tc>
        <w:tc>
          <w:tcPr>
            <w:tcW w:w="1276" w:type="dxa"/>
            <w:shd w:val="clear" w:color="auto" w:fill="auto"/>
            <w:noWrap/>
            <w:vAlign w:val="center"/>
          </w:tcPr>
          <w:p w14:paraId="4D499AF9" w14:textId="77777777" w:rsidR="0091431E" w:rsidRPr="001B53A8" w:rsidRDefault="0091431E" w:rsidP="00003F34">
            <w:pPr>
              <w:spacing w:before="0" w:after="60" w:line="240" w:lineRule="auto"/>
              <w:ind w:firstLine="0"/>
              <w:jc w:val="center"/>
              <w:outlineLvl w:val="1"/>
              <w:rPr>
                <w:sz w:val="22"/>
                <w:szCs w:val="22"/>
                <w:lang w:val="sr-Latn-BA"/>
              </w:rPr>
            </w:pPr>
            <w:r w:rsidRPr="001B53A8">
              <w:rPr>
                <w:sz w:val="22"/>
                <w:szCs w:val="22"/>
                <w:lang w:val="sr-Latn-BA"/>
              </w:rPr>
              <w:t>8.730.000</w:t>
            </w:r>
          </w:p>
        </w:tc>
        <w:tc>
          <w:tcPr>
            <w:tcW w:w="1701" w:type="dxa"/>
            <w:shd w:val="clear" w:color="auto" w:fill="auto"/>
            <w:noWrap/>
            <w:vAlign w:val="center"/>
          </w:tcPr>
          <w:p w14:paraId="1BCB249E" w14:textId="77777777" w:rsidR="0091431E" w:rsidRPr="001B53A8" w:rsidRDefault="0091431E" w:rsidP="00003F34">
            <w:pPr>
              <w:spacing w:before="0" w:after="60" w:line="240" w:lineRule="auto"/>
              <w:ind w:firstLine="0"/>
              <w:jc w:val="center"/>
              <w:outlineLvl w:val="1"/>
              <w:rPr>
                <w:sz w:val="22"/>
                <w:szCs w:val="22"/>
                <w:lang w:val="sr-Latn-BA"/>
              </w:rPr>
            </w:pPr>
            <w:r w:rsidRPr="001B53A8">
              <w:rPr>
                <w:sz w:val="22"/>
                <w:szCs w:val="22"/>
                <w:lang w:val="sr-Latn-BA"/>
              </w:rPr>
              <w:t>20.668.191</w:t>
            </w:r>
          </w:p>
        </w:tc>
        <w:tc>
          <w:tcPr>
            <w:tcW w:w="1559" w:type="dxa"/>
            <w:shd w:val="clear" w:color="000000" w:fill="FFFFFF"/>
            <w:noWrap/>
            <w:vAlign w:val="center"/>
          </w:tcPr>
          <w:p w14:paraId="5B4872ED" w14:textId="77777777" w:rsidR="0091431E" w:rsidRPr="001B53A8" w:rsidRDefault="0091431E" w:rsidP="00003F34">
            <w:pPr>
              <w:spacing w:before="0" w:after="60" w:line="240" w:lineRule="auto"/>
              <w:ind w:firstLine="0"/>
              <w:jc w:val="center"/>
              <w:outlineLvl w:val="1"/>
              <w:rPr>
                <w:sz w:val="22"/>
                <w:szCs w:val="22"/>
                <w:lang w:val="sr-Latn-BA"/>
              </w:rPr>
            </w:pPr>
            <w:r w:rsidRPr="001B53A8">
              <w:rPr>
                <w:sz w:val="22"/>
                <w:szCs w:val="22"/>
                <w:lang w:val="sr-Latn-BA"/>
              </w:rPr>
              <w:t>11.938.191</w:t>
            </w:r>
          </w:p>
        </w:tc>
      </w:tr>
      <w:tr w:rsidR="0091431E" w:rsidRPr="001B53A8" w14:paraId="41A9EE8E" w14:textId="77777777" w:rsidTr="0091431E">
        <w:trPr>
          <w:trHeight w:val="161"/>
        </w:trPr>
        <w:tc>
          <w:tcPr>
            <w:tcW w:w="610" w:type="dxa"/>
            <w:shd w:val="clear" w:color="auto" w:fill="auto"/>
            <w:noWrap/>
            <w:vAlign w:val="center"/>
          </w:tcPr>
          <w:p w14:paraId="5FFAEF97" w14:textId="77777777" w:rsidR="0091431E" w:rsidRPr="001B53A8" w:rsidRDefault="0091431E" w:rsidP="00003F34">
            <w:pPr>
              <w:spacing w:before="0" w:after="60" w:line="240" w:lineRule="auto"/>
              <w:ind w:right="-300" w:hanging="236"/>
              <w:jc w:val="center"/>
              <w:rPr>
                <w:bCs/>
                <w:sz w:val="22"/>
                <w:szCs w:val="22"/>
                <w:lang w:val="sr-Latn-BA"/>
              </w:rPr>
            </w:pPr>
            <w:r w:rsidRPr="001B53A8">
              <w:rPr>
                <w:bCs/>
                <w:sz w:val="22"/>
                <w:szCs w:val="22"/>
                <w:lang w:val="sr-Latn-BA"/>
              </w:rPr>
              <w:t>21.</w:t>
            </w:r>
          </w:p>
        </w:tc>
        <w:tc>
          <w:tcPr>
            <w:tcW w:w="2552" w:type="dxa"/>
            <w:shd w:val="clear" w:color="auto" w:fill="auto"/>
            <w:noWrap/>
            <w:vAlign w:val="center"/>
          </w:tcPr>
          <w:p w14:paraId="38C65EB4" w14:textId="09B0AE9D" w:rsidR="0091431E" w:rsidRPr="001B53A8" w:rsidRDefault="0091431E" w:rsidP="00003F34">
            <w:pPr>
              <w:spacing w:before="0" w:after="0" w:line="240" w:lineRule="auto"/>
              <w:ind w:firstLine="0"/>
              <w:jc w:val="left"/>
              <w:outlineLvl w:val="1"/>
              <w:rPr>
                <w:sz w:val="22"/>
                <w:szCs w:val="22"/>
                <w:lang w:val="sr-Latn-BA"/>
              </w:rPr>
            </w:pPr>
            <w:r w:rsidRPr="001B53A8">
              <w:rPr>
                <w:sz w:val="22"/>
                <w:szCs w:val="22"/>
                <w:lang w:val="sr-Latn-BA"/>
              </w:rPr>
              <w:t>„</w:t>
            </w:r>
            <w:r w:rsidR="00003F34" w:rsidRPr="001B53A8">
              <w:rPr>
                <w:sz w:val="22"/>
                <w:szCs w:val="22"/>
                <w:lang w:val="sr-Latn-BA"/>
              </w:rPr>
              <w:t>Atos</w:t>
            </w:r>
            <w:r w:rsidRPr="001B53A8">
              <w:rPr>
                <w:sz w:val="22"/>
                <w:szCs w:val="22"/>
                <w:lang w:val="sr-Latn-BA"/>
              </w:rPr>
              <w:t xml:space="preserve"> </w:t>
            </w:r>
            <w:r w:rsidR="00003F34" w:rsidRPr="001B53A8">
              <w:rPr>
                <w:sz w:val="22"/>
                <w:szCs w:val="22"/>
                <w:lang w:val="sr-Latn-BA"/>
              </w:rPr>
              <w:t>banka</w:t>
            </w:r>
            <w:r w:rsidRPr="001B53A8">
              <w:rPr>
                <w:sz w:val="22"/>
                <w:szCs w:val="22"/>
                <w:lang w:val="sr-Latn-BA"/>
              </w:rPr>
              <w:t xml:space="preserve">“ </w:t>
            </w:r>
            <w:r w:rsidR="00003F34" w:rsidRPr="001B53A8">
              <w:rPr>
                <w:sz w:val="22"/>
                <w:szCs w:val="22"/>
                <w:lang w:val="sr-Latn-BA"/>
              </w:rPr>
              <w:t>a</w:t>
            </w:r>
            <w:r w:rsidRPr="001B53A8">
              <w:rPr>
                <w:sz w:val="22"/>
                <w:szCs w:val="22"/>
                <w:lang w:val="sr-Latn-BA"/>
              </w:rPr>
              <w:t>.</w:t>
            </w:r>
            <w:r w:rsidR="00003F34" w:rsidRPr="001B53A8">
              <w:rPr>
                <w:sz w:val="22"/>
                <w:szCs w:val="22"/>
                <w:lang w:val="sr-Latn-BA"/>
              </w:rPr>
              <w:t>d</w:t>
            </w:r>
            <w:r w:rsidRPr="001B53A8">
              <w:rPr>
                <w:sz w:val="22"/>
                <w:szCs w:val="22"/>
                <w:lang w:val="sr-Latn-BA"/>
              </w:rPr>
              <w:t xml:space="preserve">. </w:t>
            </w:r>
            <w:r w:rsidR="00003F34" w:rsidRPr="001B53A8">
              <w:rPr>
                <w:sz w:val="22"/>
                <w:szCs w:val="22"/>
                <w:lang w:val="sr-Latn-BA"/>
              </w:rPr>
              <w:t>Banja</w:t>
            </w:r>
            <w:r w:rsidRPr="001B53A8">
              <w:rPr>
                <w:sz w:val="22"/>
                <w:szCs w:val="22"/>
                <w:lang w:val="sr-Latn-BA"/>
              </w:rPr>
              <w:t xml:space="preserve"> </w:t>
            </w:r>
            <w:r w:rsidR="00003F34" w:rsidRPr="001B53A8">
              <w:rPr>
                <w:sz w:val="22"/>
                <w:szCs w:val="22"/>
                <w:lang w:val="sr-Latn-BA"/>
              </w:rPr>
              <w:t>Luka</w:t>
            </w:r>
          </w:p>
        </w:tc>
        <w:tc>
          <w:tcPr>
            <w:tcW w:w="1275" w:type="dxa"/>
            <w:shd w:val="clear" w:color="auto" w:fill="auto"/>
            <w:noWrap/>
            <w:vAlign w:val="center"/>
          </w:tcPr>
          <w:p w14:paraId="2D2BF9FB" w14:textId="113917AB" w:rsidR="0091431E" w:rsidRPr="001B53A8" w:rsidRDefault="0091431E" w:rsidP="00003F34">
            <w:pPr>
              <w:spacing w:before="0" w:after="60" w:line="240" w:lineRule="auto"/>
              <w:ind w:firstLine="0"/>
              <w:jc w:val="center"/>
              <w:outlineLvl w:val="1"/>
              <w:rPr>
                <w:sz w:val="22"/>
                <w:szCs w:val="22"/>
                <w:lang w:val="sr-Latn-BA"/>
              </w:rPr>
            </w:pPr>
            <w:r w:rsidRPr="001B53A8">
              <w:rPr>
                <w:sz w:val="22"/>
                <w:szCs w:val="22"/>
                <w:lang w:val="sr-Latn-BA"/>
              </w:rPr>
              <w:t>10 (</w:t>
            </w:r>
            <w:r w:rsidR="00003F34" w:rsidRPr="001B53A8">
              <w:rPr>
                <w:sz w:val="22"/>
                <w:szCs w:val="22"/>
                <w:lang w:val="sr-Latn-BA"/>
              </w:rPr>
              <w:t>akcije</w:t>
            </w:r>
            <w:r w:rsidRPr="001B53A8">
              <w:rPr>
                <w:sz w:val="22"/>
                <w:szCs w:val="22"/>
                <w:lang w:val="sr-Latn-BA"/>
              </w:rPr>
              <w:t>)</w:t>
            </w:r>
          </w:p>
        </w:tc>
        <w:tc>
          <w:tcPr>
            <w:tcW w:w="1276" w:type="dxa"/>
            <w:shd w:val="clear" w:color="auto" w:fill="auto"/>
            <w:noWrap/>
            <w:vAlign w:val="center"/>
          </w:tcPr>
          <w:p w14:paraId="0B21DCD1" w14:textId="77777777" w:rsidR="0091431E" w:rsidRPr="001B53A8" w:rsidRDefault="0091431E" w:rsidP="00003F34">
            <w:pPr>
              <w:spacing w:before="0" w:after="60" w:line="240" w:lineRule="auto"/>
              <w:ind w:firstLine="0"/>
              <w:jc w:val="center"/>
              <w:outlineLvl w:val="1"/>
              <w:rPr>
                <w:sz w:val="22"/>
                <w:szCs w:val="22"/>
                <w:lang w:val="sr-Latn-BA"/>
              </w:rPr>
            </w:pPr>
            <w:r w:rsidRPr="001B53A8">
              <w:rPr>
                <w:sz w:val="22"/>
                <w:szCs w:val="22"/>
                <w:lang w:val="sr-Latn-BA"/>
              </w:rPr>
              <w:t>61.974.000</w:t>
            </w:r>
          </w:p>
        </w:tc>
        <w:tc>
          <w:tcPr>
            <w:tcW w:w="1701" w:type="dxa"/>
            <w:shd w:val="clear" w:color="auto" w:fill="auto"/>
            <w:noWrap/>
            <w:vAlign w:val="center"/>
          </w:tcPr>
          <w:p w14:paraId="2D20EE1B" w14:textId="77777777" w:rsidR="0091431E" w:rsidRPr="001B53A8" w:rsidRDefault="0091431E" w:rsidP="00003F34">
            <w:pPr>
              <w:spacing w:before="0" w:after="60" w:line="240" w:lineRule="auto"/>
              <w:ind w:firstLine="0"/>
              <w:jc w:val="center"/>
              <w:outlineLvl w:val="1"/>
              <w:rPr>
                <w:sz w:val="22"/>
                <w:szCs w:val="22"/>
                <w:lang w:val="sr-Latn-BA"/>
              </w:rPr>
            </w:pPr>
            <w:r w:rsidRPr="001B53A8">
              <w:rPr>
                <w:sz w:val="22"/>
                <w:szCs w:val="22"/>
                <w:lang w:val="sr-Latn-BA"/>
              </w:rPr>
              <w:t>62.198.000</w:t>
            </w:r>
          </w:p>
        </w:tc>
        <w:tc>
          <w:tcPr>
            <w:tcW w:w="1559" w:type="dxa"/>
            <w:shd w:val="clear" w:color="000000" w:fill="FFFFFF"/>
            <w:noWrap/>
            <w:vAlign w:val="center"/>
          </w:tcPr>
          <w:p w14:paraId="635B53C7" w14:textId="77777777" w:rsidR="0091431E" w:rsidRPr="001B53A8" w:rsidRDefault="0091431E" w:rsidP="00003F34">
            <w:pPr>
              <w:spacing w:before="0" w:after="60" w:line="240" w:lineRule="auto"/>
              <w:ind w:firstLine="0"/>
              <w:jc w:val="center"/>
              <w:outlineLvl w:val="1"/>
              <w:rPr>
                <w:sz w:val="22"/>
                <w:szCs w:val="22"/>
                <w:lang w:val="sr-Latn-BA"/>
              </w:rPr>
            </w:pPr>
            <w:r w:rsidRPr="001B53A8">
              <w:rPr>
                <w:sz w:val="22"/>
                <w:szCs w:val="22"/>
                <w:lang w:val="sr-Latn-BA"/>
              </w:rPr>
              <w:t>224.000</w:t>
            </w:r>
          </w:p>
        </w:tc>
      </w:tr>
    </w:tbl>
    <w:bookmarkEnd w:id="43"/>
    <w:p w14:paraId="2CB41822" w14:textId="09DB0373" w:rsidR="000A10DE" w:rsidRPr="001B53A8" w:rsidRDefault="00003F34" w:rsidP="006C0A13">
      <w:pPr>
        <w:pStyle w:val="Caption"/>
        <w:tabs>
          <w:tab w:val="left" w:pos="1276"/>
        </w:tabs>
        <w:spacing w:after="0"/>
        <w:ind w:left="1276" w:hanging="1276"/>
        <w:jc w:val="both"/>
        <w:rPr>
          <w:rFonts w:ascii="Times New Roman" w:hAnsi="Times New Roman"/>
          <w:b w:val="0"/>
          <w:sz w:val="24"/>
          <w:szCs w:val="24"/>
          <w:lang w:val="sr-Latn-BA"/>
        </w:rPr>
      </w:pPr>
      <w:r w:rsidRPr="001B53A8">
        <w:rPr>
          <w:rFonts w:ascii="Times New Roman" w:hAnsi="Times New Roman"/>
          <w:sz w:val="24"/>
          <w:szCs w:val="24"/>
          <w:lang w:val="sr-Latn-BA"/>
        </w:rPr>
        <w:t>Tabela</w:t>
      </w:r>
      <w:r w:rsidR="007D4FC0" w:rsidRPr="001B53A8">
        <w:rPr>
          <w:rFonts w:ascii="Times New Roman" w:hAnsi="Times New Roman"/>
          <w:sz w:val="24"/>
          <w:szCs w:val="24"/>
          <w:lang w:val="sr-Latn-BA"/>
        </w:rPr>
        <w:t xml:space="preserve"> </w:t>
      </w:r>
      <w:r w:rsidR="00D3478F" w:rsidRPr="001B53A8">
        <w:rPr>
          <w:rFonts w:ascii="Times New Roman" w:hAnsi="Times New Roman"/>
          <w:sz w:val="24"/>
          <w:szCs w:val="24"/>
          <w:lang w:val="sr-Latn-BA"/>
        </w:rPr>
        <w:fldChar w:fldCharType="begin"/>
      </w:r>
      <w:r w:rsidR="007D4FC0" w:rsidRPr="001B53A8">
        <w:rPr>
          <w:rFonts w:ascii="Times New Roman" w:hAnsi="Times New Roman"/>
          <w:sz w:val="24"/>
          <w:szCs w:val="24"/>
          <w:lang w:val="sr-Latn-BA"/>
        </w:rPr>
        <w:instrText xml:space="preserve"> SEQ Табела \* ARABIC </w:instrText>
      </w:r>
      <w:r w:rsidR="00D3478F" w:rsidRPr="001B53A8">
        <w:rPr>
          <w:rFonts w:ascii="Times New Roman" w:hAnsi="Times New Roman"/>
          <w:sz w:val="24"/>
          <w:szCs w:val="24"/>
          <w:lang w:val="sr-Latn-BA"/>
        </w:rPr>
        <w:fldChar w:fldCharType="separate"/>
      </w:r>
      <w:r w:rsidR="004353DF" w:rsidRPr="001B53A8">
        <w:rPr>
          <w:rFonts w:ascii="Times New Roman" w:hAnsi="Times New Roman"/>
          <w:noProof/>
          <w:sz w:val="24"/>
          <w:szCs w:val="24"/>
          <w:lang w:val="sr-Latn-BA"/>
        </w:rPr>
        <w:t>6</w:t>
      </w:r>
      <w:r w:rsidR="00D3478F" w:rsidRPr="001B53A8">
        <w:rPr>
          <w:rFonts w:ascii="Times New Roman" w:hAnsi="Times New Roman"/>
          <w:sz w:val="24"/>
          <w:szCs w:val="24"/>
          <w:lang w:val="sr-Latn-BA"/>
        </w:rPr>
        <w:fldChar w:fldCharType="end"/>
      </w:r>
      <w:r w:rsidR="007D4FC0" w:rsidRPr="001B53A8">
        <w:rPr>
          <w:rFonts w:ascii="Times New Roman" w:hAnsi="Times New Roman"/>
          <w:sz w:val="24"/>
          <w:szCs w:val="24"/>
          <w:lang w:val="sr-Latn-BA"/>
        </w:rPr>
        <w:t>.</w:t>
      </w:r>
      <w:r w:rsidR="007D4FC0" w:rsidRPr="001B53A8">
        <w:rPr>
          <w:rFonts w:ascii="Times New Roman" w:hAnsi="Times New Roman"/>
          <w:sz w:val="24"/>
          <w:szCs w:val="24"/>
          <w:lang w:val="sr-Latn-BA"/>
        </w:rPr>
        <w:tab/>
      </w:r>
      <w:r w:rsidRPr="001B53A8">
        <w:rPr>
          <w:rFonts w:ascii="Times New Roman" w:hAnsi="Times New Roman"/>
          <w:b w:val="0"/>
          <w:sz w:val="24"/>
          <w:szCs w:val="24"/>
          <w:lang w:val="sr-Latn-BA"/>
        </w:rPr>
        <w:t>Analitički</w:t>
      </w:r>
      <w:r w:rsidR="007D4FC0" w:rsidRPr="001B53A8">
        <w:rPr>
          <w:rFonts w:ascii="Times New Roman" w:hAnsi="Times New Roman"/>
          <w:sz w:val="24"/>
          <w:szCs w:val="24"/>
          <w:lang w:val="sr-Latn-BA"/>
        </w:rPr>
        <w:t xml:space="preserve"> </w:t>
      </w:r>
      <w:r w:rsidRPr="001B53A8">
        <w:rPr>
          <w:rFonts w:ascii="Times New Roman" w:hAnsi="Times New Roman"/>
          <w:b w:val="0"/>
          <w:sz w:val="24"/>
          <w:szCs w:val="24"/>
          <w:lang w:val="sr-Latn-BA"/>
        </w:rPr>
        <w:t>pregled</w:t>
      </w:r>
      <w:r w:rsidR="007D4FC0"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pojedinačnih</w:t>
      </w:r>
      <w:r w:rsidR="007D4FC0"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emisija</w:t>
      </w:r>
      <w:r w:rsidR="007D4FC0"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hartija</w:t>
      </w:r>
      <w:r w:rsidR="007D4FC0"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od</w:t>
      </w:r>
      <w:r w:rsidR="007D4FC0"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vrijednosti</w:t>
      </w:r>
      <w:r w:rsidR="007D4FC0"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po</w:t>
      </w:r>
      <w:r w:rsidR="007D4FC0"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vrsti</w:t>
      </w:r>
      <w:r w:rsidR="007D4FC0"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u</w:t>
      </w:r>
      <w:r w:rsidR="007D4FC0" w:rsidRPr="001B53A8">
        <w:rPr>
          <w:rFonts w:ascii="Times New Roman" w:hAnsi="Times New Roman"/>
          <w:b w:val="0"/>
          <w:sz w:val="24"/>
          <w:szCs w:val="24"/>
          <w:lang w:val="sr-Latn-BA"/>
        </w:rPr>
        <w:t xml:space="preserve"> </w:t>
      </w:r>
      <w:r w:rsidR="0091431E" w:rsidRPr="001B53A8">
        <w:rPr>
          <w:rFonts w:ascii="Times New Roman" w:hAnsi="Times New Roman"/>
          <w:b w:val="0"/>
          <w:sz w:val="24"/>
          <w:szCs w:val="24"/>
          <w:lang w:val="sr-Latn-BA"/>
        </w:rPr>
        <w:t>2023</w:t>
      </w:r>
      <w:r w:rsidR="007D4FC0"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godini</w:t>
      </w:r>
      <w:r w:rsidR="00366869"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u</w:t>
      </w:r>
      <w:r w:rsidR="00366869"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KM</w:t>
      </w:r>
      <w:r w:rsidR="00366869" w:rsidRPr="001B53A8">
        <w:rPr>
          <w:rFonts w:ascii="Times New Roman" w:hAnsi="Times New Roman"/>
          <w:b w:val="0"/>
          <w:sz w:val="24"/>
          <w:szCs w:val="24"/>
          <w:lang w:val="sr-Latn-BA"/>
        </w:rPr>
        <w:t>)</w:t>
      </w:r>
    </w:p>
    <w:p w14:paraId="2C89EE90" w14:textId="43535C09" w:rsidR="009628CE" w:rsidRPr="001B53A8" w:rsidRDefault="00003F34" w:rsidP="006B6E0C">
      <w:pPr>
        <w:pStyle w:val="Heading1"/>
        <w:shd w:val="clear" w:color="auto" w:fill="auto"/>
        <w:spacing w:before="360" w:line="240" w:lineRule="auto"/>
        <w:ind w:left="567" w:hanging="567"/>
        <w:rPr>
          <w:rFonts w:ascii="Times New Roman" w:hAnsi="Times New Roman"/>
          <w:caps w:val="0"/>
          <w:color w:val="002060"/>
          <w:lang w:val="sr-Latn-BA"/>
        </w:rPr>
      </w:pPr>
      <w:bookmarkStart w:id="44" w:name="_Toc194970096"/>
      <w:bookmarkStart w:id="45" w:name="_Toc194970128"/>
      <w:bookmarkStart w:id="46" w:name="_Toc195958360"/>
      <w:bookmarkStart w:id="47" w:name="_Toc321408893"/>
      <w:bookmarkStart w:id="48" w:name="_Toc167962111"/>
      <w:r w:rsidRPr="001B53A8">
        <w:rPr>
          <w:rFonts w:ascii="Times New Roman" w:hAnsi="Times New Roman"/>
          <w:caps w:val="0"/>
          <w:color w:val="002060"/>
          <w:lang w:val="sr-Latn-BA"/>
        </w:rPr>
        <w:t>IZVJEŠTAVAN</w:t>
      </w:r>
      <w:r w:rsidR="00CF7BAC">
        <w:rPr>
          <w:rFonts w:ascii="Times New Roman" w:hAnsi="Times New Roman"/>
          <w:caps w:val="0"/>
          <w:color w:val="002060"/>
          <w:lang w:val="sr-Latn-BA"/>
        </w:rPr>
        <w:t>J</w:t>
      </w:r>
      <w:r w:rsidRPr="001B53A8">
        <w:rPr>
          <w:rFonts w:ascii="Times New Roman" w:hAnsi="Times New Roman"/>
          <w:caps w:val="0"/>
          <w:color w:val="002060"/>
          <w:lang w:val="sr-Latn-BA"/>
        </w:rPr>
        <w:t>E</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I</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OBJAVL</w:t>
      </w:r>
      <w:r w:rsidR="00CF7BAC">
        <w:rPr>
          <w:rFonts w:ascii="Times New Roman" w:hAnsi="Times New Roman"/>
          <w:caps w:val="0"/>
          <w:color w:val="002060"/>
          <w:lang w:val="sr-Latn-BA"/>
        </w:rPr>
        <w:t>J</w:t>
      </w:r>
      <w:r w:rsidRPr="001B53A8">
        <w:rPr>
          <w:rFonts w:ascii="Times New Roman" w:hAnsi="Times New Roman"/>
          <w:caps w:val="0"/>
          <w:color w:val="002060"/>
          <w:lang w:val="sr-Latn-BA"/>
        </w:rPr>
        <w:t>IVAN</w:t>
      </w:r>
      <w:r w:rsidR="00CF7BAC">
        <w:rPr>
          <w:rFonts w:ascii="Times New Roman" w:hAnsi="Times New Roman"/>
          <w:caps w:val="0"/>
          <w:color w:val="002060"/>
          <w:lang w:val="sr-Latn-BA"/>
        </w:rPr>
        <w:t>J</w:t>
      </w:r>
      <w:r w:rsidR="009628CE" w:rsidRPr="001B53A8">
        <w:rPr>
          <w:rFonts w:ascii="Times New Roman" w:hAnsi="Times New Roman"/>
          <w:caps w:val="0"/>
          <w:color w:val="002060"/>
          <w:lang w:val="sr-Latn-BA"/>
        </w:rPr>
        <w:t xml:space="preserve">E </w:t>
      </w:r>
      <w:r w:rsidRPr="001B53A8">
        <w:rPr>
          <w:rFonts w:ascii="Times New Roman" w:hAnsi="Times New Roman"/>
          <w:caps w:val="0"/>
          <w:color w:val="002060"/>
          <w:lang w:val="sr-Latn-BA"/>
        </w:rPr>
        <w:t>INFORMACIJA</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OD</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STRANE</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EMITENATA</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HARTIJA</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OD</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VRIJEDNOSTI</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KOJE</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SU</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PREDMET</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JAVNE</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PRODAJE</w:t>
      </w:r>
      <w:bookmarkEnd w:id="44"/>
      <w:bookmarkEnd w:id="45"/>
      <w:bookmarkEnd w:id="46"/>
      <w:bookmarkEnd w:id="47"/>
      <w:bookmarkEnd w:id="48"/>
    </w:p>
    <w:p w14:paraId="72FF6729" w14:textId="4AED2502" w:rsidR="006F19FB" w:rsidRPr="001B53A8" w:rsidRDefault="00003F34" w:rsidP="006F19FB">
      <w:pPr>
        <w:spacing w:after="0" w:line="240" w:lineRule="auto"/>
        <w:ind w:firstLine="567"/>
        <w:rPr>
          <w:rFonts w:eastAsia="Calibri"/>
          <w:lang w:val="sr-Latn-BA" w:eastAsia="sr-Latn-BA"/>
        </w:rPr>
      </w:pPr>
      <w:bookmarkStart w:id="49" w:name="_Toc194970097"/>
      <w:bookmarkStart w:id="50" w:name="_Toc194970129"/>
      <w:bookmarkStart w:id="51" w:name="_Toc195958361"/>
      <w:bookmarkStart w:id="52" w:name="_Toc321408894"/>
      <w:r w:rsidRPr="001B53A8">
        <w:rPr>
          <w:lang w:val="sr-Latn-BA"/>
        </w:rPr>
        <w:t>Pravilnikom</w:t>
      </w:r>
      <w:r w:rsidR="006F19FB" w:rsidRPr="001B53A8">
        <w:rPr>
          <w:lang w:val="sr-Latn-BA"/>
        </w:rPr>
        <w:t xml:space="preserve"> </w:t>
      </w:r>
      <w:r w:rsidRPr="001B53A8">
        <w:rPr>
          <w:lang w:val="sr-Latn-BA"/>
        </w:rPr>
        <w:t>o</w:t>
      </w:r>
      <w:r w:rsidR="006F19FB" w:rsidRPr="001B53A8">
        <w:rPr>
          <w:lang w:val="sr-Latn-BA"/>
        </w:rPr>
        <w:t xml:space="preserve"> </w:t>
      </w:r>
      <w:r w:rsidRPr="001B53A8">
        <w:rPr>
          <w:lang w:val="sr-Latn-BA"/>
        </w:rPr>
        <w:t>izvještavanju</w:t>
      </w:r>
      <w:r w:rsidR="006F19FB" w:rsidRPr="001B53A8">
        <w:rPr>
          <w:lang w:val="sr-Latn-BA"/>
        </w:rPr>
        <w:t xml:space="preserve"> </w:t>
      </w:r>
      <w:r w:rsidRPr="001B53A8">
        <w:rPr>
          <w:lang w:val="sr-Latn-BA"/>
        </w:rPr>
        <w:t>i</w:t>
      </w:r>
      <w:r w:rsidR="006F19FB" w:rsidRPr="001B53A8">
        <w:rPr>
          <w:lang w:val="sr-Latn-BA"/>
        </w:rPr>
        <w:t xml:space="preserve"> </w:t>
      </w:r>
      <w:r w:rsidRPr="001B53A8">
        <w:rPr>
          <w:lang w:val="sr-Latn-BA"/>
        </w:rPr>
        <w:t>objavlјivanju</w:t>
      </w:r>
      <w:r w:rsidR="006F19FB" w:rsidRPr="001B53A8">
        <w:rPr>
          <w:lang w:val="sr-Latn-BA"/>
        </w:rPr>
        <w:t xml:space="preserve"> </w:t>
      </w:r>
      <w:r w:rsidRPr="001B53A8">
        <w:rPr>
          <w:lang w:val="sr-Latn-BA"/>
        </w:rPr>
        <w:t>informacija</w:t>
      </w:r>
      <w:r w:rsidR="006F19FB" w:rsidRPr="001B53A8">
        <w:rPr>
          <w:lang w:val="sr-Latn-BA"/>
        </w:rPr>
        <w:t xml:space="preserve"> </w:t>
      </w:r>
      <w:r w:rsidRPr="001B53A8">
        <w:rPr>
          <w:lang w:val="sr-Latn-BA"/>
        </w:rPr>
        <w:t>od</w:t>
      </w:r>
      <w:r w:rsidR="006F19FB" w:rsidRPr="001B53A8">
        <w:rPr>
          <w:lang w:val="sr-Latn-BA"/>
        </w:rPr>
        <w:t xml:space="preserve"> </w:t>
      </w:r>
      <w:r w:rsidRPr="001B53A8">
        <w:rPr>
          <w:lang w:val="sr-Latn-BA"/>
        </w:rPr>
        <w:t>strane</w:t>
      </w:r>
      <w:r w:rsidR="006F19FB" w:rsidRPr="001B53A8">
        <w:rPr>
          <w:lang w:val="sr-Latn-BA"/>
        </w:rPr>
        <w:t xml:space="preserve"> </w:t>
      </w:r>
      <w:r w:rsidRPr="001B53A8">
        <w:rPr>
          <w:lang w:val="sr-Latn-BA"/>
        </w:rPr>
        <w:t>emitenata</w:t>
      </w:r>
      <w:r w:rsidR="006F19FB" w:rsidRPr="001B53A8">
        <w:rPr>
          <w:lang w:val="sr-Latn-BA"/>
        </w:rPr>
        <w:t xml:space="preserve"> </w:t>
      </w:r>
      <w:r w:rsidRPr="001B53A8">
        <w:rPr>
          <w:lang w:val="sr-Latn-BA"/>
        </w:rPr>
        <w:t>hartija</w:t>
      </w:r>
      <w:r w:rsidR="006F19FB" w:rsidRPr="001B53A8">
        <w:rPr>
          <w:lang w:val="sr-Latn-BA"/>
        </w:rPr>
        <w:t xml:space="preserve"> </w:t>
      </w:r>
      <w:r w:rsidRPr="001B53A8">
        <w:rPr>
          <w:lang w:val="sr-Latn-BA"/>
        </w:rPr>
        <w:t>od</w:t>
      </w:r>
      <w:r w:rsidR="006F19FB" w:rsidRPr="001B53A8">
        <w:rPr>
          <w:lang w:val="sr-Latn-BA"/>
        </w:rPr>
        <w:t xml:space="preserve"> </w:t>
      </w:r>
      <w:r w:rsidRPr="001B53A8">
        <w:rPr>
          <w:lang w:val="sr-Latn-BA"/>
        </w:rPr>
        <w:t>vrijednosti</w:t>
      </w:r>
      <w:r w:rsidR="006F19FB" w:rsidRPr="001B53A8">
        <w:rPr>
          <w:lang w:val="sr-Latn-BA"/>
        </w:rPr>
        <w:t xml:space="preserve"> </w:t>
      </w:r>
      <w:r w:rsidRPr="001B53A8">
        <w:rPr>
          <w:lang w:val="sr-Latn-BA"/>
        </w:rPr>
        <w:t>koje</w:t>
      </w:r>
      <w:r w:rsidR="006F19FB" w:rsidRPr="001B53A8">
        <w:rPr>
          <w:lang w:val="sr-Latn-BA"/>
        </w:rPr>
        <w:t xml:space="preserve"> </w:t>
      </w:r>
      <w:r w:rsidRPr="001B53A8">
        <w:rPr>
          <w:lang w:val="sr-Latn-BA"/>
        </w:rPr>
        <w:t>su</w:t>
      </w:r>
      <w:r w:rsidR="006F19FB" w:rsidRPr="001B53A8">
        <w:rPr>
          <w:lang w:val="sr-Latn-BA"/>
        </w:rPr>
        <w:t xml:space="preserve"> </w:t>
      </w:r>
      <w:r w:rsidRPr="001B53A8">
        <w:rPr>
          <w:lang w:val="sr-Latn-BA"/>
        </w:rPr>
        <w:t>predmet</w:t>
      </w:r>
      <w:r w:rsidR="006F19FB" w:rsidRPr="001B53A8">
        <w:rPr>
          <w:lang w:val="sr-Latn-BA"/>
        </w:rPr>
        <w:t xml:space="preserve"> </w:t>
      </w:r>
      <w:r w:rsidRPr="001B53A8">
        <w:rPr>
          <w:lang w:val="sr-Latn-BA"/>
        </w:rPr>
        <w:t>javne</w:t>
      </w:r>
      <w:r w:rsidR="006F19FB" w:rsidRPr="001B53A8">
        <w:rPr>
          <w:lang w:val="sr-Latn-BA"/>
        </w:rPr>
        <w:t xml:space="preserve"> </w:t>
      </w:r>
      <w:r w:rsidRPr="001B53A8">
        <w:rPr>
          <w:lang w:val="sr-Latn-BA"/>
        </w:rPr>
        <w:t>prodaje</w:t>
      </w:r>
      <w:r w:rsidR="006F19FB" w:rsidRPr="001B53A8">
        <w:rPr>
          <w:rStyle w:val="FootnoteReference"/>
          <w:lang w:val="sr-Latn-BA"/>
        </w:rPr>
        <w:footnoteReference w:id="3"/>
      </w:r>
      <w:r w:rsidR="006F19FB" w:rsidRPr="001B53A8">
        <w:rPr>
          <w:lang w:val="sr-Latn-BA"/>
        </w:rPr>
        <w:t xml:space="preserve">, </w:t>
      </w:r>
      <w:r w:rsidRPr="001B53A8">
        <w:rPr>
          <w:lang w:val="sr-Latn-BA"/>
        </w:rPr>
        <w:t>detalјno</w:t>
      </w:r>
      <w:r w:rsidR="006F19FB" w:rsidRPr="001B53A8">
        <w:rPr>
          <w:lang w:val="sr-Latn-BA"/>
        </w:rPr>
        <w:t xml:space="preserve"> </w:t>
      </w:r>
      <w:r w:rsidRPr="001B53A8">
        <w:rPr>
          <w:lang w:val="sr-Latn-BA"/>
        </w:rPr>
        <w:t>je</w:t>
      </w:r>
      <w:r w:rsidR="006F19FB" w:rsidRPr="001B53A8">
        <w:rPr>
          <w:lang w:val="sr-Latn-BA"/>
        </w:rPr>
        <w:t xml:space="preserve"> </w:t>
      </w:r>
      <w:r w:rsidRPr="001B53A8">
        <w:rPr>
          <w:lang w:val="sr-Latn-BA"/>
        </w:rPr>
        <w:t>regulisan</w:t>
      </w:r>
      <w:r w:rsidR="006F19FB" w:rsidRPr="001B53A8">
        <w:rPr>
          <w:lang w:val="sr-Latn-BA"/>
        </w:rPr>
        <w:t xml:space="preserve"> </w:t>
      </w:r>
      <w:r w:rsidRPr="001B53A8">
        <w:rPr>
          <w:lang w:val="sr-Latn-BA"/>
        </w:rPr>
        <w:t>način</w:t>
      </w:r>
      <w:r w:rsidR="006F19FB" w:rsidRPr="001B53A8">
        <w:rPr>
          <w:lang w:val="sr-Latn-BA"/>
        </w:rPr>
        <w:t xml:space="preserve"> </w:t>
      </w:r>
      <w:r w:rsidRPr="001B53A8">
        <w:rPr>
          <w:lang w:val="sr-Latn-BA"/>
        </w:rPr>
        <w:t>izvršavanja</w:t>
      </w:r>
      <w:r w:rsidR="006F19FB" w:rsidRPr="001B53A8">
        <w:rPr>
          <w:lang w:val="sr-Latn-BA"/>
        </w:rPr>
        <w:t xml:space="preserve"> </w:t>
      </w:r>
      <w:r w:rsidRPr="001B53A8">
        <w:rPr>
          <w:lang w:val="sr-Latn-BA"/>
        </w:rPr>
        <w:t>obaveza</w:t>
      </w:r>
      <w:r w:rsidR="006F19FB" w:rsidRPr="001B53A8">
        <w:rPr>
          <w:lang w:val="sr-Latn-BA"/>
        </w:rPr>
        <w:t xml:space="preserve"> </w:t>
      </w:r>
      <w:r w:rsidRPr="001B53A8">
        <w:rPr>
          <w:lang w:val="sr-Latn-BA"/>
        </w:rPr>
        <w:t>akcionarskih</w:t>
      </w:r>
      <w:r w:rsidR="006F19FB" w:rsidRPr="001B53A8">
        <w:rPr>
          <w:lang w:val="sr-Latn-BA"/>
        </w:rPr>
        <w:t xml:space="preserve"> </w:t>
      </w:r>
      <w:r w:rsidRPr="001B53A8">
        <w:rPr>
          <w:lang w:val="sr-Latn-BA"/>
        </w:rPr>
        <w:t>društava</w:t>
      </w:r>
      <w:r w:rsidR="006F19FB" w:rsidRPr="001B53A8">
        <w:rPr>
          <w:lang w:val="sr-Latn-BA"/>
        </w:rPr>
        <w:t xml:space="preserve"> </w:t>
      </w:r>
      <w:r w:rsidRPr="001B53A8">
        <w:rPr>
          <w:lang w:val="sr-Latn-BA"/>
        </w:rPr>
        <w:t>i</w:t>
      </w:r>
      <w:r w:rsidR="006F19FB" w:rsidRPr="001B53A8">
        <w:rPr>
          <w:lang w:val="sr-Latn-BA"/>
        </w:rPr>
        <w:t xml:space="preserve"> </w:t>
      </w:r>
      <w:r w:rsidRPr="001B53A8">
        <w:rPr>
          <w:lang w:val="sr-Latn-BA"/>
        </w:rPr>
        <w:t>emitenata</w:t>
      </w:r>
      <w:r w:rsidR="006F19FB" w:rsidRPr="001B53A8">
        <w:rPr>
          <w:lang w:val="sr-Latn-BA"/>
        </w:rPr>
        <w:t xml:space="preserve"> </w:t>
      </w:r>
      <w:r w:rsidRPr="001B53A8">
        <w:rPr>
          <w:lang w:val="sr-Latn-BA"/>
        </w:rPr>
        <w:t>čije</w:t>
      </w:r>
      <w:r w:rsidR="006F19FB" w:rsidRPr="001B53A8">
        <w:rPr>
          <w:lang w:val="sr-Latn-BA"/>
        </w:rPr>
        <w:t xml:space="preserve"> </w:t>
      </w:r>
      <w:r w:rsidRPr="001B53A8">
        <w:rPr>
          <w:lang w:val="sr-Latn-BA"/>
        </w:rPr>
        <w:t>su</w:t>
      </w:r>
      <w:r w:rsidR="006F19FB" w:rsidRPr="001B53A8">
        <w:rPr>
          <w:lang w:val="sr-Latn-BA"/>
        </w:rPr>
        <w:t xml:space="preserve"> </w:t>
      </w:r>
      <w:r w:rsidRPr="001B53A8">
        <w:rPr>
          <w:lang w:val="sr-Latn-BA"/>
        </w:rPr>
        <w:t>hartije</w:t>
      </w:r>
      <w:r w:rsidR="006F19FB" w:rsidRPr="001B53A8">
        <w:rPr>
          <w:lang w:val="sr-Latn-BA"/>
        </w:rPr>
        <w:t xml:space="preserve"> </w:t>
      </w:r>
      <w:r w:rsidRPr="001B53A8">
        <w:rPr>
          <w:lang w:val="sr-Latn-BA"/>
        </w:rPr>
        <w:t>od</w:t>
      </w:r>
      <w:r w:rsidR="006F19FB" w:rsidRPr="001B53A8">
        <w:rPr>
          <w:lang w:val="sr-Latn-BA"/>
        </w:rPr>
        <w:t xml:space="preserve"> </w:t>
      </w:r>
      <w:r w:rsidRPr="001B53A8">
        <w:rPr>
          <w:lang w:val="sr-Latn-BA"/>
        </w:rPr>
        <w:t>vrijednosti</w:t>
      </w:r>
      <w:r w:rsidR="006F19FB" w:rsidRPr="001B53A8">
        <w:rPr>
          <w:lang w:val="sr-Latn-BA"/>
        </w:rPr>
        <w:t xml:space="preserve"> </w:t>
      </w:r>
      <w:r w:rsidRPr="001B53A8">
        <w:rPr>
          <w:lang w:val="sr-Latn-BA"/>
        </w:rPr>
        <w:t>predmet</w:t>
      </w:r>
      <w:r w:rsidR="006F19FB" w:rsidRPr="001B53A8">
        <w:rPr>
          <w:lang w:val="sr-Latn-BA"/>
        </w:rPr>
        <w:t xml:space="preserve"> </w:t>
      </w:r>
      <w:r w:rsidRPr="001B53A8">
        <w:rPr>
          <w:lang w:val="sr-Latn-BA"/>
        </w:rPr>
        <w:t>javne</w:t>
      </w:r>
      <w:r w:rsidR="006F19FB" w:rsidRPr="001B53A8">
        <w:rPr>
          <w:lang w:val="sr-Latn-BA"/>
        </w:rPr>
        <w:t xml:space="preserve"> </w:t>
      </w:r>
      <w:r w:rsidRPr="001B53A8">
        <w:rPr>
          <w:lang w:val="sr-Latn-BA"/>
        </w:rPr>
        <w:t>ponude</w:t>
      </w:r>
      <w:r w:rsidR="006F19FB" w:rsidRPr="001B53A8">
        <w:rPr>
          <w:rFonts w:eastAsia="Calibri"/>
          <w:vertAlign w:val="superscript"/>
          <w:lang w:val="sr-Latn-BA"/>
        </w:rPr>
        <w:footnoteReference w:id="4"/>
      </w:r>
      <w:r w:rsidR="006F19FB" w:rsidRPr="001B53A8">
        <w:rPr>
          <w:lang w:val="sr-Latn-BA"/>
        </w:rPr>
        <w:t>.</w:t>
      </w:r>
    </w:p>
    <w:p w14:paraId="6C36EA59" w14:textId="584C13F4" w:rsidR="003421E1" w:rsidRPr="001B53A8" w:rsidRDefault="00003F34" w:rsidP="003421E1">
      <w:pPr>
        <w:spacing w:after="0" w:line="240" w:lineRule="auto"/>
        <w:ind w:firstLine="567"/>
        <w:rPr>
          <w:lang w:val="sr-Latn-BA"/>
        </w:rPr>
      </w:pPr>
      <w:r w:rsidRPr="001B53A8">
        <w:rPr>
          <w:lang w:val="sr-Latn-BA"/>
        </w:rPr>
        <w:t>Emitenti</w:t>
      </w:r>
      <w:r w:rsidR="003421E1" w:rsidRPr="001B53A8">
        <w:rPr>
          <w:lang w:val="sr-Latn-BA"/>
        </w:rPr>
        <w:t xml:space="preserve">, </w:t>
      </w:r>
      <w:r w:rsidRPr="001B53A8">
        <w:rPr>
          <w:lang w:val="sr-Latn-BA"/>
        </w:rPr>
        <w:t>čije</w:t>
      </w:r>
      <w:r w:rsidR="003421E1" w:rsidRPr="001B53A8">
        <w:rPr>
          <w:lang w:val="sr-Latn-BA"/>
        </w:rPr>
        <w:t xml:space="preserve"> </w:t>
      </w:r>
      <w:r w:rsidRPr="001B53A8">
        <w:rPr>
          <w:lang w:val="sr-Latn-BA"/>
        </w:rPr>
        <w:t>su</w:t>
      </w:r>
      <w:r w:rsidR="003421E1" w:rsidRPr="001B53A8">
        <w:rPr>
          <w:lang w:val="sr-Latn-BA"/>
        </w:rPr>
        <w:t xml:space="preserve"> </w:t>
      </w:r>
      <w:r w:rsidRPr="001B53A8">
        <w:rPr>
          <w:lang w:val="sr-Latn-BA"/>
        </w:rPr>
        <w:t>hartije</w:t>
      </w:r>
      <w:r w:rsidR="003421E1" w:rsidRPr="001B53A8">
        <w:rPr>
          <w:lang w:val="sr-Latn-BA"/>
        </w:rPr>
        <w:t xml:space="preserve"> </w:t>
      </w:r>
      <w:r w:rsidRPr="001B53A8">
        <w:rPr>
          <w:lang w:val="sr-Latn-BA"/>
        </w:rPr>
        <w:t>od</w:t>
      </w:r>
      <w:r w:rsidR="003421E1" w:rsidRPr="001B53A8">
        <w:rPr>
          <w:lang w:val="sr-Latn-BA"/>
        </w:rPr>
        <w:t xml:space="preserve"> </w:t>
      </w:r>
      <w:r w:rsidRPr="001B53A8">
        <w:rPr>
          <w:lang w:val="sr-Latn-BA"/>
        </w:rPr>
        <w:t>vrijednosti</w:t>
      </w:r>
      <w:r w:rsidR="003421E1" w:rsidRPr="001B53A8">
        <w:rPr>
          <w:lang w:val="sr-Latn-BA"/>
        </w:rPr>
        <w:t xml:space="preserve"> </w:t>
      </w:r>
      <w:r w:rsidRPr="001B53A8">
        <w:rPr>
          <w:lang w:val="sr-Latn-BA"/>
        </w:rPr>
        <w:t>uvrštene</w:t>
      </w:r>
      <w:r w:rsidR="003421E1" w:rsidRPr="001B53A8">
        <w:rPr>
          <w:lang w:val="sr-Latn-BA"/>
        </w:rPr>
        <w:t xml:space="preserve"> </w:t>
      </w:r>
      <w:r w:rsidRPr="001B53A8">
        <w:rPr>
          <w:lang w:val="sr-Latn-BA"/>
        </w:rPr>
        <w:t>na</w:t>
      </w:r>
      <w:r w:rsidR="003421E1" w:rsidRPr="001B53A8">
        <w:rPr>
          <w:lang w:val="sr-Latn-BA"/>
        </w:rPr>
        <w:t xml:space="preserve"> </w:t>
      </w:r>
      <w:r w:rsidRPr="001B53A8">
        <w:rPr>
          <w:lang w:val="sr-Latn-BA"/>
        </w:rPr>
        <w:t>službeno</w:t>
      </w:r>
      <w:r w:rsidR="003421E1" w:rsidRPr="001B53A8">
        <w:rPr>
          <w:lang w:val="sr-Latn-BA"/>
        </w:rPr>
        <w:t xml:space="preserve"> </w:t>
      </w:r>
      <w:r w:rsidRPr="001B53A8">
        <w:rPr>
          <w:lang w:val="sr-Latn-BA"/>
        </w:rPr>
        <w:t>berzansko</w:t>
      </w:r>
      <w:r w:rsidR="003421E1" w:rsidRPr="001B53A8">
        <w:rPr>
          <w:lang w:val="sr-Latn-BA"/>
        </w:rPr>
        <w:t xml:space="preserve"> </w:t>
      </w:r>
      <w:r w:rsidRPr="001B53A8">
        <w:rPr>
          <w:lang w:val="sr-Latn-BA"/>
        </w:rPr>
        <w:t>tržište</w:t>
      </w:r>
      <w:r w:rsidR="003421E1" w:rsidRPr="001B53A8">
        <w:rPr>
          <w:lang w:val="sr-Latn-BA"/>
        </w:rPr>
        <w:t xml:space="preserve">, </w:t>
      </w:r>
      <w:r w:rsidRPr="001B53A8">
        <w:rPr>
          <w:lang w:val="sr-Latn-BA"/>
        </w:rPr>
        <w:t>prema</w:t>
      </w:r>
      <w:r w:rsidR="003421E1" w:rsidRPr="001B53A8">
        <w:rPr>
          <w:lang w:val="sr-Latn-BA"/>
        </w:rPr>
        <w:t xml:space="preserve"> </w:t>
      </w:r>
      <w:r w:rsidRPr="001B53A8">
        <w:rPr>
          <w:lang w:val="sr-Latn-BA"/>
        </w:rPr>
        <w:t>članu</w:t>
      </w:r>
      <w:r w:rsidR="003421E1" w:rsidRPr="001B53A8">
        <w:rPr>
          <w:lang w:val="sr-Latn-BA"/>
        </w:rPr>
        <w:t xml:space="preserve"> 284. </w:t>
      </w:r>
      <w:r w:rsidRPr="001B53A8">
        <w:rPr>
          <w:lang w:val="sr-Latn-BA"/>
        </w:rPr>
        <w:t>Zakona</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tržištu</w:t>
      </w:r>
      <w:r w:rsidR="003421E1" w:rsidRPr="001B53A8">
        <w:rPr>
          <w:lang w:val="sr-Latn-BA"/>
        </w:rPr>
        <w:t xml:space="preserve"> </w:t>
      </w:r>
      <w:r w:rsidRPr="001B53A8">
        <w:rPr>
          <w:lang w:val="sr-Latn-BA"/>
        </w:rPr>
        <w:t>hartija</w:t>
      </w:r>
      <w:r w:rsidR="003421E1" w:rsidRPr="001B53A8">
        <w:rPr>
          <w:lang w:val="sr-Latn-BA"/>
        </w:rPr>
        <w:t xml:space="preserve"> </w:t>
      </w:r>
      <w:r w:rsidRPr="001B53A8">
        <w:rPr>
          <w:lang w:val="sr-Latn-BA"/>
        </w:rPr>
        <w:t>od</w:t>
      </w:r>
      <w:r w:rsidR="003421E1" w:rsidRPr="001B53A8">
        <w:rPr>
          <w:lang w:val="sr-Latn-BA"/>
        </w:rPr>
        <w:t xml:space="preserve"> </w:t>
      </w:r>
      <w:r w:rsidRPr="001B53A8">
        <w:rPr>
          <w:lang w:val="sr-Latn-BA"/>
        </w:rPr>
        <w:t>vrijednosti</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članu</w:t>
      </w:r>
      <w:r w:rsidR="003421E1" w:rsidRPr="001B53A8">
        <w:rPr>
          <w:lang w:val="sr-Latn-BA"/>
        </w:rPr>
        <w:t xml:space="preserve"> 2. </w:t>
      </w:r>
      <w:r w:rsidRPr="001B53A8">
        <w:rPr>
          <w:lang w:val="sr-Latn-BA"/>
        </w:rPr>
        <w:t>stav</w:t>
      </w:r>
      <w:r w:rsidR="003421E1" w:rsidRPr="001B53A8">
        <w:rPr>
          <w:lang w:val="sr-Latn-BA"/>
        </w:rPr>
        <w:t xml:space="preserve"> 1. </w:t>
      </w:r>
      <w:r w:rsidRPr="001B53A8">
        <w:rPr>
          <w:lang w:val="sr-Latn-BA"/>
        </w:rPr>
        <w:t>Pravilnika</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izvještavanju</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objavlјivanju</w:t>
      </w:r>
      <w:r w:rsidR="003421E1" w:rsidRPr="001B53A8">
        <w:rPr>
          <w:lang w:val="sr-Latn-BA"/>
        </w:rPr>
        <w:t xml:space="preserve"> </w:t>
      </w:r>
      <w:r w:rsidRPr="001B53A8">
        <w:rPr>
          <w:lang w:val="sr-Latn-BA"/>
        </w:rPr>
        <w:t>informacija</w:t>
      </w:r>
      <w:r w:rsidR="003421E1" w:rsidRPr="001B53A8">
        <w:rPr>
          <w:lang w:val="sr-Latn-BA"/>
        </w:rPr>
        <w:t xml:space="preserve"> </w:t>
      </w:r>
      <w:r w:rsidRPr="001B53A8">
        <w:rPr>
          <w:lang w:val="sr-Latn-BA"/>
        </w:rPr>
        <w:t>od</w:t>
      </w:r>
      <w:r w:rsidR="003421E1" w:rsidRPr="001B53A8">
        <w:rPr>
          <w:lang w:val="sr-Latn-BA"/>
        </w:rPr>
        <w:t xml:space="preserve"> </w:t>
      </w:r>
      <w:r w:rsidRPr="001B53A8">
        <w:rPr>
          <w:lang w:val="sr-Latn-BA"/>
        </w:rPr>
        <w:t>strane</w:t>
      </w:r>
      <w:r w:rsidR="003421E1" w:rsidRPr="001B53A8">
        <w:rPr>
          <w:lang w:val="sr-Latn-BA"/>
        </w:rPr>
        <w:t xml:space="preserve"> </w:t>
      </w:r>
      <w:r w:rsidRPr="001B53A8">
        <w:rPr>
          <w:lang w:val="sr-Latn-BA"/>
        </w:rPr>
        <w:t>emitenata</w:t>
      </w:r>
      <w:r w:rsidR="003421E1" w:rsidRPr="001B53A8">
        <w:rPr>
          <w:lang w:val="sr-Latn-BA"/>
        </w:rPr>
        <w:t xml:space="preserve"> </w:t>
      </w:r>
      <w:r w:rsidRPr="001B53A8">
        <w:rPr>
          <w:lang w:val="sr-Latn-BA"/>
        </w:rPr>
        <w:t>hartija</w:t>
      </w:r>
      <w:r w:rsidR="003421E1" w:rsidRPr="001B53A8">
        <w:rPr>
          <w:lang w:val="sr-Latn-BA"/>
        </w:rPr>
        <w:t xml:space="preserve"> </w:t>
      </w:r>
      <w:r w:rsidRPr="001B53A8">
        <w:rPr>
          <w:lang w:val="sr-Latn-BA"/>
        </w:rPr>
        <w:t>od</w:t>
      </w:r>
      <w:r w:rsidR="003421E1" w:rsidRPr="001B53A8">
        <w:rPr>
          <w:lang w:val="sr-Latn-BA"/>
        </w:rPr>
        <w:t xml:space="preserve"> </w:t>
      </w:r>
      <w:r w:rsidRPr="001B53A8">
        <w:rPr>
          <w:lang w:val="sr-Latn-BA"/>
        </w:rPr>
        <w:t>vrijednosti</w:t>
      </w:r>
      <w:r w:rsidR="003421E1" w:rsidRPr="001B53A8">
        <w:rPr>
          <w:lang w:val="sr-Latn-BA"/>
        </w:rPr>
        <w:t xml:space="preserve"> </w:t>
      </w:r>
      <w:r w:rsidRPr="001B53A8">
        <w:rPr>
          <w:lang w:val="sr-Latn-BA"/>
        </w:rPr>
        <w:t>koje</w:t>
      </w:r>
      <w:r w:rsidR="003421E1" w:rsidRPr="001B53A8">
        <w:rPr>
          <w:lang w:val="sr-Latn-BA"/>
        </w:rPr>
        <w:t xml:space="preserve"> </w:t>
      </w:r>
      <w:r w:rsidRPr="001B53A8">
        <w:rPr>
          <w:lang w:val="sr-Latn-BA"/>
        </w:rPr>
        <w:t>su</w:t>
      </w:r>
      <w:r w:rsidR="003421E1" w:rsidRPr="001B53A8">
        <w:rPr>
          <w:lang w:val="sr-Latn-BA"/>
        </w:rPr>
        <w:t xml:space="preserve"> </w:t>
      </w:r>
      <w:r w:rsidRPr="001B53A8">
        <w:rPr>
          <w:lang w:val="sr-Latn-BA"/>
        </w:rPr>
        <w:t>predmet</w:t>
      </w:r>
      <w:r w:rsidR="003421E1" w:rsidRPr="001B53A8">
        <w:rPr>
          <w:lang w:val="sr-Latn-BA"/>
        </w:rPr>
        <w:t xml:space="preserve"> </w:t>
      </w:r>
      <w:r w:rsidRPr="001B53A8">
        <w:rPr>
          <w:lang w:val="sr-Latn-BA"/>
        </w:rPr>
        <w:t>javne</w:t>
      </w:r>
      <w:r w:rsidR="003421E1" w:rsidRPr="001B53A8">
        <w:rPr>
          <w:lang w:val="sr-Latn-BA"/>
        </w:rPr>
        <w:t xml:space="preserve"> </w:t>
      </w:r>
      <w:r w:rsidRPr="001B53A8">
        <w:rPr>
          <w:lang w:val="sr-Latn-BA"/>
        </w:rPr>
        <w:t>prodaje</w:t>
      </w:r>
      <w:r w:rsidR="003421E1" w:rsidRPr="001B53A8">
        <w:rPr>
          <w:lang w:val="sr-Latn-BA"/>
        </w:rPr>
        <w:t xml:space="preserve">, </w:t>
      </w:r>
      <w:r w:rsidRPr="001B53A8">
        <w:rPr>
          <w:lang w:val="sr-Latn-BA"/>
        </w:rPr>
        <w:t>obavezni</w:t>
      </w:r>
      <w:r w:rsidR="003421E1" w:rsidRPr="001B53A8">
        <w:rPr>
          <w:lang w:val="sr-Latn-BA"/>
        </w:rPr>
        <w:t xml:space="preserve"> </w:t>
      </w:r>
      <w:r w:rsidRPr="001B53A8">
        <w:rPr>
          <w:lang w:val="sr-Latn-BA"/>
        </w:rPr>
        <w:t>su</w:t>
      </w:r>
      <w:r w:rsidR="003421E1" w:rsidRPr="001B53A8">
        <w:rPr>
          <w:lang w:val="sr-Latn-BA"/>
        </w:rPr>
        <w:t xml:space="preserve"> </w:t>
      </w:r>
      <w:r w:rsidRPr="001B53A8">
        <w:rPr>
          <w:lang w:val="sr-Latn-BA"/>
        </w:rPr>
        <w:t>da</w:t>
      </w:r>
      <w:r w:rsidR="003421E1" w:rsidRPr="001B53A8">
        <w:rPr>
          <w:lang w:val="sr-Latn-BA"/>
        </w:rPr>
        <w:t xml:space="preserve"> </w:t>
      </w:r>
      <w:r w:rsidRPr="001B53A8">
        <w:rPr>
          <w:lang w:val="sr-Latn-BA"/>
        </w:rPr>
        <w:t>objavlјuju</w:t>
      </w:r>
      <w:r w:rsidR="003421E1" w:rsidRPr="001B53A8">
        <w:rPr>
          <w:lang w:val="sr-Latn-BA"/>
        </w:rPr>
        <w:t>:</w:t>
      </w:r>
    </w:p>
    <w:p w14:paraId="11C959F6" w14:textId="46B9A016" w:rsidR="003421E1" w:rsidRPr="001B53A8" w:rsidRDefault="00003F34" w:rsidP="003421E1">
      <w:pPr>
        <w:spacing w:before="0" w:after="0" w:line="240" w:lineRule="auto"/>
        <w:ind w:left="851" w:hanging="284"/>
        <w:rPr>
          <w:lang w:val="sr-Latn-BA"/>
        </w:rPr>
      </w:pPr>
      <w:r w:rsidRPr="001B53A8">
        <w:rPr>
          <w:lang w:val="sr-Latn-BA"/>
        </w:rPr>
        <w:t>a</w:t>
      </w:r>
      <w:r w:rsidR="003421E1" w:rsidRPr="001B53A8">
        <w:rPr>
          <w:lang w:val="sr-Latn-BA"/>
        </w:rPr>
        <w:t xml:space="preserve">) </w:t>
      </w:r>
      <w:r w:rsidRPr="001B53A8">
        <w:rPr>
          <w:lang w:val="sr-Latn-BA"/>
        </w:rPr>
        <w:t>godišnje</w:t>
      </w:r>
      <w:r w:rsidR="003421E1" w:rsidRPr="001B53A8">
        <w:rPr>
          <w:lang w:val="sr-Latn-BA"/>
        </w:rPr>
        <w:t xml:space="preserve"> (</w:t>
      </w:r>
      <w:r w:rsidRPr="001B53A8">
        <w:rPr>
          <w:lang w:val="sr-Latn-BA"/>
        </w:rPr>
        <w:t>uklјučujući</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konsolidovane</w:t>
      </w:r>
      <w:r w:rsidR="003421E1" w:rsidRPr="001B53A8">
        <w:rPr>
          <w:lang w:val="sr-Latn-BA"/>
        </w:rPr>
        <w:t xml:space="preserve"> </w:t>
      </w:r>
      <w:r w:rsidRPr="001B53A8">
        <w:rPr>
          <w:lang w:val="sr-Latn-BA"/>
        </w:rPr>
        <w:t>finansijske</w:t>
      </w:r>
      <w:r w:rsidR="003421E1" w:rsidRPr="001B53A8">
        <w:rPr>
          <w:lang w:val="sr-Latn-BA"/>
        </w:rPr>
        <w:t xml:space="preserve"> </w:t>
      </w:r>
      <w:r w:rsidRPr="001B53A8">
        <w:rPr>
          <w:lang w:val="sr-Latn-BA"/>
        </w:rPr>
        <w:t>izvještaje</w:t>
      </w:r>
      <w:r w:rsidR="003421E1" w:rsidRPr="001B53A8">
        <w:rPr>
          <w:lang w:val="sr-Latn-BA"/>
        </w:rPr>
        <w:t xml:space="preserve"> </w:t>
      </w:r>
      <w:r w:rsidRPr="001B53A8">
        <w:rPr>
          <w:lang w:val="sr-Latn-BA"/>
        </w:rPr>
        <w:t>u</w:t>
      </w:r>
      <w:r w:rsidR="003421E1" w:rsidRPr="001B53A8">
        <w:rPr>
          <w:lang w:val="sr-Latn-BA"/>
        </w:rPr>
        <w:t xml:space="preserve"> </w:t>
      </w:r>
      <w:r w:rsidRPr="001B53A8">
        <w:rPr>
          <w:lang w:val="sr-Latn-BA"/>
        </w:rPr>
        <w:t>slučaju</w:t>
      </w:r>
      <w:r w:rsidR="003421E1" w:rsidRPr="001B53A8">
        <w:rPr>
          <w:lang w:val="sr-Latn-BA"/>
        </w:rPr>
        <w:t xml:space="preserve"> </w:t>
      </w:r>
      <w:r w:rsidRPr="001B53A8">
        <w:rPr>
          <w:lang w:val="sr-Latn-BA"/>
        </w:rPr>
        <w:t>da</w:t>
      </w:r>
      <w:r w:rsidR="003421E1" w:rsidRPr="001B53A8">
        <w:rPr>
          <w:lang w:val="sr-Latn-BA"/>
        </w:rPr>
        <w:t xml:space="preserve"> </w:t>
      </w:r>
      <w:r w:rsidRPr="001B53A8">
        <w:rPr>
          <w:lang w:val="sr-Latn-BA"/>
        </w:rPr>
        <w:t>ih</w:t>
      </w:r>
      <w:r w:rsidR="003421E1" w:rsidRPr="001B53A8">
        <w:rPr>
          <w:lang w:val="sr-Latn-BA"/>
        </w:rPr>
        <w:t xml:space="preserve">, </w:t>
      </w:r>
      <w:r w:rsidRPr="001B53A8">
        <w:rPr>
          <w:lang w:val="sr-Latn-BA"/>
        </w:rPr>
        <w:t>po</w:t>
      </w:r>
      <w:r w:rsidR="003421E1" w:rsidRPr="001B53A8">
        <w:rPr>
          <w:lang w:val="sr-Latn-BA"/>
        </w:rPr>
        <w:t xml:space="preserve"> </w:t>
      </w:r>
      <w:r w:rsidRPr="001B53A8">
        <w:rPr>
          <w:lang w:val="sr-Latn-BA" w:bidi="en-US"/>
        </w:rPr>
        <w:t>računovodstvenim</w:t>
      </w:r>
      <w:r w:rsidR="003421E1" w:rsidRPr="001B53A8">
        <w:rPr>
          <w:lang w:val="sr-Latn-BA"/>
        </w:rPr>
        <w:t xml:space="preserve"> </w:t>
      </w:r>
      <w:r w:rsidRPr="001B53A8">
        <w:rPr>
          <w:lang w:val="sr-Latn-BA"/>
        </w:rPr>
        <w:t>propisima</w:t>
      </w:r>
      <w:r w:rsidR="003421E1" w:rsidRPr="001B53A8">
        <w:rPr>
          <w:lang w:val="sr-Latn-BA"/>
        </w:rPr>
        <w:t xml:space="preserve">, </w:t>
      </w:r>
      <w:r w:rsidRPr="001B53A8">
        <w:rPr>
          <w:lang w:val="sr-Latn-BA"/>
        </w:rPr>
        <w:t>izrađuju</w:t>
      </w:r>
      <w:r w:rsidR="003421E1" w:rsidRPr="001B53A8">
        <w:rPr>
          <w:lang w:val="sr-Latn-BA"/>
        </w:rPr>
        <w:t xml:space="preserve">), </w:t>
      </w:r>
      <w:r w:rsidRPr="001B53A8">
        <w:rPr>
          <w:lang w:val="sr-Latn-BA"/>
        </w:rPr>
        <w:t>polugodišnje</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tromjesečne</w:t>
      </w:r>
      <w:r w:rsidR="003421E1" w:rsidRPr="001B53A8">
        <w:rPr>
          <w:lang w:val="sr-Latn-BA"/>
        </w:rPr>
        <w:t xml:space="preserve"> </w:t>
      </w:r>
      <w:r w:rsidRPr="001B53A8">
        <w:rPr>
          <w:lang w:val="sr-Latn-BA"/>
        </w:rPr>
        <w:t>finansijske</w:t>
      </w:r>
      <w:r w:rsidR="003421E1" w:rsidRPr="001B53A8">
        <w:rPr>
          <w:lang w:val="sr-Latn-BA"/>
        </w:rPr>
        <w:t xml:space="preserve"> </w:t>
      </w:r>
      <w:r w:rsidRPr="001B53A8">
        <w:rPr>
          <w:lang w:val="sr-Latn-BA"/>
        </w:rPr>
        <w:t>izvještaje</w:t>
      </w:r>
      <w:r w:rsidR="003421E1" w:rsidRPr="001B53A8">
        <w:rPr>
          <w:lang w:val="sr-Latn-BA"/>
        </w:rPr>
        <w:t>,</w:t>
      </w:r>
    </w:p>
    <w:p w14:paraId="748CEF22" w14:textId="48586EB2" w:rsidR="003421E1" w:rsidRPr="001B53A8" w:rsidRDefault="00003F34" w:rsidP="003421E1">
      <w:pPr>
        <w:spacing w:before="0" w:after="0" w:line="240" w:lineRule="auto"/>
        <w:ind w:left="851" w:hanging="284"/>
        <w:rPr>
          <w:lang w:val="sr-Latn-BA"/>
        </w:rPr>
      </w:pPr>
      <w:r w:rsidRPr="001B53A8">
        <w:rPr>
          <w:lang w:val="sr-Latn-BA"/>
        </w:rPr>
        <w:t>b</w:t>
      </w:r>
      <w:r w:rsidR="003421E1" w:rsidRPr="001B53A8">
        <w:rPr>
          <w:lang w:val="sr-Latn-BA"/>
        </w:rPr>
        <w:t xml:space="preserve">) </w:t>
      </w:r>
      <w:r w:rsidRPr="001B53A8">
        <w:rPr>
          <w:lang w:val="sr-Latn-BA" w:bidi="en-US"/>
        </w:rPr>
        <w:t>revizorske</w:t>
      </w:r>
      <w:r w:rsidR="003421E1" w:rsidRPr="001B53A8">
        <w:rPr>
          <w:lang w:val="sr-Latn-BA"/>
        </w:rPr>
        <w:t xml:space="preserve"> </w:t>
      </w:r>
      <w:r w:rsidRPr="001B53A8">
        <w:rPr>
          <w:lang w:val="sr-Latn-BA"/>
        </w:rPr>
        <w:t>izvještaje</w:t>
      </w:r>
      <w:r w:rsidR="003421E1" w:rsidRPr="001B53A8">
        <w:rPr>
          <w:lang w:val="sr-Latn-BA"/>
        </w:rPr>
        <w:t>,</w:t>
      </w:r>
    </w:p>
    <w:p w14:paraId="5DBED11A" w14:textId="02096FC0" w:rsidR="003421E1" w:rsidRPr="001B53A8" w:rsidRDefault="00003F34" w:rsidP="003421E1">
      <w:pPr>
        <w:spacing w:before="0" w:after="0" w:line="240" w:lineRule="auto"/>
        <w:ind w:left="851" w:hanging="284"/>
        <w:rPr>
          <w:lang w:val="sr-Latn-BA"/>
        </w:rPr>
      </w:pPr>
      <w:r w:rsidRPr="001B53A8">
        <w:rPr>
          <w:lang w:val="sr-Latn-BA"/>
        </w:rPr>
        <w:t>v</w:t>
      </w:r>
      <w:r w:rsidR="003421E1" w:rsidRPr="001B53A8">
        <w:rPr>
          <w:lang w:val="sr-Latn-BA"/>
        </w:rPr>
        <w:t xml:space="preserve">) </w:t>
      </w:r>
      <w:r w:rsidRPr="001B53A8">
        <w:rPr>
          <w:lang w:val="sr-Latn-BA" w:bidi="en-US"/>
        </w:rPr>
        <w:t>izvještaje</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poslovanju</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značajnim</w:t>
      </w:r>
      <w:r w:rsidR="003421E1" w:rsidRPr="001B53A8">
        <w:rPr>
          <w:lang w:val="sr-Latn-BA"/>
        </w:rPr>
        <w:t xml:space="preserve"> </w:t>
      </w:r>
      <w:r w:rsidRPr="001B53A8">
        <w:rPr>
          <w:lang w:val="sr-Latn-BA"/>
        </w:rPr>
        <w:t>događajima</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radnjama</w:t>
      </w:r>
      <w:r w:rsidR="003421E1" w:rsidRPr="001B53A8">
        <w:rPr>
          <w:lang w:val="sr-Latn-BA"/>
        </w:rPr>
        <w:t xml:space="preserve"> </w:t>
      </w:r>
      <w:r w:rsidRPr="001B53A8">
        <w:rPr>
          <w:lang w:val="sr-Latn-BA"/>
        </w:rPr>
        <w:t>koje</w:t>
      </w:r>
      <w:r w:rsidR="003421E1" w:rsidRPr="001B53A8">
        <w:rPr>
          <w:lang w:val="sr-Latn-BA"/>
        </w:rPr>
        <w:t xml:space="preserve"> </w:t>
      </w:r>
      <w:r w:rsidRPr="001B53A8">
        <w:rPr>
          <w:lang w:val="sr-Latn-BA"/>
        </w:rPr>
        <w:t>utiču</w:t>
      </w:r>
      <w:r w:rsidR="003421E1" w:rsidRPr="001B53A8">
        <w:rPr>
          <w:lang w:val="sr-Latn-BA"/>
        </w:rPr>
        <w:t xml:space="preserve"> </w:t>
      </w:r>
      <w:r w:rsidRPr="001B53A8">
        <w:rPr>
          <w:lang w:val="sr-Latn-BA"/>
        </w:rPr>
        <w:t>na</w:t>
      </w:r>
      <w:r w:rsidR="003421E1" w:rsidRPr="001B53A8">
        <w:rPr>
          <w:lang w:val="sr-Latn-BA"/>
        </w:rPr>
        <w:t xml:space="preserve"> </w:t>
      </w:r>
      <w:r w:rsidRPr="001B53A8">
        <w:rPr>
          <w:lang w:val="sr-Latn-BA"/>
        </w:rPr>
        <w:t>poslovanje</w:t>
      </w:r>
      <w:r w:rsidR="003421E1" w:rsidRPr="001B53A8">
        <w:rPr>
          <w:lang w:val="sr-Latn-BA"/>
        </w:rPr>
        <w:t xml:space="preserve"> </w:t>
      </w:r>
      <w:r w:rsidRPr="001B53A8">
        <w:rPr>
          <w:lang w:val="sr-Latn-BA"/>
        </w:rPr>
        <w:t>emitenta</w:t>
      </w:r>
      <w:r w:rsidR="003421E1" w:rsidRPr="001B53A8">
        <w:rPr>
          <w:lang w:val="sr-Latn-BA"/>
        </w:rPr>
        <w:t>,</w:t>
      </w:r>
    </w:p>
    <w:p w14:paraId="7C68C60E" w14:textId="02FEB8AC" w:rsidR="003421E1" w:rsidRPr="001B53A8" w:rsidRDefault="00003F34" w:rsidP="003421E1">
      <w:pPr>
        <w:spacing w:before="0" w:after="0" w:line="240" w:lineRule="auto"/>
        <w:ind w:left="851" w:hanging="284"/>
        <w:rPr>
          <w:lang w:val="sr-Latn-BA"/>
        </w:rPr>
      </w:pPr>
      <w:r w:rsidRPr="001B53A8">
        <w:rPr>
          <w:lang w:val="sr-Latn-BA"/>
        </w:rPr>
        <w:t>g</w:t>
      </w:r>
      <w:r w:rsidR="003421E1" w:rsidRPr="001B53A8">
        <w:rPr>
          <w:lang w:val="sr-Latn-BA"/>
        </w:rPr>
        <w:t xml:space="preserve">) </w:t>
      </w:r>
      <w:r w:rsidRPr="001B53A8">
        <w:rPr>
          <w:lang w:val="sr-Latn-BA"/>
        </w:rPr>
        <w:t>izjavu</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usklađenosti</w:t>
      </w:r>
      <w:r w:rsidR="003421E1" w:rsidRPr="001B53A8">
        <w:rPr>
          <w:lang w:val="sr-Latn-BA"/>
        </w:rPr>
        <w:t xml:space="preserve"> </w:t>
      </w:r>
      <w:r w:rsidRPr="001B53A8">
        <w:rPr>
          <w:lang w:val="sr-Latn-BA"/>
        </w:rPr>
        <w:t>postupanja</w:t>
      </w:r>
      <w:r w:rsidR="003421E1" w:rsidRPr="001B53A8">
        <w:rPr>
          <w:lang w:val="sr-Latn-BA"/>
        </w:rPr>
        <w:t xml:space="preserve"> </w:t>
      </w:r>
      <w:r w:rsidRPr="001B53A8">
        <w:rPr>
          <w:lang w:val="sr-Latn-BA"/>
        </w:rPr>
        <w:t>sa</w:t>
      </w:r>
      <w:r w:rsidR="003421E1" w:rsidRPr="001B53A8">
        <w:rPr>
          <w:lang w:val="sr-Latn-BA"/>
        </w:rPr>
        <w:t xml:space="preserve"> </w:t>
      </w:r>
      <w:r w:rsidRPr="001B53A8">
        <w:rPr>
          <w:lang w:val="sr-Latn-BA"/>
        </w:rPr>
        <w:t>kodeksom</w:t>
      </w:r>
      <w:r w:rsidR="003421E1" w:rsidRPr="001B53A8">
        <w:rPr>
          <w:lang w:val="sr-Latn-BA"/>
        </w:rPr>
        <w:t xml:space="preserve"> </w:t>
      </w:r>
      <w:r w:rsidRPr="001B53A8">
        <w:rPr>
          <w:lang w:val="sr-Latn-BA"/>
        </w:rPr>
        <w:t>ponašanja</w:t>
      </w:r>
      <w:r w:rsidR="003421E1" w:rsidRPr="001B53A8">
        <w:rPr>
          <w:lang w:val="sr-Latn-BA"/>
        </w:rPr>
        <w:t xml:space="preserve"> </w:t>
      </w:r>
      <w:r w:rsidRPr="001B53A8">
        <w:rPr>
          <w:lang w:val="sr-Latn-BA"/>
        </w:rPr>
        <w:t>odnosno</w:t>
      </w:r>
      <w:r w:rsidR="003421E1" w:rsidRPr="001B53A8">
        <w:rPr>
          <w:lang w:val="sr-Latn-BA"/>
        </w:rPr>
        <w:t xml:space="preserve"> </w:t>
      </w:r>
      <w:r w:rsidRPr="001B53A8">
        <w:rPr>
          <w:lang w:val="sr-Latn-BA"/>
        </w:rPr>
        <w:t>standardima</w:t>
      </w:r>
      <w:r w:rsidR="003421E1" w:rsidRPr="001B53A8">
        <w:rPr>
          <w:lang w:val="sr-Latn-BA"/>
        </w:rPr>
        <w:t xml:space="preserve"> </w:t>
      </w:r>
      <w:r w:rsidRPr="001B53A8">
        <w:rPr>
          <w:lang w:val="sr-Latn-BA"/>
        </w:rPr>
        <w:t>korporativnog</w:t>
      </w:r>
      <w:r w:rsidR="003421E1" w:rsidRPr="001B53A8">
        <w:rPr>
          <w:lang w:val="sr-Latn-BA"/>
        </w:rPr>
        <w:t xml:space="preserve"> </w:t>
      </w:r>
      <w:r w:rsidRPr="001B53A8">
        <w:rPr>
          <w:lang w:val="sr-Latn-BA"/>
        </w:rPr>
        <w:t>upravlјanja</w:t>
      </w:r>
      <w:r w:rsidR="003421E1" w:rsidRPr="001B53A8">
        <w:rPr>
          <w:lang w:val="sr-Latn-BA"/>
        </w:rPr>
        <w:t>,</w:t>
      </w:r>
    </w:p>
    <w:p w14:paraId="5A8311B4" w14:textId="5B51BA90" w:rsidR="003421E1" w:rsidRPr="001B53A8" w:rsidRDefault="00003F34" w:rsidP="003421E1">
      <w:pPr>
        <w:spacing w:before="0" w:after="0" w:line="240" w:lineRule="auto"/>
        <w:ind w:left="851" w:hanging="284"/>
        <w:rPr>
          <w:lang w:val="sr-Latn-BA"/>
        </w:rPr>
      </w:pPr>
      <w:r w:rsidRPr="001B53A8">
        <w:rPr>
          <w:lang w:val="sr-Latn-BA"/>
        </w:rPr>
        <w:t>d</w:t>
      </w:r>
      <w:r w:rsidR="003421E1" w:rsidRPr="001B53A8">
        <w:rPr>
          <w:lang w:val="sr-Latn-BA"/>
        </w:rPr>
        <w:t xml:space="preserve">) </w:t>
      </w:r>
      <w:r w:rsidRPr="001B53A8">
        <w:rPr>
          <w:lang w:val="sr-Latn-BA"/>
        </w:rPr>
        <w:t>poseban</w:t>
      </w:r>
      <w:r w:rsidR="003421E1" w:rsidRPr="001B53A8">
        <w:rPr>
          <w:lang w:val="sr-Latn-BA"/>
        </w:rPr>
        <w:t xml:space="preserve"> </w:t>
      </w:r>
      <w:r w:rsidRPr="001B53A8">
        <w:rPr>
          <w:lang w:val="sr-Latn-BA"/>
        </w:rPr>
        <w:t>izvještaj</w:t>
      </w:r>
      <w:r w:rsidR="003421E1" w:rsidRPr="001B53A8">
        <w:rPr>
          <w:lang w:val="sr-Latn-BA"/>
        </w:rPr>
        <w:t xml:space="preserve"> </w:t>
      </w:r>
      <w:r w:rsidRPr="001B53A8">
        <w:rPr>
          <w:lang w:val="sr-Latn-BA"/>
        </w:rPr>
        <w:t>revizora</w:t>
      </w:r>
      <w:r w:rsidR="003421E1" w:rsidRPr="001B53A8">
        <w:rPr>
          <w:lang w:val="sr-Latn-BA"/>
        </w:rPr>
        <w:t xml:space="preserve"> </w:t>
      </w:r>
      <w:r w:rsidRPr="001B53A8">
        <w:rPr>
          <w:lang w:val="sr-Latn-BA"/>
        </w:rPr>
        <w:t>u</w:t>
      </w:r>
      <w:r w:rsidR="003421E1" w:rsidRPr="001B53A8">
        <w:rPr>
          <w:lang w:val="sr-Latn-BA"/>
        </w:rPr>
        <w:t xml:space="preserve"> </w:t>
      </w:r>
      <w:r w:rsidRPr="001B53A8">
        <w:rPr>
          <w:lang w:val="sr-Latn-BA"/>
        </w:rPr>
        <w:t>skladu</w:t>
      </w:r>
      <w:r w:rsidR="003421E1" w:rsidRPr="001B53A8">
        <w:rPr>
          <w:lang w:val="sr-Latn-BA"/>
        </w:rPr>
        <w:t xml:space="preserve"> </w:t>
      </w:r>
      <w:r w:rsidRPr="001B53A8">
        <w:rPr>
          <w:lang w:val="sr-Latn-BA"/>
        </w:rPr>
        <w:t>sa</w:t>
      </w:r>
      <w:r w:rsidR="003421E1" w:rsidRPr="001B53A8">
        <w:rPr>
          <w:lang w:val="sr-Latn-BA"/>
        </w:rPr>
        <w:t xml:space="preserve"> </w:t>
      </w:r>
      <w:r w:rsidRPr="001B53A8">
        <w:rPr>
          <w:lang w:val="sr-Latn-BA"/>
        </w:rPr>
        <w:t>zahtjevima</w:t>
      </w:r>
      <w:r w:rsidR="003421E1" w:rsidRPr="001B53A8">
        <w:rPr>
          <w:lang w:val="sr-Latn-BA"/>
        </w:rPr>
        <w:t xml:space="preserve"> </w:t>
      </w:r>
      <w:r w:rsidRPr="001B53A8">
        <w:rPr>
          <w:lang w:val="sr-Latn-BA"/>
        </w:rPr>
        <w:t>Komisije</w:t>
      </w:r>
      <w:r w:rsidR="003421E1" w:rsidRPr="001B53A8">
        <w:rPr>
          <w:lang w:val="sr-Latn-BA"/>
        </w:rPr>
        <w:t>,</w:t>
      </w:r>
    </w:p>
    <w:p w14:paraId="714B01BA" w14:textId="5E765EFD" w:rsidR="003421E1" w:rsidRPr="001B53A8" w:rsidRDefault="00003F34" w:rsidP="003421E1">
      <w:pPr>
        <w:spacing w:after="0" w:line="240" w:lineRule="auto"/>
        <w:ind w:firstLine="567"/>
        <w:rPr>
          <w:lang w:val="sr-Latn-BA"/>
        </w:rPr>
      </w:pPr>
      <w:r w:rsidRPr="001B53A8">
        <w:rPr>
          <w:lang w:val="sr-Latn-BA"/>
        </w:rPr>
        <w:t>dok</w:t>
      </w:r>
      <w:r w:rsidR="003421E1" w:rsidRPr="001B53A8">
        <w:rPr>
          <w:lang w:val="sr-Latn-BA"/>
        </w:rPr>
        <w:t xml:space="preserve"> </w:t>
      </w:r>
      <w:r w:rsidRPr="001B53A8">
        <w:rPr>
          <w:lang w:val="sr-Latn-BA"/>
        </w:rPr>
        <w:t>su</w:t>
      </w:r>
      <w:r w:rsidR="003421E1" w:rsidRPr="001B53A8">
        <w:rPr>
          <w:lang w:val="sr-Latn-BA"/>
        </w:rPr>
        <w:t xml:space="preserve"> </w:t>
      </w:r>
      <w:r w:rsidRPr="001B53A8">
        <w:rPr>
          <w:lang w:val="sr-Latn-BA"/>
        </w:rPr>
        <w:t>emitenti</w:t>
      </w:r>
      <w:r w:rsidR="003421E1" w:rsidRPr="001B53A8">
        <w:rPr>
          <w:lang w:val="sr-Latn-BA"/>
        </w:rPr>
        <w:t xml:space="preserve">, </w:t>
      </w:r>
      <w:r w:rsidRPr="001B53A8">
        <w:rPr>
          <w:lang w:val="sr-Latn-BA"/>
        </w:rPr>
        <w:t>čijim</w:t>
      </w:r>
      <w:r w:rsidR="003421E1" w:rsidRPr="001B53A8">
        <w:rPr>
          <w:lang w:val="sr-Latn-BA"/>
        </w:rPr>
        <w:t xml:space="preserve"> </w:t>
      </w:r>
      <w:r w:rsidRPr="001B53A8">
        <w:rPr>
          <w:lang w:val="sr-Latn-BA"/>
        </w:rPr>
        <w:t>se</w:t>
      </w:r>
      <w:r w:rsidR="003421E1" w:rsidRPr="001B53A8">
        <w:rPr>
          <w:lang w:val="sr-Latn-BA"/>
        </w:rPr>
        <w:t xml:space="preserve"> </w:t>
      </w:r>
      <w:r w:rsidRPr="001B53A8">
        <w:rPr>
          <w:lang w:val="sr-Latn-BA"/>
        </w:rPr>
        <w:t>hartijama</w:t>
      </w:r>
      <w:r w:rsidR="003421E1" w:rsidRPr="001B53A8">
        <w:rPr>
          <w:lang w:val="sr-Latn-BA"/>
        </w:rPr>
        <w:t xml:space="preserve"> </w:t>
      </w:r>
      <w:r w:rsidRPr="001B53A8">
        <w:rPr>
          <w:lang w:val="sr-Latn-BA"/>
        </w:rPr>
        <w:t>od</w:t>
      </w:r>
      <w:r w:rsidR="003421E1" w:rsidRPr="001B53A8">
        <w:rPr>
          <w:lang w:val="sr-Latn-BA"/>
        </w:rPr>
        <w:t xml:space="preserve"> </w:t>
      </w:r>
      <w:r w:rsidRPr="001B53A8">
        <w:rPr>
          <w:lang w:val="sr-Latn-BA"/>
        </w:rPr>
        <w:t>vrijednosti</w:t>
      </w:r>
      <w:r w:rsidR="003421E1" w:rsidRPr="001B53A8">
        <w:rPr>
          <w:lang w:val="sr-Latn-BA"/>
        </w:rPr>
        <w:t xml:space="preserve"> </w:t>
      </w:r>
      <w:r w:rsidRPr="001B53A8">
        <w:rPr>
          <w:lang w:val="sr-Latn-BA"/>
        </w:rPr>
        <w:t>trguje</w:t>
      </w:r>
      <w:r w:rsidR="003421E1" w:rsidRPr="001B53A8">
        <w:rPr>
          <w:lang w:val="sr-Latn-BA"/>
        </w:rPr>
        <w:t xml:space="preserve"> </w:t>
      </w:r>
      <w:r w:rsidRPr="001B53A8">
        <w:rPr>
          <w:lang w:val="sr-Latn-BA"/>
        </w:rPr>
        <w:t>na</w:t>
      </w:r>
      <w:r w:rsidR="003421E1" w:rsidRPr="001B53A8">
        <w:rPr>
          <w:lang w:val="sr-Latn-BA"/>
        </w:rPr>
        <w:t xml:space="preserve"> </w:t>
      </w:r>
      <w:r w:rsidRPr="001B53A8">
        <w:rPr>
          <w:lang w:val="sr-Latn-BA"/>
        </w:rPr>
        <w:t>slobodnom</w:t>
      </w:r>
      <w:r w:rsidR="003421E1" w:rsidRPr="001B53A8">
        <w:rPr>
          <w:lang w:val="sr-Latn-BA"/>
        </w:rPr>
        <w:t xml:space="preserve"> </w:t>
      </w:r>
      <w:r w:rsidRPr="001B53A8">
        <w:rPr>
          <w:lang w:val="sr-Latn-BA"/>
        </w:rPr>
        <w:t>tržištu</w:t>
      </w:r>
      <w:r w:rsidR="003421E1" w:rsidRPr="001B53A8">
        <w:rPr>
          <w:lang w:val="sr-Latn-BA"/>
        </w:rPr>
        <w:t xml:space="preserve">, </w:t>
      </w:r>
      <w:r w:rsidRPr="001B53A8">
        <w:rPr>
          <w:lang w:val="sr-Latn-BA"/>
        </w:rPr>
        <w:t>prema</w:t>
      </w:r>
      <w:r w:rsidR="003421E1" w:rsidRPr="001B53A8">
        <w:rPr>
          <w:lang w:val="sr-Latn-BA"/>
        </w:rPr>
        <w:t xml:space="preserve"> </w:t>
      </w:r>
      <w:r w:rsidRPr="001B53A8">
        <w:rPr>
          <w:lang w:val="sr-Latn-BA"/>
        </w:rPr>
        <w:t>članu</w:t>
      </w:r>
      <w:r w:rsidR="003421E1" w:rsidRPr="001B53A8">
        <w:rPr>
          <w:lang w:val="sr-Latn-BA"/>
        </w:rPr>
        <w:t xml:space="preserve"> 285. </w:t>
      </w:r>
      <w:r w:rsidRPr="001B53A8">
        <w:rPr>
          <w:lang w:val="sr-Latn-BA"/>
        </w:rPr>
        <w:t>Zakona</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tržištu</w:t>
      </w:r>
      <w:r w:rsidR="003421E1" w:rsidRPr="001B53A8">
        <w:rPr>
          <w:lang w:val="sr-Latn-BA"/>
        </w:rPr>
        <w:t xml:space="preserve"> </w:t>
      </w:r>
      <w:r w:rsidRPr="001B53A8">
        <w:rPr>
          <w:lang w:val="sr-Latn-BA"/>
        </w:rPr>
        <w:t>hartija</w:t>
      </w:r>
      <w:r w:rsidR="003421E1" w:rsidRPr="001B53A8">
        <w:rPr>
          <w:lang w:val="sr-Latn-BA"/>
        </w:rPr>
        <w:t xml:space="preserve"> </w:t>
      </w:r>
      <w:r w:rsidRPr="001B53A8">
        <w:rPr>
          <w:lang w:val="sr-Latn-BA"/>
        </w:rPr>
        <w:t>od</w:t>
      </w:r>
      <w:r w:rsidR="003421E1" w:rsidRPr="001B53A8">
        <w:rPr>
          <w:lang w:val="sr-Latn-BA"/>
        </w:rPr>
        <w:t xml:space="preserve"> </w:t>
      </w:r>
      <w:r w:rsidRPr="001B53A8">
        <w:rPr>
          <w:lang w:val="sr-Latn-BA"/>
        </w:rPr>
        <w:t>vrijednosti</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članu</w:t>
      </w:r>
      <w:r w:rsidR="003421E1" w:rsidRPr="001B53A8">
        <w:rPr>
          <w:lang w:val="sr-Latn-BA"/>
        </w:rPr>
        <w:t xml:space="preserve"> 2. </w:t>
      </w:r>
      <w:r w:rsidRPr="001B53A8">
        <w:rPr>
          <w:lang w:val="sr-Latn-BA"/>
        </w:rPr>
        <w:t>stav</w:t>
      </w:r>
      <w:r w:rsidR="003421E1" w:rsidRPr="001B53A8">
        <w:rPr>
          <w:lang w:val="sr-Latn-BA"/>
        </w:rPr>
        <w:t xml:space="preserve"> 2. </w:t>
      </w:r>
      <w:r w:rsidRPr="001B53A8">
        <w:rPr>
          <w:lang w:val="sr-Latn-BA"/>
        </w:rPr>
        <w:t>Pravilnika</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izvještavanju</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objavlјivanju</w:t>
      </w:r>
      <w:r w:rsidR="003421E1" w:rsidRPr="001B53A8">
        <w:rPr>
          <w:lang w:val="sr-Latn-BA"/>
        </w:rPr>
        <w:t xml:space="preserve"> </w:t>
      </w:r>
      <w:r w:rsidRPr="001B53A8">
        <w:rPr>
          <w:lang w:val="sr-Latn-BA"/>
        </w:rPr>
        <w:t>informacija</w:t>
      </w:r>
      <w:r w:rsidR="003421E1" w:rsidRPr="001B53A8">
        <w:rPr>
          <w:lang w:val="sr-Latn-BA"/>
        </w:rPr>
        <w:t xml:space="preserve"> </w:t>
      </w:r>
      <w:r w:rsidRPr="001B53A8">
        <w:rPr>
          <w:lang w:val="sr-Latn-BA"/>
        </w:rPr>
        <w:t>od</w:t>
      </w:r>
      <w:r w:rsidR="003421E1" w:rsidRPr="001B53A8">
        <w:rPr>
          <w:lang w:val="sr-Latn-BA"/>
        </w:rPr>
        <w:t xml:space="preserve"> </w:t>
      </w:r>
      <w:r w:rsidRPr="001B53A8">
        <w:rPr>
          <w:lang w:val="sr-Latn-BA"/>
        </w:rPr>
        <w:t>strane</w:t>
      </w:r>
      <w:r w:rsidR="003421E1" w:rsidRPr="001B53A8">
        <w:rPr>
          <w:lang w:val="sr-Latn-BA"/>
        </w:rPr>
        <w:t xml:space="preserve"> </w:t>
      </w:r>
      <w:r w:rsidRPr="001B53A8">
        <w:rPr>
          <w:lang w:val="sr-Latn-BA"/>
        </w:rPr>
        <w:t>emitenata</w:t>
      </w:r>
      <w:r w:rsidR="003421E1" w:rsidRPr="001B53A8">
        <w:rPr>
          <w:lang w:val="sr-Latn-BA"/>
        </w:rPr>
        <w:t xml:space="preserve"> </w:t>
      </w:r>
      <w:r w:rsidRPr="001B53A8">
        <w:rPr>
          <w:lang w:val="sr-Latn-BA"/>
        </w:rPr>
        <w:t>hartija</w:t>
      </w:r>
      <w:r w:rsidR="003421E1" w:rsidRPr="001B53A8">
        <w:rPr>
          <w:lang w:val="sr-Latn-BA"/>
        </w:rPr>
        <w:t xml:space="preserve"> </w:t>
      </w:r>
      <w:r w:rsidRPr="001B53A8">
        <w:rPr>
          <w:lang w:val="sr-Latn-BA"/>
        </w:rPr>
        <w:t>od</w:t>
      </w:r>
      <w:r w:rsidR="003421E1" w:rsidRPr="001B53A8">
        <w:rPr>
          <w:lang w:val="sr-Latn-BA"/>
        </w:rPr>
        <w:t xml:space="preserve"> </w:t>
      </w:r>
      <w:r w:rsidRPr="001B53A8">
        <w:rPr>
          <w:lang w:val="sr-Latn-BA"/>
        </w:rPr>
        <w:t>vrijednosti</w:t>
      </w:r>
      <w:r w:rsidR="003421E1" w:rsidRPr="001B53A8">
        <w:rPr>
          <w:lang w:val="sr-Latn-BA"/>
        </w:rPr>
        <w:t xml:space="preserve"> </w:t>
      </w:r>
      <w:r w:rsidRPr="001B53A8">
        <w:rPr>
          <w:lang w:val="sr-Latn-BA"/>
        </w:rPr>
        <w:t>koje</w:t>
      </w:r>
      <w:r w:rsidR="003421E1" w:rsidRPr="001B53A8">
        <w:rPr>
          <w:lang w:val="sr-Latn-BA"/>
        </w:rPr>
        <w:t xml:space="preserve"> </w:t>
      </w:r>
      <w:r w:rsidRPr="001B53A8">
        <w:rPr>
          <w:lang w:val="sr-Latn-BA"/>
        </w:rPr>
        <w:t>su</w:t>
      </w:r>
      <w:r w:rsidR="003421E1" w:rsidRPr="001B53A8">
        <w:rPr>
          <w:lang w:val="sr-Latn-BA"/>
        </w:rPr>
        <w:t xml:space="preserve"> </w:t>
      </w:r>
      <w:r w:rsidRPr="001B53A8">
        <w:rPr>
          <w:lang w:val="sr-Latn-BA"/>
        </w:rPr>
        <w:t>predmet</w:t>
      </w:r>
      <w:r w:rsidR="003421E1" w:rsidRPr="001B53A8">
        <w:rPr>
          <w:lang w:val="sr-Latn-BA"/>
        </w:rPr>
        <w:t xml:space="preserve"> </w:t>
      </w:r>
      <w:r w:rsidRPr="001B53A8">
        <w:rPr>
          <w:lang w:val="sr-Latn-BA"/>
        </w:rPr>
        <w:t>javne</w:t>
      </w:r>
      <w:r w:rsidR="003421E1" w:rsidRPr="001B53A8">
        <w:rPr>
          <w:lang w:val="sr-Latn-BA"/>
        </w:rPr>
        <w:t xml:space="preserve"> </w:t>
      </w:r>
      <w:r w:rsidRPr="001B53A8">
        <w:rPr>
          <w:lang w:val="sr-Latn-BA"/>
        </w:rPr>
        <w:t>prodaje</w:t>
      </w:r>
      <w:r w:rsidR="003421E1" w:rsidRPr="001B53A8">
        <w:rPr>
          <w:lang w:val="sr-Latn-BA"/>
        </w:rPr>
        <w:t xml:space="preserve">, </w:t>
      </w:r>
      <w:r w:rsidRPr="001B53A8">
        <w:rPr>
          <w:lang w:val="sr-Latn-BA"/>
        </w:rPr>
        <w:t>obavezni</w:t>
      </w:r>
      <w:r w:rsidR="003421E1" w:rsidRPr="001B53A8">
        <w:rPr>
          <w:lang w:val="sr-Latn-BA"/>
        </w:rPr>
        <w:t xml:space="preserve"> </w:t>
      </w:r>
      <w:r w:rsidRPr="001B53A8">
        <w:rPr>
          <w:lang w:val="sr-Latn-BA"/>
        </w:rPr>
        <w:t>da</w:t>
      </w:r>
      <w:r w:rsidR="003421E1" w:rsidRPr="001B53A8">
        <w:rPr>
          <w:lang w:val="sr-Latn-BA"/>
        </w:rPr>
        <w:t xml:space="preserve"> </w:t>
      </w:r>
      <w:r w:rsidRPr="001B53A8">
        <w:rPr>
          <w:lang w:val="sr-Latn-BA"/>
        </w:rPr>
        <w:t>objavlјuju</w:t>
      </w:r>
      <w:r w:rsidR="003421E1" w:rsidRPr="001B53A8">
        <w:rPr>
          <w:lang w:val="sr-Latn-BA"/>
        </w:rPr>
        <w:t>:</w:t>
      </w:r>
    </w:p>
    <w:p w14:paraId="658E2684" w14:textId="0390A9DA" w:rsidR="003421E1" w:rsidRPr="001B53A8" w:rsidRDefault="00003F34" w:rsidP="003421E1">
      <w:pPr>
        <w:spacing w:before="0" w:after="0" w:line="240" w:lineRule="auto"/>
        <w:ind w:left="851" w:hanging="284"/>
        <w:rPr>
          <w:lang w:val="sr-Latn-BA"/>
        </w:rPr>
      </w:pPr>
      <w:r w:rsidRPr="001B53A8">
        <w:rPr>
          <w:lang w:val="sr-Latn-BA"/>
        </w:rPr>
        <w:t>a</w:t>
      </w:r>
      <w:r w:rsidR="003421E1" w:rsidRPr="001B53A8">
        <w:rPr>
          <w:lang w:val="sr-Latn-BA"/>
        </w:rPr>
        <w:t xml:space="preserve">) </w:t>
      </w:r>
      <w:r w:rsidRPr="001B53A8">
        <w:rPr>
          <w:lang w:val="sr-Latn-BA"/>
        </w:rPr>
        <w:t>godišnje</w:t>
      </w:r>
      <w:r w:rsidR="003421E1" w:rsidRPr="001B53A8">
        <w:rPr>
          <w:lang w:val="sr-Latn-BA"/>
        </w:rPr>
        <w:t xml:space="preserve"> </w:t>
      </w:r>
      <w:r w:rsidRPr="001B53A8">
        <w:rPr>
          <w:lang w:val="sr-Latn-BA"/>
        </w:rPr>
        <w:t>finansijske</w:t>
      </w:r>
      <w:r w:rsidR="003421E1" w:rsidRPr="001B53A8">
        <w:rPr>
          <w:lang w:val="sr-Latn-BA"/>
        </w:rPr>
        <w:t xml:space="preserve"> </w:t>
      </w:r>
      <w:r w:rsidRPr="001B53A8">
        <w:rPr>
          <w:lang w:val="sr-Latn-BA"/>
        </w:rPr>
        <w:t>izvještaje</w:t>
      </w:r>
      <w:r w:rsidR="003421E1" w:rsidRPr="001B53A8">
        <w:rPr>
          <w:lang w:val="sr-Latn-BA"/>
        </w:rPr>
        <w:t xml:space="preserve"> (</w:t>
      </w:r>
      <w:r w:rsidRPr="001B53A8">
        <w:rPr>
          <w:lang w:val="sr-Latn-BA"/>
        </w:rPr>
        <w:t>uklјučujući</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konsolidovane</w:t>
      </w:r>
      <w:r w:rsidR="003421E1" w:rsidRPr="001B53A8">
        <w:rPr>
          <w:lang w:val="sr-Latn-BA"/>
        </w:rPr>
        <w:t xml:space="preserve"> </w:t>
      </w:r>
      <w:r w:rsidRPr="001B53A8">
        <w:rPr>
          <w:lang w:val="sr-Latn-BA"/>
        </w:rPr>
        <w:t>finansijske</w:t>
      </w:r>
      <w:r w:rsidR="003421E1" w:rsidRPr="001B53A8">
        <w:rPr>
          <w:lang w:val="sr-Latn-BA"/>
        </w:rPr>
        <w:t xml:space="preserve"> </w:t>
      </w:r>
      <w:r w:rsidRPr="001B53A8">
        <w:rPr>
          <w:lang w:val="sr-Latn-BA" w:bidi="en-US"/>
        </w:rPr>
        <w:t>izvještaje</w:t>
      </w:r>
      <w:r w:rsidR="003421E1" w:rsidRPr="001B53A8">
        <w:rPr>
          <w:lang w:val="sr-Latn-BA"/>
        </w:rPr>
        <w:t xml:space="preserve"> </w:t>
      </w:r>
      <w:r w:rsidRPr="001B53A8">
        <w:rPr>
          <w:lang w:val="sr-Latn-BA"/>
        </w:rPr>
        <w:t>u</w:t>
      </w:r>
      <w:r w:rsidR="003421E1" w:rsidRPr="001B53A8">
        <w:rPr>
          <w:lang w:val="sr-Latn-BA"/>
        </w:rPr>
        <w:t xml:space="preserve"> </w:t>
      </w:r>
      <w:r w:rsidRPr="001B53A8">
        <w:rPr>
          <w:lang w:val="sr-Latn-BA"/>
        </w:rPr>
        <w:t>slučaju</w:t>
      </w:r>
      <w:r w:rsidR="003421E1" w:rsidRPr="001B53A8">
        <w:rPr>
          <w:lang w:val="sr-Latn-BA"/>
        </w:rPr>
        <w:t xml:space="preserve"> </w:t>
      </w:r>
      <w:r w:rsidRPr="001B53A8">
        <w:rPr>
          <w:lang w:val="sr-Latn-BA"/>
        </w:rPr>
        <w:t>da</w:t>
      </w:r>
      <w:r w:rsidR="003421E1" w:rsidRPr="001B53A8">
        <w:rPr>
          <w:lang w:val="sr-Latn-BA"/>
        </w:rPr>
        <w:t xml:space="preserve"> </w:t>
      </w:r>
      <w:r w:rsidRPr="001B53A8">
        <w:rPr>
          <w:lang w:val="sr-Latn-BA"/>
        </w:rPr>
        <w:t>ih</w:t>
      </w:r>
      <w:r w:rsidR="003421E1" w:rsidRPr="001B53A8">
        <w:rPr>
          <w:lang w:val="sr-Latn-BA"/>
        </w:rPr>
        <w:t xml:space="preserve">, </w:t>
      </w:r>
      <w:r w:rsidRPr="001B53A8">
        <w:rPr>
          <w:lang w:val="sr-Latn-BA"/>
        </w:rPr>
        <w:t>po</w:t>
      </w:r>
      <w:r w:rsidR="003421E1" w:rsidRPr="001B53A8">
        <w:rPr>
          <w:lang w:val="sr-Latn-BA"/>
        </w:rPr>
        <w:t xml:space="preserve"> </w:t>
      </w:r>
      <w:r w:rsidRPr="001B53A8">
        <w:rPr>
          <w:lang w:val="sr-Latn-BA"/>
        </w:rPr>
        <w:t>računovodstvenim</w:t>
      </w:r>
      <w:r w:rsidR="003421E1" w:rsidRPr="001B53A8">
        <w:rPr>
          <w:lang w:val="sr-Latn-BA"/>
        </w:rPr>
        <w:t xml:space="preserve"> </w:t>
      </w:r>
      <w:r w:rsidRPr="001B53A8">
        <w:rPr>
          <w:lang w:val="sr-Latn-BA"/>
        </w:rPr>
        <w:t>propisima</w:t>
      </w:r>
      <w:r w:rsidR="003421E1" w:rsidRPr="001B53A8">
        <w:rPr>
          <w:lang w:val="sr-Latn-BA"/>
        </w:rPr>
        <w:t xml:space="preserve">, </w:t>
      </w:r>
      <w:r w:rsidRPr="001B53A8">
        <w:rPr>
          <w:lang w:val="sr-Latn-BA"/>
        </w:rPr>
        <w:t>izrađuju</w:t>
      </w:r>
      <w:r w:rsidR="003421E1" w:rsidRPr="001B53A8">
        <w:rPr>
          <w:lang w:val="sr-Latn-BA"/>
        </w:rPr>
        <w:t>),</w:t>
      </w:r>
    </w:p>
    <w:p w14:paraId="1968902A" w14:textId="65E6FB0D" w:rsidR="003421E1" w:rsidRPr="001B53A8" w:rsidRDefault="00003F34" w:rsidP="003421E1">
      <w:pPr>
        <w:spacing w:before="0" w:after="0" w:line="240" w:lineRule="auto"/>
        <w:ind w:left="851" w:hanging="284"/>
        <w:rPr>
          <w:lang w:val="sr-Latn-BA"/>
        </w:rPr>
      </w:pPr>
      <w:r w:rsidRPr="001B53A8">
        <w:rPr>
          <w:lang w:val="sr-Latn-BA"/>
        </w:rPr>
        <w:t>b</w:t>
      </w:r>
      <w:r w:rsidR="003421E1" w:rsidRPr="001B53A8">
        <w:rPr>
          <w:lang w:val="sr-Latn-BA"/>
        </w:rPr>
        <w:t xml:space="preserve">) </w:t>
      </w:r>
      <w:r w:rsidRPr="001B53A8">
        <w:rPr>
          <w:lang w:val="sr-Latn-BA" w:bidi="en-US"/>
        </w:rPr>
        <w:t>revizorske</w:t>
      </w:r>
      <w:r w:rsidR="003421E1" w:rsidRPr="001B53A8">
        <w:rPr>
          <w:lang w:val="sr-Latn-BA"/>
        </w:rPr>
        <w:t xml:space="preserve"> </w:t>
      </w:r>
      <w:r w:rsidRPr="001B53A8">
        <w:rPr>
          <w:lang w:val="sr-Latn-BA"/>
        </w:rPr>
        <w:t>izvještaje</w:t>
      </w:r>
      <w:r w:rsidR="003421E1" w:rsidRPr="001B53A8">
        <w:rPr>
          <w:lang w:val="sr-Latn-BA"/>
        </w:rPr>
        <w:t xml:space="preserve">, </w:t>
      </w:r>
    </w:p>
    <w:p w14:paraId="5B6F588C" w14:textId="75769B4D" w:rsidR="003421E1" w:rsidRPr="001B53A8" w:rsidRDefault="00003F34" w:rsidP="003421E1">
      <w:pPr>
        <w:spacing w:before="0" w:after="0" w:line="240" w:lineRule="auto"/>
        <w:ind w:left="851" w:hanging="284"/>
        <w:rPr>
          <w:lang w:val="sr-Latn-BA"/>
        </w:rPr>
      </w:pPr>
      <w:r w:rsidRPr="001B53A8">
        <w:rPr>
          <w:lang w:val="sr-Latn-BA"/>
        </w:rPr>
        <w:t>v</w:t>
      </w:r>
      <w:r w:rsidR="003421E1" w:rsidRPr="001B53A8">
        <w:rPr>
          <w:lang w:val="sr-Latn-BA"/>
        </w:rPr>
        <w:t xml:space="preserve">) </w:t>
      </w:r>
      <w:r w:rsidRPr="001B53A8">
        <w:rPr>
          <w:lang w:val="sr-Latn-BA" w:bidi="en-US"/>
        </w:rPr>
        <w:t>izvještaje</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poslovanju</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značajnim</w:t>
      </w:r>
      <w:r w:rsidR="003421E1" w:rsidRPr="001B53A8">
        <w:rPr>
          <w:lang w:val="sr-Latn-BA"/>
        </w:rPr>
        <w:t xml:space="preserve"> </w:t>
      </w:r>
      <w:r w:rsidRPr="001B53A8">
        <w:rPr>
          <w:lang w:val="sr-Latn-BA"/>
        </w:rPr>
        <w:t>događajima</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radnjama</w:t>
      </w:r>
      <w:r w:rsidR="003421E1" w:rsidRPr="001B53A8">
        <w:rPr>
          <w:lang w:val="sr-Latn-BA"/>
        </w:rPr>
        <w:t xml:space="preserve"> </w:t>
      </w:r>
      <w:r w:rsidRPr="001B53A8">
        <w:rPr>
          <w:lang w:val="sr-Latn-BA"/>
        </w:rPr>
        <w:t>koje</w:t>
      </w:r>
      <w:r w:rsidR="003421E1" w:rsidRPr="001B53A8">
        <w:rPr>
          <w:lang w:val="sr-Latn-BA"/>
        </w:rPr>
        <w:t xml:space="preserve"> </w:t>
      </w:r>
      <w:r w:rsidRPr="001B53A8">
        <w:rPr>
          <w:lang w:val="sr-Latn-BA"/>
        </w:rPr>
        <w:t>utiču</w:t>
      </w:r>
      <w:r w:rsidR="003421E1" w:rsidRPr="001B53A8">
        <w:rPr>
          <w:lang w:val="sr-Latn-BA"/>
        </w:rPr>
        <w:t xml:space="preserve"> </w:t>
      </w:r>
      <w:r w:rsidRPr="001B53A8">
        <w:rPr>
          <w:lang w:val="sr-Latn-BA"/>
        </w:rPr>
        <w:t>na</w:t>
      </w:r>
      <w:r w:rsidR="003421E1" w:rsidRPr="001B53A8">
        <w:rPr>
          <w:lang w:val="sr-Latn-BA"/>
        </w:rPr>
        <w:t xml:space="preserve"> </w:t>
      </w:r>
      <w:r w:rsidRPr="001B53A8">
        <w:rPr>
          <w:lang w:val="sr-Latn-BA"/>
        </w:rPr>
        <w:t>poslovanje</w:t>
      </w:r>
      <w:r w:rsidR="003421E1" w:rsidRPr="001B53A8">
        <w:rPr>
          <w:lang w:val="sr-Latn-BA"/>
        </w:rPr>
        <w:t xml:space="preserve"> </w:t>
      </w:r>
      <w:r w:rsidRPr="001B53A8">
        <w:rPr>
          <w:lang w:val="sr-Latn-BA"/>
        </w:rPr>
        <w:t>emitenta</w:t>
      </w:r>
      <w:r w:rsidR="003421E1" w:rsidRPr="001B53A8">
        <w:rPr>
          <w:lang w:val="sr-Latn-BA"/>
        </w:rPr>
        <w:t xml:space="preserve">, </w:t>
      </w:r>
    </w:p>
    <w:p w14:paraId="59A4E307" w14:textId="04435B4C" w:rsidR="003421E1" w:rsidRPr="001B53A8" w:rsidRDefault="00003F34" w:rsidP="003421E1">
      <w:pPr>
        <w:spacing w:after="0" w:line="240" w:lineRule="auto"/>
        <w:ind w:firstLine="0"/>
        <w:rPr>
          <w:lang w:val="sr-Latn-BA"/>
        </w:rPr>
      </w:pPr>
      <w:r w:rsidRPr="001B53A8">
        <w:rPr>
          <w:lang w:val="sr-Latn-BA"/>
        </w:rPr>
        <w:lastRenderedPageBreak/>
        <w:t>a</w:t>
      </w:r>
      <w:r w:rsidR="003421E1" w:rsidRPr="001B53A8">
        <w:rPr>
          <w:lang w:val="sr-Latn-BA"/>
        </w:rPr>
        <w:t xml:space="preserve"> </w:t>
      </w:r>
      <w:r w:rsidRPr="001B53A8">
        <w:rPr>
          <w:lang w:val="sr-Latn-BA"/>
        </w:rPr>
        <w:t>u</w:t>
      </w:r>
      <w:r w:rsidR="003421E1" w:rsidRPr="001B53A8">
        <w:rPr>
          <w:lang w:val="sr-Latn-BA"/>
        </w:rPr>
        <w:t xml:space="preserve"> </w:t>
      </w:r>
      <w:r w:rsidRPr="001B53A8">
        <w:rPr>
          <w:lang w:val="sr-Latn-BA"/>
        </w:rPr>
        <w:t>slučaju</w:t>
      </w:r>
      <w:r w:rsidR="003421E1" w:rsidRPr="001B53A8">
        <w:rPr>
          <w:lang w:val="sr-Latn-BA"/>
        </w:rPr>
        <w:t xml:space="preserve"> </w:t>
      </w:r>
      <w:r w:rsidRPr="001B53A8">
        <w:rPr>
          <w:lang w:val="sr-Latn-BA"/>
        </w:rPr>
        <w:t>da</w:t>
      </w:r>
      <w:r w:rsidR="003421E1" w:rsidRPr="001B53A8">
        <w:rPr>
          <w:lang w:val="sr-Latn-BA"/>
        </w:rPr>
        <w:t xml:space="preserve"> </w:t>
      </w:r>
      <w:r w:rsidRPr="001B53A8">
        <w:rPr>
          <w:lang w:val="sr-Latn-BA"/>
        </w:rPr>
        <w:t>sastavlјaju</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izvještaje</w:t>
      </w:r>
      <w:r w:rsidR="003421E1" w:rsidRPr="001B53A8">
        <w:rPr>
          <w:lang w:val="sr-Latn-BA"/>
        </w:rPr>
        <w:t xml:space="preserve"> </w:t>
      </w:r>
      <w:r w:rsidRPr="001B53A8">
        <w:rPr>
          <w:lang w:val="sr-Latn-BA"/>
        </w:rPr>
        <w:t>koje</w:t>
      </w:r>
      <w:r w:rsidR="003421E1" w:rsidRPr="001B53A8">
        <w:rPr>
          <w:lang w:val="sr-Latn-BA"/>
        </w:rPr>
        <w:t xml:space="preserve"> </w:t>
      </w:r>
      <w:r w:rsidRPr="001B53A8">
        <w:rPr>
          <w:lang w:val="sr-Latn-BA"/>
        </w:rPr>
        <w:t>sastavlјaju</w:t>
      </w:r>
      <w:r w:rsidR="003421E1" w:rsidRPr="001B53A8">
        <w:rPr>
          <w:lang w:val="sr-Latn-BA"/>
        </w:rPr>
        <w:t xml:space="preserve"> </w:t>
      </w:r>
      <w:r w:rsidRPr="001B53A8">
        <w:rPr>
          <w:lang w:val="sr-Latn-BA"/>
        </w:rPr>
        <w:t>emitenti</w:t>
      </w:r>
      <w:r w:rsidR="003421E1" w:rsidRPr="001B53A8">
        <w:rPr>
          <w:lang w:val="sr-Latn-BA"/>
        </w:rPr>
        <w:t xml:space="preserve"> </w:t>
      </w:r>
      <w:r w:rsidRPr="001B53A8">
        <w:rPr>
          <w:lang w:val="sr-Latn-BA"/>
        </w:rPr>
        <w:t>čije</w:t>
      </w:r>
      <w:r w:rsidR="003421E1" w:rsidRPr="001B53A8">
        <w:rPr>
          <w:lang w:val="sr-Latn-BA"/>
        </w:rPr>
        <w:t xml:space="preserve"> </w:t>
      </w:r>
      <w:r w:rsidRPr="001B53A8">
        <w:rPr>
          <w:lang w:val="sr-Latn-BA"/>
        </w:rPr>
        <w:t>su</w:t>
      </w:r>
      <w:r w:rsidR="003421E1" w:rsidRPr="001B53A8">
        <w:rPr>
          <w:lang w:val="sr-Latn-BA"/>
        </w:rPr>
        <w:t xml:space="preserve"> </w:t>
      </w:r>
      <w:r w:rsidRPr="001B53A8">
        <w:rPr>
          <w:lang w:val="sr-Latn-BA"/>
        </w:rPr>
        <w:t>hartije</w:t>
      </w:r>
      <w:r w:rsidR="003421E1" w:rsidRPr="001B53A8">
        <w:rPr>
          <w:lang w:val="sr-Latn-BA"/>
        </w:rPr>
        <w:t xml:space="preserve"> </w:t>
      </w:r>
      <w:r w:rsidRPr="001B53A8">
        <w:rPr>
          <w:lang w:val="sr-Latn-BA"/>
        </w:rPr>
        <w:t>od</w:t>
      </w:r>
      <w:r w:rsidR="003421E1" w:rsidRPr="001B53A8">
        <w:rPr>
          <w:lang w:val="sr-Latn-BA"/>
        </w:rPr>
        <w:t xml:space="preserve"> </w:t>
      </w:r>
      <w:r w:rsidRPr="001B53A8">
        <w:rPr>
          <w:lang w:val="sr-Latn-BA"/>
        </w:rPr>
        <w:t>vrijednosti</w:t>
      </w:r>
      <w:r w:rsidR="003421E1" w:rsidRPr="001B53A8">
        <w:rPr>
          <w:lang w:val="sr-Latn-BA"/>
        </w:rPr>
        <w:t xml:space="preserve"> </w:t>
      </w:r>
      <w:r w:rsidRPr="001B53A8">
        <w:rPr>
          <w:lang w:val="sr-Latn-BA"/>
        </w:rPr>
        <w:t>uvrštene</w:t>
      </w:r>
      <w:r w:rsidR="003421E1" w:rsidRPr="001B53A8">
        <w:rPr>
          <w:lang w:val="sr-Latn-BA"/>
        </w:rPr>
        <w:t xml:space="preserve"> </w:t>
      </w:r>
      <w:r w:rsidRPr="001B53A8">
        <w:rPr>
          <w:lang w:val="sr-Latn-BA"/>
        </w:rPr>
        <w:t>na</w:t>
      </w:r>
      <w:r w:rsidR="003421E1" w:rsidRPr="001B53A8">
        <w:rPr>
          <w:lang w:val="sr-Latn-BA"/>
        </w:rPr>
        <w:t xml:space="preserve"> </w:t>
      </w:r>
      <w:r w:rsidRPr="001B53A8">
        <w:rPr>
          <w:lang w:val="sr-Latn-BA"/>
        </w:rPr>
        <w:t>službeno</w:t>
      </w:r>
      <w:r w:rsidR="003421E1" w:rsidRPr="001B53A8">
        <w:rPr>
          <w:lang w:val="sr-Latn-BA"/>
        </w:rPr>
        <w:t xml:space="preserve"> </w:t>
      </w:r>
      <w:r w:rsidRPr="001B53A8">
        <w:rPr>
          <w:lang w:val="sr-Latn-BA"/>
        </w:rPr>
        <w:t>berzansko</w:t>
      </w:r>
      <w:r w:rsidR="003421E1" w:rsidRPr="001B53A8">
        <w:rPr>
          <w:lang w:val="sr-Latn-BA"/>
        </w:rPr>
        <w:t xml:space="preserve"> </w:t>
      </w:r>
      <w:r w:rsidRPr="001B53A8">
        <w:rPr>
          <w:lang w:val="sr-Latn-BA"/>
        </w:rPr>
        <w:t>tržište</w:t>
      </w:r>
      <w:r w:rsidR="003421E1" w:rsidRPr="001B53A8">
        <w:rPr>
          <w:lang w:val="sr-Latn-BA"/>
        </w:rPr>
        <w:t xml:space="preserve">, </w:t>
      </w:r>
      <w:r w:rsidRPr="001B53A8">
        <w:rPr>
          <w:lang w:val="sr-Latn-BA"/>
        </w:rPr>
        <w:t>obavezni</w:t>
      </w:r>
      <w:r w:rsidR="003421E1" w:rsidRPr="001B53A8">
        <w:rPr>
          <w:lang w:val="sr-Latn-BA"/>
        </w:rPr>
        <w:t xml:space="preserve"> </w:t>
      </w:r>
      <w:r w:rsidRPr="001B53A8">
        <w:rPr>
          <w:lang w:val="sr-Latn-BA"/>
        </w:rPr>
        <w:t>su</w:t>
      </w:r>
      <w:r w:rsidR="003421E1" w:rsidRPr="001B53A8">
        <w:rPr>
          <w:lang w:val="sr-Latn-BA"/>
        </w:rPr>
        <w:t xml:space="preserve"> </w:t>
      </w:r>
      <w:r w:rsidRPr="001B53A8">
        <w:rPr>
          <w:lang w:val="sr-Latn-BA"/>
        </w:rPr>
        <w:t>da</w:t>
      </w:r>
      <w:r w:rsidR="003421E1" w:rsidRPr="001B53A8">
        <w:rPr>
          <w:lang w:val="sr-Latn-BA"/>
        </w:rPr>
        <w:t xml:space="preserve"> </w:t>
      </w:r>
      <w:r w:rsidRPr="001B53A8">
        <w:rPr>
          <w:lang w:val="sr-Latn-BA"/>
        </w:rPr>
        <w:t>ih</w:t>
      </w:r>
      <w:r w:rsidR="003421E1" w:rsidRPr="001B53A8">
        <w:rPr>
          <w:lang w:val="sr-Latn-BA"/>
        </w:rPr>
        <w:t xml:space="preserve"> </w:t>
      </w:r>
      <w:r w:rsidRPr="001B53A8">
        <w:rPr>
          <w:lang w:val="sr-Latn-BA"/>
        </w:rPr>
        <w:t>objavlјuju</w:t>
      </w:r>
      <w:r w:rsidR="003421E1" w:rsidRPr="001B53A8">
        <w:rPr>
          <w:lang w:val="sr-Latn-BA"/>
        </w:rPr>
        <w:t xml:space="preserve"> </w:t>
      </w:r>
      <w:r w:rsidRPr="001B53A8">
        <w:rPr>
          <w:lang w:val="sr-Latn-BA"/>
        </w:rPr>
        <w:t>u</w:t>
      </w:r>
      <w:r w:rsidR="003421E1" w:rsidRPr="001B53A8">
        <w:rPr>
          <w:lang w:val="sr-Latn-BA"/>
        </w:rPr>
        <w:t xml:space="preserve"> </w:t>
      </w:r>
      <w:r w:rsidRPr="001B53A8">
        <w:rPr>
          <w:lang w:val="sr-Latn-BA"/>
        </w:rPr>
        <w:t>skladu</w:t>
      </w:r>
      <w:r w:rsidR="003421E1" w:rsidRPr="001B53A8">
        <w:rPr>
          <w:lang w:val="sr-Latn-BA"/>
        </w:rPr>
        <w:t xml:space="preserve"> </w:t>
      </w:r>
      <w:r w:rsidRPr="001B53A8">
        <w:rPr>
          <w:lang w:val="sr-Latn-BA"/>
        </w:rPr>
        <w:t>sa</w:t>
      </w:r>
      <w:r w:rsidR="003421E1" w:rsidRPr="001B53A8">
        <w:rPr>
          <w:lang w:val="sr-Latn-BA"/>
        </w:rPr>
        <w:t xml:space="preserve"> </w:t>
      </w:r>
      <w:r w:rsidRPr="001B53A8">
        <w:rPr>
          <w:lang w:val="sr-Latn-BA"/>
        </w:rPr>
        <w:t>odredbama</w:t>
      </w:r>
      <w:r w:rsidR="003421E1" w:rsidRPr="001B53A8">
        <w:rPr>
          <w:lang w:val="sr-Latn-BA"/>
        </w:rPr>
        <w:t xml:space="preserve"> </w:t>
      </w:r>
      <w:r w:rsidRPr="001B53A8">
        <w:rPr>
          <w:lang w:val="sr-Latn-BA"/>
        </w:rPr>
        <w:t>tog</w:t>
      </w:r>
      <w:r w:rsidR="003421E1" w:rsidRPr="001B53A8">
        <w:rPr>
          <w:lang w:val="sr-Latn-BA"/>
        </w:rPr>
        <w:t xml:space="preserve"> </w:t>
      </w:r>
      <w:r w:rsidRPr="001B53A8">
        <w:rPr>
          <w:lang w:val="sr-Latn-BA"/>
        </w:rPr>
        <w:t>pravilnika</w:t>
      </w:r>
      <w:r w:rsidR="003421E1" w:rsidRPr="001B53A8">
        <w:rPr>
          <w:lang w:val="sr-Latn-BA"/>
        </w:rPr>
        <w:t>.</w:t>
      </w:r>
      <w:bookmarkStart w:id="54" w:name="_Hlk163466528"/>
      <w:r w:rsidR="003421E1" w:rsidRPr="001B53A8">
        <w:rPr>
          <w:rStyle w:val="FootnoteReference"/>
          <w:lang w:val="sr-Latn-BA"/>
        </w:rPr>
        <w:footnoteReference w:id="5"/>
      </w:r>
      <w:bookmarkEnd w:id="54"/>
    </w:p>
    <w:p w14:paraId="25A65A29" w14:textId="12DE785A" w:rsidR="003421E1" w:rsidRPr="001B53A8" w:rsidRDefault="00003F34" w:rsidP="003421E1">
      <w:pPr>
        <w:spacing w:after="0" w:line="240" w:lineRule="auto"/>
        <w:ind w:firstLine="567"/>
        <w:rPr>
          <w:lang w:val="sr-Latn-BA"/>
        </w:rPr>
      </w:pPr>
      <w:r w:rsidRPr="001B53A8">
        <w:rPr>
          <w:lang w:val="sr-Latn-BA"/>
        </w:rPr>
        <w:t>Emitentima</w:t>
      </w:r>
      <w:r w:rsidR="003421E1" w:rsidRPr="001B53A8">
        <w:rPr>
          <w:lang w:val="sr-Latn-BA"/>
        </w:rPr>
        <w:t xml:space="preserve"> </w:t>
      </w:r>
      <w:r w:rsidRPr="001B53A8">
        <w:rPr>
          <w:lang w:val="sr-Latn-BA"/>
        </w:rPr>
        <w:t>je</w:t>
      </w:r>
      <w:r w:rsidR="003421E1" w:rsidRPr="001B53A8">
        <w:rPr>
          <w:lang w:val="sr-Latn-BA"/>
        </w:rPr>
        <w:t xml:space="preserve"> </w:t>
      </w:r>
      <w:r w:rsidRPr="001B53A8">
        <w:rPr>
          <w:lang w:val="sr-Latn-BA"/>
        </w:rPr>
        <w:t>omogućeno</w:t>
      </w:r>
      <w:r w:rsidR="003421E1" w:rsidRPr="001B53A8">
        <w:rPr>
          <w:lang w:val="sr-Latn-BA"/>
        </w:rPr>
        <w:t xml:space="preserve"> </w:t>
      </w:r>
      <w:r w:rsidRPr="001B53A8">
        <w:rPr>
          <w:lang w:val="sr-Latn-BA"/>
        </w:rPr>
        <w:t>da</w:t>
      </w:r>
      <w:r w:rsidR="003421E1" w:rsidRPr="001B53A8">
        <w:rPr>
          <w:lang w:val="sr-Latn-BA"/>
        </w:rPr>
        <w:t xml:space="preserve"> </w:t>
      </w:r>
      <w:r w:rsidRPr="001B53A8">
        <w:rPr>
          <w:lang w:val="sr-Latn-BA"/>
        </w:rPr>
        <w:t>finansijske</w:t>
      </w:r>
      <w:r w:rsidR="003421E1" w:rsidRPr="001B53A8">
        <w:rPr>
          <w:lang w:val="sr-Latn-BA"/>
        </w:rPr>
        <w:t xml:space="preserve">, </w:t>
      </w:r>
      <w:r w:rsidRPr="001B53A8">
        <w:rPr>
          <w:lang w:val="sr-Latn-BA"/>
        </w:rPr>
        <w:t>revizorske</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izvještaje</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poslovanju</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značajnim</w:t>
      </w:r>
      <w:r w:rsidR="003421E1" w:rsidRPr="001B53A8">
        <w:rPr>
          <w:lang w:val="sr-Latn-BA"/>
        </w:rPr>
        <w:t xml:space="preserve"> </w:t>
      </w:r>
      <w:r w:rsidRPr="001B53A8">
        <w:rPr>
          <w:lang w:val="sr-Latn-BA"/>
        </w:rPr>
        <w:t>događajima</w:t>
      </w:r>
      <w:r w:rsidR="003421E1" w:rsidRPr="001B53A8">
        <w:rPr>
          <w:lang w:val="sr-Latn-BA"/>
        </w:rPr>
        <w:t xml:space="preserve"> </w:t>
      </w:r>
      <w:r w:rsidRPr="001B53A8">
        <w:rPr>
          <w:lang w:val="sr-Latn-BA"/>
        </w:rPr>
        <w:t>dostavlјaju</w:t>
      </w:r>
      <w:r w:rsidR="003421E1" w:rsidRPr="001B53A8">
        <w:rPr>
          <w:lang w:val="sr-Latn-BA"/>
        </w:rPr>
        <w:t xml:space="preserve"> </w:t>
      </w:r>
      <w:r w:rsidRPr="001B53A8">
        <w:rPr>
          <w:lang w:val="sr-Latn-BA"/>
        </w:rPr>
        <w:t>elektronskim</w:t>
      </w:r>
      <w:r w:rsidR="003421E1" w:rsidRPr="001B53A8">
        <w:rPr>
          <w:lang w:val="sr-Latn-BA"/>
        </w:rPr>
        <w:t xml:space="preserve"> </w:t>
      </w:r>
      <w:r w:rsidRPr="001B53A8">
        <w:rPr>
          <w:lang w:val="sr-Latn-BA"/>
        </w:rPr>
        <w:t>sredstvima</w:t>
      </w:r>
      <w:r w:rsidR="003421E1" w:rsidRPr="001B53A8">
        <w:rPr>
          <w:lang w:val="sr-Latn-BA"/>
        </w:rPr>
        <w:t xml:space="preserve"> </w:t>
      </w:r>
      <w:r w:rsidRPr="001B53A8">
        <w:rPr>
          <w:lang w:val="sr-Latn-BA"/>
        </w:rPr>
        <w:t>komunikacije</w:t>
      </w:r>
      <w:r w:rsidR="003421E1" w:rsidRPr="001B53A8">
        <w:rPr>
          <w:lang w:val="sr-Latn-BA"/>
        </w:rPr>
        <w:t xml:space="preserve">. </w:t>
      </w:r>
      <w:r w:rsidRPr="001B53A8">
        <w:rPr>
          <w:lang w:val="sr-Latn-BA"/>
        </w:rPr>
        <w:t>Navedene</w:t>
      </w:r>
      <w:r w:rsidR="003421E1" w:rsidRPr="001B53A8">
        <w:rPr>
          <w:lang w:val="sr-Latn-BA"/>
        </w:rPr>
        <w:t xml:space="preserve"> </w:t>
      </w:r>
      <w:r w:rsidRPr="001B53A8">
        <w:rPr>
          <w:lang w:val="sr-Latn-BA"/>
        </w:rPr>
        <w:t>izvještaje</w:t>
      </w:r>
      <w:r w:rsidR="003421E1" w:rsidRPr="001B53A8">
        <w:rPr>
          <w:lang w:val="sr-Latn-BA"/>
        </w:rPr>
        <w:t xml:space="preserve"> </w:t>
      </w:r>
      <w:r w:rsidRPr="001B53A8">
        <w:rPr>
          <w:lang w:val="sr-Latn-BA"/>
        </w:rPr>
        <w:t>Banjalučka</w:t>
      </w:r>
      <w:r w:rsidR="003421E1" w:rsidRPr="001B53A8">
        <w:rPr>
          <w:lang w:val="sr-Latn-BA"/>
        </w:rPr>
        <w:t xml:space="preserve"> </w:t>
      </w:r>
      <w:r w:rsidRPr="001B53A8">
        <w:rPr>
          <w:lang w:val="sr-Latn-BA"/>
        </w:rPr>
        <w:t>berza</w:t>
      </w:r>
      <w:r w:rsidR="003421E1" w:rsidRPr="001B53A8">
        <w:rPr>
          <w:lang w:val="sr-Latn-BA"/>
        </w:rPr>
        <w:t xml:space="preserve"> </w:t>
      </w:r>
      <w:r w:rsidRPr="001B53A8">
        <w:rPr>
          <w:lang w:val="sr-Latn-BA"/>
        </w:rPr>
        <w:t>besplatno</w:t>
      </w:r>
      <w:r w:rsidR="003421E1" w:rsidRPr="001B53A8">
        <w:rPr>
          <w:lang w:val="sr-Latn-BA"/>
        </w:rPr>
        <w:t xml:space="preserve"> </w:t>
      </w:r>
      <w:r w:rsidRPr="001B53A8">
        <w:rPr>
          <w:lang w:val="sr-Latn-BA"/>
        </w:rPr>
        <w:t>objavlјuje</w:t>
      </w:r>
      <w:r w:rsidR="003421E1" w:rsidRPr="001B53A8">
        <w:rPr>
          <w:lang w:val="sr-Latn-BA"/>
        </w:rPr>
        <w:t xml:space="preserve"> </w:t>
      </w:r>
      <w:r w:rsidRPr="001B53A8">
        <w:rPr>
          <w:lang w:val="sr-Latn-BA"/>
        </w:rPr>
        <w:t>u</w:t>
      </w:r>
      <w:r w:rsidR="003421E1" w:rsidRPr="001B53A8">
        <w:rPr>
          <w:lang w:val="sr-Latn-BA"/>
        </w:rPr>
        <w:t xml:space="preserve"> </w:t>
      </w:r>
      <w:r w:rsidRPr="001B53A8">
        <w:rPr>
          <w:lang w:val="sr-Latn-BA"/>
        </w:rPr>
        <w:t>okviru</w:t>
      </w:r>
      <w:r w:rsidR="003421E1" w:rsidRPr="001B53A8">
        <w:rPr>
          <w:lang w:val="sr-Latn-BA"/>
        </w:rPr>
        <w:t xml:space="preserve"> </w:t>
      </w:r>
      <w:r w:rsidRPr="001B53A8">
        <w:rPr>
          <w:lang w:val="sr-Latn-BA"/>
        </w:rPr>
        <w:t>informacionog</w:t>
      </w:r>
      <w:r w:rsidR="003421E1" w:rsidRPr="001B53A8">
        <w:rPr>
          <w:lang w:val="sr-Latn-BA"/>
        </w:rPr>
        <w:t xml:space="preserve"> </w:t>
      </w:r>
      <w:r w:rsidRPr="001B53A8">
        <w:rPr>
          <w:lang w:val="sr-Latn-BA"/>
        </w:rPr>
        <w:t>portala</w:t>
      </w:r>
      <w:r w:rsidR="003421E1" w:rsidRPr="001B53A8">
        <w:rPr>
          <w:lang w:val="sr-Latn-BA"/>
        </w:rPr>
        <w:t xml:space="preserve"> </w:t>
      </w:r>
      <w:r w:rsidRPr="001B53A8">
        <w:rPr>
          <w:lang w:val="sr-Latn-BA"/>
        </w:rPr>
        <w:t>institucija</w:t>
      </w:r>
      <w:r w:rsidR="003421E1" w:rsidRPr="001B53A8">
        <w:rPr>
          <w:lang w:val="sr-Latn-BA"/>
        </w:rPr>
        <w:t xml:space="preserve"> </w:t>
      </w:r>
      <w:r w:rsidRPr="001B53A8">
        <w:rPr>
          <w:lang w:val="sr-Latn-BA"/>
        </w:rPr>
        <w:t>tržišta</w:t>
      </w:r>
      <w:r w:rsidR="003421E1" w:rsidRPr="001B53A8">
        <w:rPr>
          <w:lang w:val="sr-Latn-BA"/>
        </w:rPr>
        <w:t xml:space="preserve"> </w:t>
      </w:r>
      <w:r w:rsidRPr="001B53A8">
        <w:rPr>
          <w:lang w:val="sr-Latn-BA"/>
        </w:rPr>
        <w:t>kapitala</w:t>
      </w:r>
      <w:r w:rsidR="003421E1" w:rsidRPr="001B53A8">
        <w:rPr>
          <w:lang w:val="sr-Latn-BA"/>
        </w:rPr>
        <w:t xml:space="preserve"> (</w:t>
      </w:r>
      <w:r w:rsidRPr="001B53A8">
        <w:rPr>
          <w:lang w:val="sr-Latn-BA"/>
        </w:rPr>
        <w:t>Komisije</w:t>
      </w:r>
      <w:r w:rsidR="003421E1" w:rsidRPr="001B53A8">
        <w:rPr>
          <w:lang w:val="sr-Latn-BA"/>
        </w:rPr>
        <w:t xml:space="preserve"> </w:t>
      </w:r>
      <w:r w:rsidRPr="001B53A8">
        <w:rPr>
          <w:lang w:val="sr-Latn-BA"/>
        </w:rPr>
        <w:t>za</w:t>
      </w:r>
      <w:r w:rsidR="003421E1" w:rsidRPr="001B53A8">
        <w:rPr>
          <w:lang w:val="sr-Latn-BA"/>
        </w:rPr>
        <w:t xml:space="preserve"> </w:t>
      </w:r>
      <w:r w:rsidRPr="001B53A8">
        <w:rPr>
          <w:lang w:val="sr-Latn-BA"/>
        </w:rPr>
        <w:t>hartije</w:t>
      </w:r>
      <w:r w:rsidR="003421E1" w:rsidRPr="001B53A8">
        <w:rPr>
          <w:lang w:val="sr-Latn-BA"/>
        </w:rPr>
        <w:t xml:space="preserve"> </w:t>
      </w:r>
      <w:r w:rsidRPr="001B53A8">
        <w:rPr>
          <w:lang w:val="sr-Latn-BA"/>
        </w:rPr>
        <w:t>od</w:t>
      </w:r>
      <w:r w:rsidR="003421E1" w:rsidRPr="001B53A8">
        <w:rPr>
          <w:lang w:val="sr-Latn-BA"/>
        </w:rPr>
        <w:t xml:space="preserve"> </w:t>
      </w:r>
      <w:r w:rsidRPr="001B53A8">
        <w:rPr>
          <w:lang w:val="sr-Latn-BA"/>
        </w:rPr>
        <w:t>vrijednosti</w:t>
      </w:r>
      <w:r w:rsidR="003421E1" w:rsidRPr="001B53A8">
        <w:rPr>
          <w:lang w:val="sr-Latn-BA"/>
        </w:rPr>
        <w:t xml:space="preserve">, </w:t>
      </w:r>
      <w:r w:rsidRPr="001B53A8">
        <w:rPr>
          <w:lang w:val="sr-Latn-BA"/>
        </w:rPr>
        <w:t>Banjalučke</w:t>
      </w:r>
      <w:r w:rsidR="003421E1" w:rsidRPr="001B53A8">
        <w:rPr>
          <w:lang w:val="sr-Latn-BA"/>
        </w:rPr>
        <w:t xml:space="preserve"> </w:t>
      </w:r>
      <w:r w:rsidRPr="001B53A8">
        <w:rPr>
          <w:lang w:val="sr-Latn-BA"/>
        </w:rPr>
        <w:t>berze</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Centralnog</w:t>
      </w:r>
      <w:r w:rsidR="003421E1" w:rsidRPr="001B53A8">
        <w:rPr>
          <w:lang w:val="sr-Latn-BA"/>
        </w:rPr>
        <w:t xml:space="preserve"> </w:t>
      </w:r>
      <w:r w:rsidRPr="001B53A8">
        <w:rPr>
          <w:lang w:val="sr-Latn-BA"/>
        </w:rPr>
        <w:t>registra</w:t>
      </w:r>
      <w:r w:rsidR="003421E1" w:rsidRPr="001B53A8">
        <w:rPr>
          <w:lang w:val="sr-Latn-BA"/>
        </w:rPr>
        <w:t xml:space="preserve"> </w:t>
      </w:r>
      <w:r w:rsidRPr="001B53A8">
        <w:rPr>
          <w:lang w:val="sr-Latn-BA"/>
        </w:rPr>
        <w:t>hartija</w:t>
      </w:r>
      <w:r w:rsidR="003421E1" w:rsidRPr="001B53A8">
        <w:rPr>
          <w:lang w:val="sr-Latn-BA"/>
        </w:rPr>
        <w:t xml:space="preserve"> </w:t>
      </w:r>
      <w:r w:rsidRPr="001B53A8">
        <w:rPr>
          <w:lang w:val="sr-Latn-BA"/>
        </w:rPr>
        <w:t>od</w:t>
      </w:r>
      <w:r w:rsidR="003421E1" w:rsidRPr="001B53A8">
        <w:rPr>
          <w:lang w:val="sr-Latn-BA"/>
        </w:rPr>
        <w:t xml:space="preserve"> </w:t>
      </w:r>
      <w:r w:rsidRPr="001B53A8">
        <w:rPr>
          <w:lang w:val="sr-Latn-BA"/>
        </w:rPr>
        <w:t>vrijednosti</w:t>
      </w:r>
      <w:r w:rsidR="003421E1" w:rsidRPr="001B53A8">
        <w:rPr>
          <w:lang w:val="sr-Latn-BA"/>
        </w:rPr>
        <w:t>).</w:t>
      </w:r>
    </w:p>
    <w:p w14:paraId="79DDAFD5" w14:textId="6F512244" w:rsidR="003421E1" w:rsidRPr="001B53A8" w:rsidRDefault="00003F34" w:rsidP="003421E1">
      <w:pPr>
        <w:spacing w:after="0" w:line="240" w:lineRule="auto"/>
        <w:ind w:firstLine="567"/>
        <w:rPr>
          <w:lang w:val="sr-Latn-BA"/>
        </w:rPr>
      </w:pPr>
      <w:r w:rsidRPr="001B53A8">
        <w:rPr>
          <w:lang w:val="sr-Latn-BA"/>
        </w:rPr>
        <w:t>Stavom</w:t>
      </w:r>
      <w:r w:rsidR="003421E1" w:rsidRPr="001B53A8">
        <w:rPr>
          <w:lang w:val="sr-Latn-BA"/>
        </w:rPr>
        <w:t xml:space="preserve"> 2. </w:t>
      </w:r>
      <w:r w:rsidRPr="001B53A8">
        <w:rPr>
          <w:lang w:val="sr-Latn-BA"/>
        </w:rPr>
        <w:t>člana</w:t>
      </w:r>
      <w:r w:rsidR="003421E1" w:rsidRPr="001B53A8">
        <w:rPr>
          <w:lang w:val="sr-Latn-BA"/>
        </w:rPr>
        <w:t xml:space="preserve"> 26. </w:t>
      </w:r>
      <w:r w:rsidRPr="001B53A8">
        <w:rPr>
          <w:lang w:val="sr-Latn-BA"/>
        </w:rPr>
        <w:t>Zakona</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računovodstvu</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reviziji</w:t>
      </w:r>
      <w:r w:rsidR="003421E1" w:rsidRPr="001B53A8">
        <w:rPr>
          <w:lang w:val="sr-Latn-BA"/>
        </w:rPr>
        <w:t xml:space="preserve"> </w:t>
      </w:r>
      <w:r w:rsidRPr="001B53A8">
        <w:rPr>
          <w:lang w:val="sr-Latn-BA"/>
        </w:rPr>
        <w:t>Republike</w:t>
      </w:r>
      <w:r w:rsidR="003421E1" w:rsidRPr="001B53A8">
        <w:rPr>
          <w:lang w:val="sr-Latn-BA"/>
        </w:rPr>
        <w:t xml:space="preserve"> </w:t>
      </w:r>
      <w:r w:rsidRPr="001B53A8">
        <w:rPr>
          <w:lang w:val="sr-Latn-BA"/>
        </w:rPr>
        <w:t>Srpske</w:t>
      </w:r>
      <w:r w:rsidR="003421E1" w:rsidRPr="001B53A8">
        <w:rPr>
          <w:rStyle w:val="FootnoteReference"/>
          <w:lang w:val="sr-Latn-BA"/>
        </w:rPr>
        <w:footnoteReference w:id="6"/>
      </w:r>
      <w:r w:rsidR="003421E1" w:rsidRPr="001B53A8">
        <w:rPr>
          <w:lang w:val="sr-Latn-BA"/>
        </w:rPr>
        <w:t xml:space="preserve"> </w:t>
      </w:r>
      <w:r w:rsidRPr="001B53A8">
        <w:rPr>
          <w:lang w:val="sr-Latn-BA"/>
        </w:rPr>
        <w:t>omogućen</w:t>
      </w:r>
      <w:r w:rsidR="003421E1" w:rsidRPr="001B53A8">
        <w:rPr>
          <w:lang w:val="sr-Latn-BA"/>
        </w:rPr>
        <w:t xml:space="preserve"> </w:t>
      </w:r>
      <w:r w:rsidRPr="001B53A8">
        <w:rPr>
          <w:lang w:val="sr-Latn-BA"/>
        </w:rPr>
        <w:t>je</w:t>
      </w:r>
      <w:r w:rsidR="003421E1" w:rsidRPr="001B53A8">
        <w:rPr>
          <w:lang w:val="sr-Latn-BA"/>
        </w:rPr>
        <w:t xml:space="preserve"> </w:t>
      </w:r>
      <w:r w:rsidRPr="001B53A8">
        <w:rPr>
          <w:lang w:val="sr-Latn-BA"/>
        </w:rPr>
        <w:t>besplatan</w:t>
      </w:r>
      <w:r w:rsidR="003421E1" w:rsidRPr="001B53A8">
        <w:rPr>
          <w:lang w:val="sr-Latn-BA"/>
        </w:rPr>
        <w:t xml:space="preserve"> </w:t>
      </w:r>
      <w:r w:rsidRPr="001B53A8">
        <w:rPr>
          <w:lang w:val="sr-Latn-BA"/>
        </w:rPr>
        <w:t>uvid</w:t>
      </w:r>
      <w:r w:rsidR="003421E1" w:rsidRPr="001B53A8">
        <w:rPr>
          <w:lang w:val="sr-Latn-BA"/>
        </w:rPr>
        <w:t xml:space="preserve"> </w:t>
      </w:r>
      <w:r w:rsidRPr="001B53A8">
        <w:rPr>
          <w:lang w:val="sr-Latn-BA"/>
        </w:rPr>
        <w:t>u</w:t>
      </w:r>
      <w:r w:rsidR="003421E1" w:rsidRPr="001B53A8">
        <w:rPr>
          <w:lang w:val="sr-Latn-BA"/>
        </w:rPr>
        <w:t xml:space="preserve"> </w:t>
      </w:r>
      <w:r w:rsidRPr="001B53A8">
        <w:rPr>
          <w:lang w:val="sr-Latn-BA"/>
        </w:rPr>
        <w:t>osnovne</w:t>
      </w:r>
      <w:r w:rsidR="003421E1" w:rsidRPr="001B53A8">
        <w:rPr>
          <w:lang w:val="sr-Latn-BA"/>
        </w:rPr>
        <w:t xml:space="preserve"> </w:t>
      </w:r>
      <w:r w:rsidRPr="001B53A8">
        <w:rPr>
          <w:lang w:val="sr-Latn-BA"/>
        </w:rPr>
        <w:t>podatke</w:t>
      </w:r>
      <w:r w:rsidR="003421E1" w:rsidRPr="001B53A8">
        <w:rPr>
          <w:lang w:val="sr-Latn-BA"/>
        </w:rPr>
        <w:t xml:space="preserve"> </w:t>
      </w:r>
      <w:r w:rsidRPr="001B53A8">
        <w:rPr>
          <w:lang w:val="sr-Latn-BA"/>
        </w:rPr>
        <w:t>iz</w:t>
      </w:r>
      <w:r w:rsidR="003421E1" w:rsidRPr="001B53A8">
        <w:rPr>
          <w:lang w:val="sr-Latn-BA"/>
        </w:rPr>
        <w:t xml:space="preserve"> </w:t>
      </w:r>
      <w:r w:rsidRPr="001B53A8">
        <w:rPr>
          <w:lang w:val="sr-Latn-BA"/>
        </w:rPr>
        <w:t>preuzetih</w:t>
      </w:r>
      <w:r w:rsidR="003421E1" w:rsidRPr="001B53A8">
        <w:rPr>
          <w:lang w:val="sr-Latn-BA"/>
        </w:rPr>
        <w:t xml:space="preserve"> </w:t>
      </w:r>
      <w:r w:rsidRPr="001B53A8">
        <w:rPr>
          <w:lang w:val="sr-Latn-BA"/>
        </w:rPr>
        <w:t>finansijskih</w:t>
      </w:r>
      <w:r w:rsidR="003421E1" w:rsidRPr="001B53A8">
        <w:rPr>
          <w:lang w:val="sr-Latn-BA"/>
        </w:rPr>
        <w:t xml:space="preserve"> </w:t>
      </w:r>
      <w:r w:rsidRPr="001B53A8">
        <w:rPr>
          <w:lang w:val="sr-Latn-BA"/>
        </w:rPr>
        <w:t>izvještaja</w:t>
      </w:r>
      <w:r w:rsidR="003421E1" w:rsidRPr="001B53A8">
        <w:rPr>
          <w:lang w:val="sr-Latn-BA"/>
        </w:rPr>
        <w:t xml:space="preserve"> </w:t>
      </w:r>
      <w:r w:rsidRPr="001B53A8">
        <w:rPr>
          <w:lang w:val="sr-Latn-BA"/>
        </w:rPr>
        <w:t>na</w:t>
      </w:r>
      <w:r w:rsidR="003421E1" w:rsidRPr="001B53A8">
        <w:rPr>
          <w:lang w:val="sr-Latn-BA"/>
        </w:rPr>
        <w:t xml:space="preserve"> </w:t>
      </w:r>
      <w:r w:rsidRPr="001B53A8">
        <w:rPr>
          <w:lang w:val="sr-Latn-BA"/>
        </w:rPr>
        <w:t>internet</w:t>
      </w:r>
      <w:r w:rsidR="003421E1" w:rsidRPr="001B53A8">
        <w:rPr>
          <w:lang w:val="sr-Latn-BA"/>
        </w:rPr>
        <w:t xml:space="preserve"> </w:t>
      </w:r>
      <w:r w:rsidRPr="001B53A8">
        <w:rPr>
          <w:lang w:val="sr-Latn-BA"/>
        </w:rPr>
        <w:t>stranici</w:t>
      </w:r>
      <w:r w:rsidR="003421E1" w:rsidRPr="001B53A8">
        <w:rPr>
          <w:lang w:val="sr-Latn-BA"/>
        </w:rPr>
        <w:t xml:space="preserve"> </w:t>
      </w:r>
      <w:r w:rsidRPr="001B53A8">
        <w:rPr>
          <w:lang w:val="sr-Latn-BA"/>
        </w:rPr>
        <w:t>Agencije</w:t>
      </w:r>
      <w:r w:rsidR="003421E1" w:rsidRPr="001B53A8">
        <w:rPr>
          <w:lang w:val="sr-Latn-BA"/>
        </w:rPr>
        <w:t xml:space="preserve"> </w:t>
      </w:r>
      <w:r w:rsidRPr="001B53A8">
        <w:rPr>
          <w:lang w:val="sr-Latn-BA"/>
        </w:rPr>
        <w:t>za</w:t>
      </w:r>
      <w:r w:rsidR="003421E1" w:rsidRPr="001B53A8">
        <w:rPr>
          <w:lang w:val="sr-Latn-BA"/>
        </w:rPr>
        <w:t xml:space="preserve"> </w:t>
      </w:r>
      <w:r w:rsidRPr="001B53A8">
        <w:rPr>
          <w:lang w:val="sr-Latn-BA"/>
        </w:rPr>
        <w:t>posredničke</w:t>
      </w:r>
      <w:r w:rsidR="003421E1" w:rsidRPr="001B53A8">
        <w:rPr>
          <w:lang w:val="sr-Latn-BA"/>
        </w:rPr>
        <w:t xml:space="preserve">, </w:t>
      </w:r>
      <w:r w:rsidRPr="001B53A8">
        <w:rPr>
          <w:lang w:val="sr-Latn-BA"/>
        </w:rPr>
        <w:t>informatičke</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finansijske</w:t>
      </w:r>
      <w:r w:rsidR="003421E1" w:rsidRPr="001B53A8">
        <w:rPr>
          <w:lang w:val="sr-Latn-BA"/>
        </w:rPr>
        <w:t xml:space="preserve"> </w:t>
      </w:r>
      <w:r w:rsidRPr="001B53A8">
        <w:rPr>
          <w:lang w:val="sr-Latn-BA"/>
        </w:rPr>
        <w:t>usluge</w:t>
      </w:r>
      <w:r w:rsidR="003421E1" w:rsidRPr="001B53A8">
        <w:rPr>
          <w:lang w:val="sr-Latn-BA"/>
        </w:rPr>
        <w:t xml:space="preserve"> (</w:t>
      </w:r>
      <w:r w:rsidRPr="001B53A8">
        <w:rPr>
          <w:lang w:val="sr-Latn-BA"/>
        </w:rPr>
        <w:t>APIF</w:t>
      </w:r>
      <w:r w:rsidR="003421E1" w:rsidRPr="001B53A8">
        <w:rPr>
          <w:lang w:val="sr-Latn-BA"/>
        </w:rPr>
        <w:t>).</w:t>
      </w:r>
    </w:p>
    <w:p w14:paraId="48AF6F85" w14:textId="047BC2EC" w:rsidR="003421E1" w:rsidRPr="001B53A8" w:rsidRDefault="00003F34" w:rsidP="003421E1">
      <w:pPr>
        <w:spacing w:after="0" w:line="240" w:lineRule="auto"/>
        <w:ind w:firstLine="567"/>
        <w:rPr>
          <w:lang w:val="sr-Latn-BA"/>
        </w:rPr>
      </w:pPr>
      <w:r w:rsidRPr="001B53A8">
        <w:rPr>
          <w:lang w:val="sr-Latn-BA"/>
        </w:rPr>
        <w:t>Veći</w:t>
      </w:r>
      <w:r w:rsidR="003421E1" w:rsidRPr="001B53A8">
        <w:rPr>
          <w:lang w:val="sr-Latn-BA"/>
        </w:rPr>
        <w:t xml:space="preserve"> </w:t>
      </w:r>
      <w:r w:rsidRPr="001B53A8">
        <w:rPr>
          <w:lang w:val="sr-Latn-BA"/>
        </w:rPr>
        <w:t>dio</w:t>
      </w:r>
      <w:r w:rsidR="003421E1" w:rsidRPr="001B53A8">
        <w:rPr>
          <w:lang w:val="sr-Latn-BA"/>
        </w:rPr>
        <w:t xml:space="preserve"> </w:t>
      </w:r>
      <w:r w:rsidRPr="001B53A8">
        <w:rPr>
          <w:lang w:val="sr-Latn-BA"/>
        </w:rPr>
        <w:t>preostalih</w:t>
      </w:r>
      <w:r w:rsidR="003421E1" w:rsidRPr="001B53A8">
        <w:rPr>
          <w:lang w:val="sr-Latn-BA"/>
        </w:rPr>
        <w:t xml:space="preserve"> </w:t>
      </w:r>
      <w:r w:rsidRPr="001B53A8">
        <w:rPr>
          <w:lang w:val="sr-Latn-BA"/>
        </w:rPr>
        <w:t>obaveza</w:t>
      </w:r>
      <w:r w:rsidR="003421E1" w:rsidRPr="001B53A8">
        <w:rPr>
          <w:lang w:val="sr-Latn-BA"/>
        </w:rPr>
        <w:t xml:space="preserve"> </w:t>
      </w:r>
      <w:r w:rsidRPr="001B53A8">
        <w:rPr>
          <w:lang w:val="sr-Latn-BA"/>
        </w:rPr>
        <w:t>za</w:t>
      </w:r>
      <w:r w:rsidR="003421E1" w:rsidRPr="001B53A8">
        <w:rPr>
          <w:lang w:val="sr-Latn-BA"/>
        </w:rPr>
        <w:t xml:space="preserve"> </w:t>
      </w:r>
      <w:r w:rsidRPr="001B53A8">
        <w:rPr>
          <w:lang w:val="sr-Latn-BA"/>
        </w:rPr>
        <w:t>emitenta</w:t>
      </w:r>
      <w:r w:rsidR="003421E1" w:rsidRPr="001B53A8">
        <w:rPr>
          <w:lang w:val="sr-Latn-BA"/>
        </w:rPr>
        <w:t xml:space="preserve">, </w:t>
      </w:r>
      <w:r w:rsidRPr="001B53A8">
        <w:rPr>
          <w:lang w:val="sr-Latn-BA"/>
        </w:rPr>
        <w:t>realizuju</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same</w:t>
      </w:r>
      <w:r w:rsidR="003421E1" w:rsidRPr="001B53A8">
        <w:rPr>
          <w:lang w:val="sr-Latn-BA"/>
        </w:rPr>
        <w:t xml:space="preserve"> </w:t>
      </w:r>
      <w:r w:rsidRPr="001B53A8">
        <w:rPr>
          <w:lang w:val="sr-Latn-BA"/>
        </w:rPr>
        <w:t>institucije</w:t>
      </w:r>
      <w:r w:rsidR="003421E1" w:rsidRPr="001B53A8">
        <w:rPr>
          <w:lang w:val="sr-Latn-BA"/>
        </w:rPr>
        <w:t xml:space="preserve"> </w:t>
      </w:r>
      <w:r w:rsidRPr="001B53A8">
        <w:rPr>
          <w:lang w:val="sr-Latn-BA"/>
        </w:rPr>
        <w:t>tržišta</w:t>
      </w:r>
      <w:r w:rsidR="003421E1" w:rsidRPr="001B53A8">
        <w:rPr>
          <w:lang w:val="sr-Latn-BA"/>
        </w:rPr>
        <w:t xml:space="preserve"> </w:t>
      </w:r>
      <w:r w:rsidRPr="001B53A8">
        <w:rPr>
          <w:lang w:val="sr-Latn-BA"/>
        </w:rPr>
        <w:t>kapitala</w:t>
      </w:r>
      <w:r w:rsidR="003421E1" w:rsidRPr="001B53A8">
        <w:rPr>
          <w:lang w:val="sr-Latn-BA"/>
        </w:rPr>
        <w:t xml:space="preserve"> </w:t>
      </w:r>
      <w:r w:rsidRPr="001B53A8">
        <w:rPr>
          <w:lang w:val="sr-Latn-BA"/>
        </w:rPr>
        <w:t>u</w:t>
      </w:r>
      <w:r w:rsidR="003421E1" w:rsidRPr="001B53A8">
        <w:rPr>
          <w:lang w:val="sr-Latn-BA"/>
        </w:rPr>
        <w:t xml:space="preserve"> </w:t>
      </w:r>
      <w:r w:rsidRPr="001B53A8">
        <w:rPr>
          <w:lang w:val="sr-Latn-BA"/>
        </w:rPr>
        <w:t>ime</w:t>
      </w:r>
      <w:r w:rsidR="003421E1" w:rsidRPr="001B53A8">
        <w:rPr>
          <w:lang w:val="sr-Latn-BA"/>
        </w:rPr>
        <w:t xml:space="preserve"> </w:t>
      </w:r>
      <w:r w:rsidRPr="001B53A8">
        <w:rPr>
          <w:lang w:val="sr-Latn-BA"/>
        </w:rPr>
        <w:t>emitenata</w:t>
      </w:r>
      <w:r w:rsidR="003421E1" w:rsidRPr="001B53A8">
        <w:rPr>
          <w:lang w:val="sr-Latn-BA"/>
        </w:rPr>
        <w:t xml:space="preserve">, </w:t>
      </w:r>
      <w:r w:rsidRPr="001B53A8">
        <w:rPr>
          <w:lang w:val="sr-Latn-BA"/>
        </w:rPr>
        <w:t>pa</w:t>
      </w:r>
      <w:r w:rsidR="003421E1" w:rsidRPr="001B53A8">
        <w:rPr>
          <w:lang w:val="sr-Latn-BA"/>
        </w:rPr>
        <w:t xml:space="preserve"> </w:t>
      </w:r>
      <w:r w:rsidRPr="001B53A8">
        <w:rPr>
          <w:lang w:val="sr-Latn-BA"/>
        </w:rPr>
        <w:t>se</w:t>
      </w:r>
      <w:r w:rsidR="003421E1" w:rsidRPr="001B53A8">
        <w:rPr>
          <w:lang w:val="sr-Latn-BA"/>
        </w:rPr>
        <w:t xml:space="preserve"> </w:t>
      </w:r>
      <w:r w:rsidRPr="001B53A8">
        <w:rPr>
          <w:lang w:val="sr-Latn-BA"/>
        </w:rPr>
        <w:t>većina</w:t>
      </w:r>
      <w:r w:rsidR="003421E1" w:rsidRPr="001B53A8">
        <w:rPr>
          <w:lang w:val="sr-Latn-BA"/>
        </w:rPr>
        <w:t xml:space="preserve"> </w:t>
      </w:r>
      <w:r w:rsidRPr="001B53A8">
        <w:rPr>
          <w:lang w:val="sr-Latn-BA"/>
        </w:rPr>
        <w:t>navedenih</w:t>
      </w:r>
      <w:r w:rsidR="003421E1" w:rsidRPr="001B53A8">
        <w:rPr>
          <w:lang w:val="sr-Latn-BA"/>
        </w:rPr>
        <w:t xml:space="preserve"> </w:t>
      </w:r>
      <w:r w:rsidRPr="001B53A8">
        <w:rPr>
          <w:lang w:val="sr-Latn-BA"/>
        </w:rPr>
        <w:t>izvještaja</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podataka</w:t>
      </w:r>
      <w:r w:rsidR="003421E1" w:rsidRPr="001B53A8">
        <w:rPr>
          <w:lang w:val="sr-Latn-BA"/>
        </w:rPr>
        <w:t xml:space="preserve"> </w:t>
      </w:r>
      <w:r w:rsidRPr="001B53A8">
        <w:rPr>
          <w:lang w:val="sr-Latn-BA"/>
        </w:rPr>
        <w:t>u</w:t>
      </w:r>
      <w:r w:rsidR="003421E1" w:rsidRPr="001B53A8">
        <w:rPr>
          <w:lang w:val="sr-Latn-BA"/>
        </w:rPr>
        <w:t xml:space="preserve"> </w:t>
      </w:r>
      <w:r w:rsidRPr="001B53A8">
        <w:rPr>
          <w:lang w:val="sr-Latn-BA"/>
        </w:rPr>
        <w:t>tim</w:t>
      </w:r>
      <w:r w:rsidR="003421E1" w:rsidRPr="001B53A8">
        <w:rPr>
          <w:lang w:val="sr-Latn-BA"/>
        </w:rPr>
        <w:t xml:space="preserve"> </w:t>
      </w:r>
      <w:r w:rsidRPr="001B53A8">
        <w:rPr>
          <w:lang w:val="sr-Latn-BA"/>
        </w:rPr>
        <w:t>izvještajima</w:t>
      </w:r>
      <w:r w:rsidR="003421E1" w:rsidRPr="001B53A8">
        <w:rPr>
          <w:lang w:val="sr-Latn-BA"/>
        </w:rPr>
        <w:t xml:space="preserve"> </w:t>
      </w:r>
      <w:r w:rsidRPr="001B53A8">
        <w:rPr>
          <w:lang w:val="sr-Latn-BA"/>
        </w:rPr>
        <w:t>preuzimaju</w:t>
      </w:r>
      <w:r w:rsidR="003421E1" w:rsidRPr="001B53A8">
        <w:rPr>
          <w:lang w:val="sr-Latn-BA"/>
        </w:rPr>
        <w:t xml:space="preserve"> </w:t>
      </w:r>
      <w:r w:rsidRPr="001B53A8">
        <w:rPr>
          <w:lang w:val="sr-Latn-BA"/>
        </w:rPr>
        <w:t>iz</w:t>
      </w:r>
      <w:r w:rsidR="003421E1" w:rsidRPr="001B53A8">
        <w:rPr>
          <w:lang w:val="sr-Latn-BA"/>
        </w:rPr>
        <w:t xml:space="preserve"> </w:t>
      </w:r>
      <w:r w:rsidRPr="001B53A8">
        <w:rPr>
          <w:lang w:val="sr-Latn-BA"/>
        </w:rPr>
        <w:t>Registra</w:t>
      </w:r>
      <w:r w:rsidR="003421E1" w:rsidRPr="001B53A8">
        <w:rPr>
          <w:lang w:val="sr-Latn-BA"/>
        </w:rPr>
        <w:t xml:space="preserve"> </w:t>
      </w:r>
      <w:r w:rsidRPr="001B53A8">
        <w:rPr>
          <w:lang w:val="sr-Latn-BA"/>
        </w:rPr>
        <w:t>emitenata</w:t>
      </w:r>
      <w:r w:rsidR="003421E1" w:rsidRPr="001B53A8">
        <w:rPr>
          <w:lang w:val="sr-Latn-BA"/>
        </w:rPr>
        <w:t xml:space="preserve"> </w:t>
      </w:r>
      <w:r w:rsidRPr="001B53A8">
        <w:rPr>
          <w:lang w:val="sr-Latn-BA"/>
        </w:rPr>
        <w:t>hartija</w:t>
      </w:r>
      <w:r w:rsidR="003421E1" w:rsidRPr="001B53A8">
        <w:rPr>
          <w:lang w:val="sr-Latn-BA"/>
        </w:rPr>
        <w:t xml:space="preserve"> </w:t>
      </w:r>
      <w:r w:rsidRPr="001B53A8">
        <w:rPr>
          <w:lang w:val="sr-Latn-BA"/>
        </w:rPr>
        <w:t>od</w:t>
      </w:r>
      <w:r w:rsidR="003421E1" w:rsidRPr="001B53A8">
        <w:rPr>
          <w:lang w:val="sr-Latn-BA"/>
        </w:rPr>
        <w:t xml:space="preserve"> </w:t>
      </w:r>
      <w:r w:rsidRPr="001B53A8">
        <w:rPr>
          <w:lang w:val="sr-Latn-BA"/>
        </w:rPr>
        <w:t>vrijednosti</w:t>
      </w:r>
      <w:r w:rsidR="003421E1" w:rsidRPr="001B53A8">
        <w:rPr>
          <w:lang w:val="sr-Latn-BA"/>
        </w:rPr>
        <w:t xml:space="preserve"> </w:t>
      </w:r>
      <w:r w:rsidRPr="001B53A8">
        <w:rPr>
          <w:lang w:val="sr-Latn-BA"/>
        </w:rPr>
        <w:t>koji</w:t>
      </w:r>
      <w:r w:rsidR="003421E1" w:rsidRPr="001B53A8">
        <w:rPr>
          <w:lang w:val="sr-Latn-BA"/>
        </w:rPr>
        <w:t xml:space="preserve"> </w:t>
      </w:r>
      <w:r w:rsidRPr="001B53A8">
        <w:rPr>
          <w:lang w:val="sr-Latn-BA"/>
        </w:rPr>
        <w:t>vodi</w:t>
      </w:r>
      <w:r w:rsidR="003421E1" w:rsidRPr="001B53A8">
        <w:rPr>
          <w:lang w:val="sr-Latn-BA"/>
        </w:rPr>
        <w:t xml:space="preserve"> </w:t>
      </w:r>
      <w:r w:rsidRPr="001B53A8">
        <w:rPr>
          <w:lang w:val="sr-Latn-BA"/>
        </w:rPr>
        <w:t>Komisija</w:t>
      </w:r>
      <w:r w:rsidR="003421E1" w:rsidRPr="001B53A8">
        <w:rPr>
          <w:lang w:val="sr-Latn-BA"/>
        </w:rPr>
        <w:t xml:space="preserve"> (</w:t>
      </w:r>
      <w:r w:rsidRPr="001B53A8">
        <w:rPr>
          <w:lang w:val="sr-Latn-BA"/>
        </w:rPr>
        <w:t>opšti</w:t>
      </w:r>
      <w:r w:rsidR="003421E1" w:rsidRPr="001B53A8">
        <w:rPr>
          <w:lang w:val="sr-Latn-BA"/>
        </w:rPr>
        <w:t xml:space="preserve"> </w:t>
      </w:r>
      <w:r w:rsidRPr="001B53A8">
        <w:rPr>
          <w:lang w:val="sr-Latn-BA"/>
        </w:rPr>
        <w:t>podaci</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emitentima</w:t>
      </w:r>
      <w:r w:rsidR="003421E1" w:rsidRPr="001B53A8">
        <w:rPr>
          <w:lang w:val="sr-Latn-BA"/>
        </w:rPr>
        <w:t xml:space="preserve">, </w:t>
      </w:r>
      <w:r w:rsidRPr="001B53A8">
        <w:rPr>
          <w:lang w:val="sr-Latn-BA"/>
        </w:rPr>
        <w:t>podaci</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upravi</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odborima</w:t>
      </w:r>
      <w:r w:rsidR="003421E1" w:rsidRPr="001B53A8">
        <w:rPr>
          <w:lang w:val="sr-Latn-BA"/>
        </w:rPr>
        <w:t xml:space="preserve">, </w:t>
      </w:r>
      <w:r w:rsidRPr="001B53A8">
        <w:rPr>
          <w:lang w:val="sr-Latn-BA"/>
        </w:rPr>
        <w:t>podaci</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povezanim</w:t>
      </w:r>
      <w:r w:rsidR="003421E1" w:rsidRPr="001B53A8">
        <w:rPr>
          <w:lang w:val="sr-Latn-BA"/>
        </w:rPr>
        <w:t xml:space="preserve"> </w:t>
      </w:r>
      <w:r w:rsidRPr="001B53A8">
        <w:rPr>
          <w:lang w:val="sr-Latn-BA"/>
        </w:rPr>
        <w:t>pravnim</w:t>
      </w:r>
      <w:r w:rsidR="003421E1" w:rsidRPr="001B53A8">
        <w:rPr>
          <w:lang w:val="sr-Latn-BA"/>
        </w:rPr>
        <w:t xml:space="preserve"> </w:t>
      </w:r>
      <w:r w:rsidRPr="001B53A8">
        <w:rPr>
          <w:lang w:val="sr-Latn-BA"/>
        </w:rPr>
        <w:t>licima</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podaci</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emisiji</w:t>
      </w:r>
      <w:r w:rsidR="003421E1" w:rsidRPr="001B53A8">
        <w:rPr>
          <w:lang w:val="sr-Latn-BA"/>
        </w:rPr>
        <w:t xml:space="preserve"> </w:t>
      </w:r>
      <w:r w:rsidRPr="001B53A8">
        <w:rPr>
          <w:lang w:val="sr-Latn-BA"/>
        </w:rPr>
        <w:t>hartija</w:t>
      </w:r>
      <w:r w:rsidR="003421E1" w:rsidRPr="001B53A8">
        <w:rPr>
          <w:lang w:val="sr-Latn-BA"/>
        </w:rPr>
        <w:t xml:space="preserve"> </w:t>
      </w:r>
      <w:r w:rsidRPr="001B53A8">
        <w:rPr>
          <w:lang w:val="sr-Latn-BA"/>
        </w:rPr>
        <w:t>od</w:t>
      </w:r>
      <w:r w:rsidR="003421E1" w:rsidRPr="001B53A8">
        <w:rPr>
          <w:lang w:val="sr-Latn-BA"/>
        </w:rPr>
        <w:t xml:space="preserve"> </w:t>
      </w:r>
      <w:r w:rsidRPr="001B53A8">
        <w:rPr>
          <w:lang w:val="sr-Latn-BA"/>
        </w:rPr>
        <w:t>vrijednosti</w:t>
      </w:r>
      <w:r w:rsidR="003421E1" w:rsidRPr="001B53A8">
        <w:rPr>
          <w:lang w:val="sr-Latn-BA"/>
        </w:rPr>
        <w:t xml:space="preserve">, </w:t>
      </w:r>
      <w:r w:rsidRPr="001B53A8">
        <w:rPr>
          <w:lang w:val="sr-Latn-BA"/>
        </w:rPr>
        <w:t>različite</w:t>
      </w:r>
      <w:r w:rsidR="003421E1" w:rsidRPr="001B53A8">
        <w:rPr>
          <w:lang w:val="sr-Latn-BA"/>
        </w:rPr>
        <w:t xml:space="preserve"> </w:t>
      </w:r>
      <w:r w:rsidRPr="001B53A8">
        <w:rPr>
          <w:lang w:val="sr-Latn-BA"/>
        </w:rPr>
        <w:t>vrste</w:t>
      </w:r>
      <w:r w:rsidR="003421E1" w:rsidRPr="001B53A8">
        <w:rPr>
          <w:lang w:val="sr-Latn-BA"/>
        </w:rPr>
        <w:t xml:space="preserve"> </w:t>
      </w:r>
      <w:r w:rsidRPr="001B53A8">
        <w:rPr>
          <w:lang w:val="sr-Latn-BA"/>
        </w:rPr>
        <w:t>rješenja</w:t>
      </w:r>
      <w:r w:rsidR="003421E1" w:rsidRPr="001B53A8">
        <w:rPr>
          <w:lang w:val="sr-Latn-BA"/>
        </w:rPr>
        <w:t xml:space="preserve"> </w:t>
      </w:r>
      <w:r w:rsidRPr="001B53A8">
        <w:rPr>
          <w:lang w:val="sr-Latn-BA"/>
        </w:rPr>
        <w:t>itd</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Centralnog</w:t>
      </w:r>
      <w:r w:rsidR="003421E1" w:rsidRPr="001B53A8">
        <w:rPr>
          <w:lang w:val="sr-Latn-BA"/>
        </w:rPr>
        <w:t xml:space="preserve"> </w:t>
      </w:r>
      <w:r w:rsidRPr="001B53A8">
        <w:rPr>
          <w:lang w:val="sr-Latn-BA"/>
        </w:rPr>
        <w:t>registra</w:t>
      </w:r>
      <w:r w:rsidR="003421E1" w:rsidRPr="001B53A8">
        <w:rPr>
          <w:lang w:val="sr-Latn-BA"/>
        </w:rPr>
        <w:t xml:space="preserve"> </w:t>
      </w:r>
      <w:r w:rsidRPr="001B53A8">
        <w:rPr>
          <w:lang w:val="sr-Latn-BA"/>
        </w:rPr>
        <w:t>hartija</w:t>
      </w:r>
      <w:r w:rsidR="003421E1" w:rsidRPr="001B53A8">
        <w:rPr>
          <w:lang w:val="sr-Latn-BA"/>
        </w:rPr>
        <w:t xml:space="preserve"> </w:t>
      </w:r>
      <w:r w:rsidRPr="001B53A8">
        <w:rPr>
          <w:lang w:val="sr-Latn-BA"/>
        </w:rPr>
        <w:t>od</w:t>
      </w:r>
      <w:r w:rsidR="003421E1" w:rsidRPr="001B53A8">
        <w:rPr>
          <w:lang w:val="sr-Latn-BA"/>
        </w:rPr>
        <w:t xml:space="preserve"> </w:t>
      </w:r>
      <w:r w:rsidRPr="001B53A8">
        <w:rPr>
          <w:lang w:val="sr-Latn-BA"/>
        </w:rPr>
        <w:t>vrijednosti</w:t>
      </w:r>
      <w:r w:rsidR="003421E1" w:rsidRPr="001B53A8">
        <w:rPr>
          <w:lang w:val="sr-Latn-BA"/>
        </w:rPr>
        <w:t xml:space="preserve"> (</w:t>
      </w:r>
      <w:r w:rsidRPr="001B53A8">
        <w:rPr>
          <w:lang w:val="sr-Latn-BA"/>
        </w:rPr>
        <w:t>podaci</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vlasnicima</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vlasničkoj</w:t>
      </w:r>
      <w:r w:rsidR="003421E1" w:rsidRPr="001B53A8">
        <w:rPr>
          <w:lang w:val="sr-Latn-BA"/>
        </w:rPr>
        <w:t xml:space="preserve"> </w:t>
      </w:r>
      <w:r w:rsidRPr="001B53A8">
        <w:rPr>
          <w:lang w:val="sr-Latn-BA"/>
        </w:rPr>
        <w:t>strukturi</w:t>
      </w:r>
      <w:r w:rsidR="003421E1" w:rsidRPr="001B53A8">
        <w:rPr>
          <w:lang w:val="sr-Latn-BA"/>
        </w:rPr>
        <w:t xml:space="preserve">). </w:t>
      </w:r>
      <w:r w:rsidRPr="001B53A8">
        <w:rPr>
          <w:lang w:val="sr-Latn-BA"/>
        </w:rPr>
        <w:t>Na</w:t>
      </w:r>
      <w:r w:rsidR="003421E1" w:rsidRPr="001B53A8">
        <w:rPr>
          <w:lang w:val="sr-Latn-BA"/>
        </w:rPr>
        <w:t xml:space="preserve"> </w:t>
      </w:r>
      <w:r w:rsidRPr="001B53A8">
        <w:rPr>
          <w:lang w:val="sr-Latn-BA"/>
        </w:rPr>
        <w:t>ovaj</w:t>
      </w:r>
      <w:r w:rsidR="003421E1" w:rsidRPr="001B53A8">
        <w:rPr>
          <w:lang w:val="sr-Latn-BA"/>
        </w:rPr>
        <w:t xml:space="preserve"> </w:t>
      </w:r>
      <w:r w:rsidRPr="001B53A8">
        <w:rPr>
          <w:lang w:val="sr-Latn-BA"/>
        </w:rPr>
        <w:t>način</w:t>
      </w:r>
      <w:r w:rsidR="003421E1" w:rsidRPr="001B53A8">
        <w:rPr>
          <w:lang w:val="sr-Latn-BA"/>
        </w:rPr>
        <w:t xml:space="preserve">, </w:t>
      </w:r>
      <w:r w:rsidRPr="001B53A8">
        <w:rPr>
          <w:lang w:val="sr-Latn-BA"/>
        </w:rPr>
        <w:t>tržištu</w:t>
      </w:r>
      <w:r w:rsidR="003421E1" w:rsidRPr="001B53A8">
        <w:rPr>
          <w:lang w:val="sr-Latn-BA"/>
        </w:rPr>
        <w:t xml:space="preserve"> </w:t>
      </w:r>
      <w:r w:rsidRPr="001B53A8">
        <w:rPr>
          <w:lang w:val="sr-Latn-BA"/>
        </w:rPr>
        <w:t>je</w:t>
      </w:r>
      <w:r w:rsidR="003421E1" w:rsidRPr="001B53A8">
        <w:rPr>
          <w:lang w:val="sr-Latn-BA"/>
        </w:rPr>
        <w:t xml:space="preserve"> </w:t>
      </w:r>
      <w:r w:rsidRPr="001B53A8">
        <w:rPr>
          <w:lang w:val="sr-Latn-BA"/>
        </w:rPr>
        <w:t>omogućena</w:t>
      </w:r>
      <w:r w:rsidR="003421E1" w:rsidRPr="001B53A8">
        <w:rPr>
          <w:lang w:val="sr-Latn-BA"/>
        </w:rPr>
        <w:t xml:space="preserve"> </w:t>
      </w:r>
      <w:r w:rsidRPr="001B53A8">
        <w:rPr>
          <w:lang w:val="sr-Latn-BA"/>
        </w:rPr>
        <w:t>veća</w:t>
      </w:r>
      <w:r w:rsidR="003421E1" w:rsidRPr="001B53A8">
        <w:rPr>
          <w:lang w:val="sr-Latn-BA"/>
        </w:rPr>
        <w:t xml:space="preserve"> </w:t>
      </w:r>
      <w:r w:rsidRPr="001B53A8">
        <w:rPr>
          <w:lang w:val="sr-Latn-BA"/>
        </w:rPr>
        <w:t>efikasnost</w:t>
      </w:r>
      <w:r w:rsidR="003421E1" w:rsidRPr="001B53A8">
        <w:rPr>
          <w:lang w:val="sr-Latn-BA"/>
        </w:rPr>
        <w:t xml:space="preserve"> </w:t>
      </w:r>
      <w:r w:rsidRPr="001B53A8">
        <w:rPr>
          <w:lang w:val="sr-Latn-BA"/>
        </w:rPr>
        <w:t>pri</w:t>
      </w:r>
      <w:r w:rsidR="003421E1" w:rsidRPr="001B53A8">
        <w:rPr>
          <w:lang w:val="sr-Latn-BA"/>
        </w:rPr>
        <w:t xml:space="preserve"> </w:t>
      </w:r>
      <w:r w:rsidRPr="001B53A8">
        <w:rPr>
          <w:lang w:val="sr-Latn-BA"/>
        </w:rPr>
        <w:t>disperziji</w:t>
      </w:r>
      <w:r w:rsidR="003421E1" w:rsidRPr="001B53A8">
        <w:rPr>
          <w:lang w:val="sr-Latn-BA"/>
        </w:rPr>
        <w:t xml:space="preserve"> </w:t>
      </w:r>
      <w:r w:rsidRPr="001B53A8">
        <w:rPr>
          <w:lang w:val="sr-Latn-BA"/>
        </w:rPr>
        <w:t>informacija</w:t>
      </w:r>
      <w:r w:rsidR="003421E1" w:rsidRPr="001B53A8">
        <w:rPr>
          <w:lang w:val="sr-Latn-BA"/>
        </w:rPr>
        <w:t xml:space="preserve">, </w:t>
      </w:r>
      <w:r w:rsidRPr="001B53A8">
        <w:rPr>
          <w:lang w:val="sr-Latn-BA"/>
        </w:rPr>
        <w:t>koje</w:t>
      </w:r>
      <w:r w:rsidR="003421E1" w:rsidRPr="001B53A8">
        <w:rPr>
          <w:lang w:val="sr-Latn-BA"/>
        </w:rPr>
        <w:t xml:space="preserve"> </w:t>
      </w:r>
      <w:r w:rsidRPr="001B53A8">
        <w:rPr>
          <w:lang w:val="sr-Latn-BA"/>
        </w:rPr>
        <w:t>su</w:t>
      </w:r>
      <w:r w:rsidR="003421E1" w:rsidRPr="001B53A8">
        <w:rPr>
          <w:lang w:val="sr-Latn-BA"/>
        </w:rPr>
        <w:t xml:space="preserve"> </w:t>
      </w:r>
      <w:r w:rsidRPr="001B53A8">
        <w:rPr>
          <w:lang w:val="sr-Latn-BA"/>
        </w:rPr>
        <w:t>jednostavno</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besplatno</w:t>
      </w:r>
      <w:r w:rsidR="003421E1" w:rsidRPr="001B53A8">
        <w:rPr>
          <w:lang w:val="sr-Latn-BA"/>
        </w:rPr>
        <w:t xml:space="preserve"> </w:t>
      </w:r>
      <w:r w:rsidRPr="001B53A8">
        <w:rPr>
          <w:lang w:val="sr-Latn-BA"/>
        </w:rPr>
        <w:t>dostupne</w:t>
      </w:r>
      <w:r w:rsidR="003421E1" w:rsidRPr="001B53A8">
        <w:rPr>
          <w:lang w:val="sr-Latn-BA"/>
        </w:rPr>
        <w:t xml:space="preserve"> </w:t>
      </w:r>
      <w:r w:rsidRPr="001B53A8">
        <w:rPr>
          <w:lang w:val="sr-Latn-BA"/>
        </w:rPr>
        <w:t>svim</w:t>
      </w:r>
      <w:r w:rsidR="003421E1" w:rsidRPr="001B53A8">
        <w:rPr>
          <w:lang w:val="sr-Latn-BA"/>
        </w:rPr>
        <w:t xml:space="preserve"> </w:t>
      </w:r>
      <w:r w:rsidRPr="001B53A8">
        <w:rPr>
          <w:lang w:val="sr-Latn-BA"/>
        </w:rPr>
        <w:t>zainteresovanim</w:t>
      </w:r>
      <w:r w:rsidR="003421E1" w:rsidRPr="001B53A8">
        <w:rPr>
          <w:lang w:val="sr-Latn-BA"/>
        </w:rPr>
        <w:t xml:space="preserve"> </w:t>
      </w:r>
      <w:r w:rsidRPr="001B53A8">
        <w:rPr>
          <w:lang w:val="sr-Latn-BA"/>
        </w:rPr>
        <w:t>stranama</w:t>
      </w:r>
      <w:r w:rsidR="003421E1" w:rsidRPr="001B53A8">
        <w:rPr>
          <w:lang w:val="sr-Latn-BA"/>
        </w:rPr>
        <w:t xml:space="preserve">, </w:t>
      </w:r>
      <w:r w:rsidRPr="001B53A8">
        <w:rPr>
          <w:lang w:val="sr-Latn-BA"/>
        </w:rPr>
        <w:t>praktično</w:t>
      </w:r>
      <w:r w:rsidR="003421E1" w:rsidRPr="001B53A8">
        <w:rPr>
          <w:lang w:val="sr-Latn-BA"/>
        </w:rPr>
        <w:t xml:space="preserve"> </w:t>
      </w:r>
      <w:r w:rsidRPr="001B53A8">
        <w:rPr>
          <w:lang w:val="sr-Latn-BA"/>
        </w:rPr>
        <w:t>bez</w:t>
      </w:r>
      <w:r w:rsidR="003421E1" w:rsidRPr="001B53A8">
        <w:rPr>
          <w:lang w:val="sr-Latn-BA"/>
        </w:rPr>
        <w:t xml:space="preserve"> </w:t>
      </w:r>
      <w:r w:rsidRPr="001B53A8">
        <w:rPr>
          <w:lang w:val="sr-Latn-BA"/>
        </w:rPr>
        <w:t>troškova</w:t>
      </w:r>
      <w:r w:rsidR="003421E1" w:rsidRPr="001B53A8">
        <w:rPr>
          <w:lang w:val="sr-Latn-BA"/>
        </w:rPr>
        <w:t xml:space="preserve"> </w:t>
      </w:r>
      <w:r w:rsidRPr="001B53A8">
        <w:rPr>
          <w:lang w:val="sr-Latn-BA"/>
        </w:rPr>
        <w:t>za</w:t>
      </w:r>
      <w:r w:rsidR="003421E1" w:rsidRPr="001B53A8">
        <w:rPr>
          <w:lang w:val="sr-Latn-BA"/>
        </w:rPr>
        <w:t xml:space="preserve"> </w:t>
      </w:r>
      <w:r w:rsidRPr="001B53A8">
        <w:rPr>
          <w:lang w:val="sr-Latn-BA"/>
        </w:rPr>
        <w:t>emitente</w:t>
      </w:r>
      <w:r w:rsidR="003421E1" w:rsidRPr="001B53A8">
        <w:rPr>
          <w:lang w:val="sr-Latn-BA"/>
        </w:rPr>
        <w:t>.</w:t>
      </w:r>
    </w:p>
    <w:p w14:paraId="0D5625F3" w14:textId="3EC9F00D" w:rsidR="003421E1" w:rsidRPr="001B53A8" w:rsidRDefault="00003F34" w:rsidP="003421E1">
      <w:pPr>
        <w:spacing w:after="0" w:line="240" w:lineRule="auto"/>
        <w:ind w:firstLine="567"/>
        <w:rPr>
          <w:lang w:val="sr-Latn-BA"/>
        </w:rPr>
      </w:pPr>
      <w:r w:rsidRPr="001B53A8">
        <w:rPr>
          <w:lang w:val="sr-Latn-BA"/>
        </w:rPr>
        <w:t>Dio</w:t>
      </w:r>
      <w:r w:rsidR="003421E1" w:rsidRPr="001B53A8">
        <w:rPr>
          <w:lang w:val="sr-Latn-BA"/>
        </w:rPr>
        <w:t xml:space="preserve"> </w:t>
      </w:r>
      <w:r w:rsidRPr="001B53A8">
        <w:rPr>
          <w:lang w:val="sr-Latn-BA"/>
        </w:rPr>
        <w:t>navedenih</w:t>
      </w:r>
      <w:r w:rsidR="003421E1" w:rsidRPr="001B53A8">
        <w:rPr>
          <w:lang w:val="sr-Latn-BA"/>
        </w:rPr>
        <w:t xml:space="preserve"> </w:t>
      </w:r>
      <w:r w:rsidRPr="001B53A8">
        <w:rPr>
          <w:lang w:val="sr-Latn-BA"/>
        </w:rPr>
        <w:t>informacija</w:t>
      </w:r>
      <w:r w:rsidR="003421E1" w:rsidRPr="001B53A8">
        <w:rPr>
          <w:lang w:val="sr-Latn-BA"/>
        </w:rPr>
        <w:t xml:space="preserve">, </w:t>
      </w:r>
      <w:r w:rsidRPr="001B53A8">
        <w:rPr>
          <w:lang w:val="sr-Latn-BA"/>
        </w:rPr>
        <w:t>koje</w:t>
      </w:r>
      <w:r w:rsidR="003421E1" w:rsidRPr="001B53A8">
        <w:rPr>
          <w:lang w:val="sr-Latn-BA"/>
        </w:rPr>
        <w:t xml:space="preserve"> </w:t>
      </w:r>
      <w:r w:rsidRPr="001B53A8">
        <w:rPr>
          <w:lang w:val="sr-Latn-BA"/>
        </w:rPr>
        <w:t>su</w:t>
      </w:r>
      <w:r w:rsidR="003421E1" w:rsidRPr="001B53A8">
        <w:rPr>
          <w:lang w:val="sr-Latn-BA"/>
        </w:rPr>
        <w:t xml:space="preserve"> </w:t>
      </w:r>
      <w:r w:rsidRPr="001B53A8">
        <w:rPr>
          <w:lang w:val="sr-Latn-BA"/>
        </w:rPr>
        <w:t>predmet</w:t>
      </w:r>
      <w:r w:rsidR="003421E1" w:rsidRPr="001B53A8">
        <w:rPr>
          <w:lang w:val="sr-Latn-BA"/>
        </w:rPr>
        <w:t xml:space="preserve"> </w:t>
      </w:r>
      <w:r w:rsidRPr="001B53A8">
        <w:rPr>
          <w:lang w:val="sr-Latn-BA"/>
        </w:rPr>
        <w:t>javne</w:t>
      </w:r>
      <w:r w:rsidR="003421E1" w:rsidRPr="001B53A8">
        <w:rPr>
          <w:lang w:val="sr-Latn-BA"/>
        </w:rPr>
        <w:t xml:space="preserve"> </w:t>
      </w:r>
      <w:r w:rsidRPr="001B53A8">
        <w:rPr>
          <w:lang w:val="sr-Latn-BA"/>
        </w:rPr>
        <w:t>objave</w:t>
      </w:r>
      <w:r w:rsidR="003421E1" w:rsidRPr="001B53A8">
        <w:rPr>
          <w:lang w:val="sr-Latn-BA"/>
        </w:rPr>
        <w:t xml:space="preserve">, </w:t>
      </w:r>
      <w:r w:rsidRPr="001B53A8">
        <w:rPr>
          <w:lang w:val="sr-Latn-BA"/>
        </w:rPr>
        <w:t>poput</w:t>
      </w:r>
      <w:r w:rsidR="003421E1" w:rsidRPr="001B53A8">
        <w:rPr>
          <w:lang w:val="sr-Latn-BA"/>
        </w:rPr>
        <w:t xml:space="preserve"> </w:t>
      </w:r>
      <w:r w:rsidRPr="001B53A8">
        <w:rPr>
          <w:lang w:val="sr-Latn-BA"/>
        </w:rPr>
        <w:t>onih</w:t>
      </w:r>
      <w:r w:rsidR="003421E1" w:rsidRPr="001B53A8">
        <w:rPr>
          <w:lang w:val="sr-Latn-BA"/>
        </w:rPr>
        <w:t xml:space="preserve"> </w:t>
      </w:r>
      <w:r w:rsidRPr="001B53A8">
        <w:rPr>
          <w:lang w:val="sr-Latn-BA"/>
        </w:rPr>
        <w:t>iz</w:t>
      </w:r>
      <w:r w:rsidR="003421E1" w:rsidRPr="001B53A8">
        <w:rPr>
          <w:lang w:val="sr-Latn-BA"/>
        </w:rPr>
        <w:t xml:space="preserve"> </w:t>
      </w:r>
      <w:r w:rsidRPr="001B53A8">
        <w:rPr>
          <w:lang w:val="sr-Latn-BA"/>
        </w:rPr>
        <w:t>finansijskih</w:t>
      </w:r>
      <w:r w:rsidR="003421E1" w:rsidRPr="001B53A8">
        <w:rPr>
          <w:lang w:val="sr-Latn-BA"/>
        </w:rPr>
        <w:t xml:space="preserve"> </w:t>
      </w:r>
      <w:r w:rsidRPr="001B53A8">
        <w:rPr>
          <w:lang w:val="sr-Latn-BA"/>
        </w:rPr>
        <w:t>izvještaja</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prometu</w:t>
      </w:r>
      <w:r w:rsidR="003421E1" w:rsidRPr="001B53A8">
        <w:rPr>
          <w:lang w:val="sr-Latn-BA"/>
        </w:rPr>
        <w:t xml:space="preserve"> </w:t>
      </w:r>
      <w:r w:rsidRPr="001B53A8">
        <w:rPr>
          <w:lang w:val="sr-Latn-BA"/>
        </w:rPr>
        <w:t>emitovanih</w:t>
      </w:r>
      <w:r w:rsidR="003421E1" w:rsidRPr="001B53A8">
        <w:rPr>
          <w:lang w:val="sr-Latn-BA"/>
        </w:rPr>
        <w:t xml:space="preserve"> </w:t>
      </w:r>
      <w:r w:rsidRPr="001B53A8">
        <w:rPr>
          <w:lang w:val="sr-Latn-BA"/>
        </w:rPr>
        <w:t>hartija</w:t>
      </w:r>
      <w:r w:rsidR="003421E1" w:rsidRPr="001B53A8">
        <w:rPr>
          <w:lang w:val="sr-Latn-BA"/>
        </w:rPr>
        <w:t xml:space="preserve"> </w:t>
      </w:r>
      <w:r w:rsidRPr="001B53A8">
        <w:rPr>
          <w:lang w:val="sr-Latn-BA"/>
        </w:rPr>
        <w:t>na</w:t>
      </w:r>
      <w:r w:rsidR="003421E1" w:rsidRPr="001B53A8">
        <w:rPr>
          <w:lang w:val="sr-Latn-BA"/>
        </w:rPr>
        <w:t xml:space="preserve"> </w:t>
      </w:r>
      <w:r w:rsidRPr="001B53A8">
        <w:rPr>
          <w:lang w:val="sr-Latn-BA"/>
        </w:rPr>
        <w:t>Banjalučkoj</w:t>
      </w:r>
      <w:r w:rsidR="003421E1" w:rsidRPr="001B53A8">
        <w:rPr>
          <w:lang w:val="sr-Latn-BA"/>
        </w:rPr>
        <w:t xml:space="preserve"> </w:t>
      </w:r>
      <w:r w:rsidRPr="001B53A8">
        <w:rPr>
          <w:lang w:val="sr-Latn-BA"/>
        </w:rPr>
        <w:t>berzi</w:t>
      </w:r>
      <w:r w:rsidR="003421E1" w:rsidRPr="001B53A8">
        <w:rPr>
          <w:lang w:val="sr-Latn-BA"/>
        </w:rPr>
        <w:t xml:space="preserve"> </w:t>
      </w:r>
      <w:r w:rsidRPr="001B53A8">
        <w:rPr>
          <w:lang w:val="sr-Latn-BA"/>
        </w:rPr>
        <w:t>su</w:t>
      </w:r>
      <w:r w:rsidR="003421E1" w:rsidRPr="001B53A8">
        <w:rPr>
          <w:lang w:val="sr-Latn-BA"/>
        </w:rPr>
        <w:t xml:space="preserve"> </w:t>
      </w:r>
      <w:r w:rsidRPr="001B53A8">
        <w:rPr>
          <w:lang w:val="sr-Latn-BA"/>
        </w:rPr>
        <w:t>raspoložive</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na</w:t>
      </w:r>
      <w:r w:rsidR="003421E1" w:rsidRPr="001B53A8">
        <w:rPr>
          <w:lang w:val="sr-Latn-BA"/>
        </w:rPr>
        <w:t xml:space="preserve"> </w:t>
      </w:r>
      <w:r w:rsidRPr="001B53A8">
        <w:rPr>
          <w:lang w:val="sr-Latn-BA"/>
        </w:rPr>
        <w:t>engleskom</w:t>
      </w:r>
      <w:r w:rsidR="003421E1" w:rsidRPr="001B53A8">
        <w:rPr>
          <w:lang w:val="sr-Latn-BA"/>
        </w:rPr>
        <w:t xml:space="preserve"> </w:t>
      </w:r>
      <w:r w:rsidRPr="001B53A8">
        <w:rPr>
          <w:lang w:val="sr-Latn-BA"/>
        </w:rPr>
        <w:t>jeziku</w:t>
      </w:r>
      <w:r w:rsidR="003421E1" w:rsidRPr="001B53A8">
        <w:rPr>
          <w:lang w:val="sr-Latn-BA"/>
        </w:rPr>
        <w:t>.</w:t>
      </w:r>
    </w:p>
    <w:p w14:paraId="3CFA8C95" w14:textId="5F286627" w:rsidR="003421E1" w:rsidRPr="001B53A8" w:rsidRDefault="00003F34" w:rsidP="003421E1">
      <w:pPr>
        <w:spacing w:after="0" w:line="240" w:lineRule="auto"/>
        <w:ind w:firstLine="567"/>
        <w:rPr>
          <w:lang w:val="sr-Latn-BA"/>
        </w:rPr>
      </w:pPr>
      <w:r w:rsidRPr="001B53A8">
        <w:rPr>
          <w:lang w:val="sr-Latn-BA"/>
        </w:rPr>
        <w:t>U</w:t>
      </w:r>
      <w:r w:rsidR="003421E1" w:rsidRPr="001B53A8">
        <w:rPr>
          <w:lang w:val="sr-Latn-BA"/>
        </w:rPr>
        <w:t xml:space="preserve"> 2023. </w:t>
      </w:r>
      <w:r w:rsidRPr="001B53A8">
        <w:rPr>
          <w:lang w:val="sr-Latn-BA"/>
        </w:rPr>
        <w:t>godini</w:t>
      </w:r>
      <w:r w:rsidR="003421E1" w:rsidRPr="001B53A8">
        <w:rPr>
          <w:lang w:val="sr-Latn-BA"/>
        </w:rPr>
        <w:t xml:space="preserve"> </w:t>
      </w:r>
      <w:r w:rsidRPr="001B53A8">
        <w:rPr>
          <w:lang w:val="sr-Latn-BA"/>
        </w:rPr>
        <w:t>Banjalučka</w:t>
      </w:r>
      <w:r w:rsidR="003421E1" w:rsidRPr="001B53A8">
        <w:rPr>
          <w:lang w:val="sr-Latn-BA"/>
        </w:rPr>
        <w:t xml:space="preserve"> </w:t>
      </w:r>
      <w:r w:rsidRPr="001B53A8">
        <w:rPr>
          <w:lang w:val="sr-Latn-BA"/>
        </w:rPr>
        <w:t>berza</w:t>
      </w:r>
      <w:r w:rsidR="003421E1" w:rsidRPr="001B53A8">
        <w:rPr>
          <w:lang w:val="sr-Latn-BA"/>
        </w:rPr>
        <w:t xml:space="preserve"> </w:t>
      </w:r>
      <w:r w:rsidRPr="001B53A8">
        <w:rPr>
          <w:lang w:val="sr-Latn-BA"/>
        </w:rPr>
        <w:t>je</w:t>
      </w:r>
      <w:r w:rsidR="003421E1" w:rsidRPr="001B53A8">
        <w:rPr>
          <w:lang w:val="sr-Latn-BA"/>
        </w:rPr>
        <w:t xml:space="preserve"> </w:t>
      </w:r>
      <w:r w:rsidRPr="001B53A8">
        <w:rPr>
          <w:lang w:val="sr-Latn-BA"/>
        </w:rPr>
        <w:t>samostalno</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prema</w:t>
      </w:r>
      <w:r w:rsidR="003421E1" w:rsidRPr="001B53A8">
        <w:rPr>
          <w:lang w:val="sr-Latn-BA"/>
        </w:rPr>
        <w:t xml:space="preserve"> </w:t>
      </w:r>
      <w:r w:rsidRPr="001B53A8">
        <w:rPr>
          <w:lang w:val="sr-Latn-BA"/>
        </w:rPr>
        <w:t>zahtjevima</w:t>
      </w:r>
      <w:r w:rsidR="003421E1" w:rsidRPr="001B53A8">
        <w:rPr>
          <w:lang w:val="sr-Latn-BA"/>
        </w:rPr>
        <w:t xml:space="preserve"> </w:t>
      </w:r>
      <w:r w:rsidRPr="001B53A8">
        <w:rPr>
          <w:lang w:val="sr-Latn-BA"/>
        </w:rPr>
        <w:t>emitenata</w:t>
      </w:r>
      <w:r w:rsidR="003421E1" w:rsidRPr="001B53A8">
        <w:rPr>
          <w:lang w:val="sr-Latn-BA"/>
        </w:rPr>
        <w:t xml:space="preserve"> </w:t>
      </w:r>
      <w:r w:rsidRPr="001B53A8">
        <w:rPr>
          <w:lang w:val="sr-Latn-BA"/>
        </w:rPr>
        <w:t>objavila</w:t>
      </w:r>
      <w:r w:rsidR="003421E1" w:rsidRPr="001B53A8">
        <w:rPr>
          <w:lang w:val="sr-Latn-BA"/>
        </w:rPr>
        <w:t xml:space="preserve"> 1.486 </w:t>
      </w:r>
      <w:r w:rsidRPr="001B53A8">
        <w:rPr>
          <w:lang w:val="sr-Latn-BA"/>
        </w:rPr>
        <w:t>korporativnih</w:t>
      </w:r>
      <w:r w:rsidR="003421E1" w:rsidRPr="001B53A8">
        <w:rPr>
          <w:lang w:val="sr-Latn-BA"/>
        </w:rPr>
        <w:t xml:space="preserve"> </w:t>
      </w:r>
      <w:r w:rsidRPr="001B53A8">
        <w:rPr>
          <w:lang w:val="sr-Latn-BA"/>
        </w:rPr>
        <w:t>novosti</w:t>
      </w:r>
      <w:r w:rsidR="003421E1" w:rsidRPr="001B53A8">
        <w:rPr>
          <w:lang w:val="sr-Latn-BA"/>
        </w:rPr>
        <w:t xml:space="preserve">, </w:t>
      </w:r>
      <w:r w:rsidRPr="001B53A8">
        <w:rPr>
          <w:lang w:val="sr-Latn-BA"/>
        </w:rPr>
        <w:t>uglavnom</w:t>
      </w:r>
      <w:r w:rsidR="003421E1" w:rsidRPr="001B53A8">
        <w:rPr>
          <w:lang w:val="sr-Latn-BA"/>
        </w:rPr>
        <w:t xml:space="preserve"> </w:t>
      </w:r>
      <w:r w:rsidRPr="001B53A8">
        <w:rPr>
          <w:lang w:val="sr-Latn-BA"/>
        </w:rPr>
        <w:t>saziva</w:t>
      </w:r>
      <w:r w:rsidR="003421E1" w:rsidRPr="001B53A8">
        <w:rPr>
          <w:lang w:val="sr-Latn-BA"/>
        </w:rPr>
        <w:t xml:space="preserve"> </w:t>
      </w:r>
      <w:r w:rsidRPr="001B53A8">
        <w:rPr>
          <w:lang w:val="sr-Latn-BA"/>
        </w:rPr>
        <w:t>za</w:t>
      </w:r>
      <w:r w:rsidR="003421E1" w:rsidRPr="001B53A8">
        <w:rPr>
          <w:lang w:val="sr-Latn-BA"/>
        </w:rPr>
        <w:t xml:space="preserve"> </w:t>
      </w:r>
      <w:r w:rsidRPr="001B53A8">
        <w:rPr>
          <w:lang w:val="sr-Latn-BA"/>
        </w:rPr>
        <w:t>skupštinu</w:t>
      </w:r>
      <w:r w:rsidR="003421E1" w:rsidRPr="001B53A8">
        <w:rPr>
          <w:lang w:val="sr-Latn-BA"/>
        </w:rPr>
        <w:t xml:space="preserve"> </w:t>
      </w:r>
      <w:r w:rsidRPr="001B53A8">
        <w:rPr>
          <w:lang w:val="sr-Latn-BA"/>
        </w:rPr>
        <w:t>akcionara</w:t>
      </w:r>
      <w:r w:rsidR="003421E1" w:rsidRPr="001B53A8">
        <w:rPr>
          <w:lang w:val="sr-Latn-BA"/>
        </w:rPr>
        <w:t xml:space="preserve">, </w:t>
      </w:r>
      <w:r w:rsidRPr="001B53A8">
        <w:rPr>
          <w:lang w:val="sr-Latn-BA"/>
        </w:rPr>
        <w:t>prijedloga</w:t>
      </w:r>
      <w:r w:rsidR="003421E1" w:rsidRPr="001B53A8">
        <w:rPr>
          <w:lang w:val="sr-Latn-BA"/>
        </w:rPr>
        <w:t xml:space="preserve"> </w:t>
      </w:r>
      <w:r w:rsidRPr="001B53A8">
        <w:rPr>
          <w:lang w:val="sr-Latn-BA"/>
        </w:rPr>
        <w:t>odluka</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odluka</w:t>
      </w:r>
      <w:r w:rsidR="003421E1" w:rsidRPr="001B53A8">
        <w:rPr>
          <w:lang w:val="sr-Latn-BA"/>
        </w:rPr>
        <w:t xml:space="preserve"> </w:t>
      </w:r>
      <w:r w:rsidRPr="001B53A8">
        <w:rPr>
          <w:lang w:val="sr-Latn-BA"/>
        </w:rPr>
        <w:t>skupštine</w:t>
      </w:r>
      <w:r w:rsidR="003421E1" w:rsidRPr="001B53A8">
        <w:rPr>
          <w:lang w:val="sr-Latn-BA"/>
        </w:rPr>
        <w:t xml:space="preserve"> </w:t>
      </w:r>
      <w:r w:rsidRPr="001B53A8">
        <w:rPr>
          <w:lang w:val="sr-Latn-BA"/>
        </w:rPr>
        <w:t>akcionara</w:t>
      </w:r>
      <w:r w:rsidR="003421E1" w:rsidRPr="001B53A8">
        <w:rPr>
          <w:lang w:val="sr-Latn-BA"/>
        </w:rPr>
        <w:t xml:space="preserve">, </w:t>
      </w:r>
      <w:r w:rsidRPr="001B53A8">
        <w:rPr>
          <w:lang w:val="sr-Latn-BA"/>
        </w:rPr>
        <w:t>obavještenja</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sticanju</w:t>
      </w:r>
      <w:r w:rsidR="003421E1" w:rsidRPr="001B53A8">
        <w:rPr>
          <w:lang w:val="sr-Latn-BA"/>
        </w:rPr>
        <w:t xml:space="preserve"> </w:t>
      </w:r>
      <w:r w:rsidRPr="001B53A8">
        <w:rPr>
          <w:lang w:val="sr-Latn-BA"/>
        </w:rPr>
        <w:t>akcija</w:t>
      </w:r>
      <w:r w:rsidR="003421E1" w:rsidRPr="001B53A8">
        <w:rPr>
          <w:lang w:val="sr-Latn-BA"/>
        </w:rPr>
        <w:t xml:space="preserve">, </w:t>
      </w:r>
      <w:r w:rsidRPr="001B53A8">
        <w:rPr>
          <w:lang w:val="sr-Latn-BA"/>
        </w:rPr>
        <w:t>javnih</w:t>
      </w:r>
      <w:r w:rsidR="003421E1" w:rsidRPr="001B53A8">
        <w:rPr>
          <w:lang w:val="sr-Latn-BA"/>
        </w:rPr>
        <w:t xml:space="preserve"> </w:t>
      </w:r>
      <w:r w:rsidRPr="001B53A8">
        <w:rPr>
          <w:lang w:val="sr-Latn-BA"/>
        </w:rPr>
        <w:t>ponuda</w:t>
      </w:r>
      <w:r w:rsidR="003421E1" w:rsidRPr="001B53A8">
        <w:rPr>
          <w:lang w:val="sr-Latn-BA"/>
        </w:rPr>
        <w:t xml:space="preserve"> </w:t>
      </w:r>
      <w:r w:rsidRPr="001B53A8">
        <w:rPr>
          <w:lang w:val="sr-Latn-BA"/>
        </w:rPr>
        <w:t>za</w:t>
      </w:r>
      <w:r w:rsidR="003421E1" w:rsidRPr="001B53A8">
        <w:rPr>
          <w:lang w:val="sr-Latn-BA"/>
        </w:rPr>
        <w:t xml:space="preserve"> </w:t>
      </w:r>
      <w:r w:rsidRPr="001B53A8">
        <w:rPr>
          <w:lang w:val="sr-Latn-BA"/>
        </w:rPr>
        <w:t>preuzimanje</w:t>
      </w:r>
      <w:r w:rsidR="003421E1" w:rsidRPr="001B53A8">
        <w:rPr>
          <w:lang w:val="sr-Latn-BA"/>
        </w:rPr>
        <w:t xml:space="preserve">, </w:t>
      </w:r>
      <w:r w:rsidRPr="001B53A8">
        <w:rPr>
          <w:lang w:val="sr-Latn-BA"/>
        </w:rPr>
        <w:t>mišlјenja</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ponudi</w:t>
      </w:r>
      <w:r w:rsidR="003421E1" w:rsidRPr="001B53A8">
        <w:rPr>
          <w:lang w:val="sr-Latn-BA"/>
        </w:rPr>
        <w:t xml:space="preserve"> </w:t>
      </w:r>
      <w:r w:rsidRPr="001B53A8">
        <w:rPr>
          <w:lang w:val="sr-Latn-BA"/>
        </w:rPr>
        <w:t>za</w:t>
      </w:r>
      <w:r w:rsidR="003421E1" w:rsidRPr="001B53A8">
        <w:rPr>
          <w:lang w:val="sr-Latn-BA"/>
        </w:rPr>
        <w:t xml:space="preserve"> </w:t>
      </w:r>
      <w:r w:rsidRPr="001B53A8">
        <w:rPr>
          <w:lang w:val="sr-Latn-BA"/>
        </w:rPr>
        <w:t>preuzimanje</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drugih</w:t>
      </w:r>
      <w:r w:rsidR="003421E1" w:rsidRPr="001B53A8">
        <w:rPr>
          <w:lang w:val="sr-Latn-BA"/>
        </w:rPr>
        <w:t xml:space="preserve"> </w:t>
      </w:r>
      <w:r w:rsidRPr="001B53A8">
        <w:rPr>
          <w:lang w:val="sr-Latn-BA"/>
        </w:rPr>
        <w:t>značajnih</w:t>
      </w:r>
      <w:r w:rsidR="003421E1" w:rsidRPr="001B53A8">
        <w:rPr>
          <w:lang w:val="sr-Latn-BA"/>
        </w:rPr>
        <w:t xml:space="preserve"> </w:t>
      </w:r>
      <w:r w:rsidRPr="001B53A8">
        <w:rPr>
          <w:lang w:val="sr-Latn-BA"/>
        </w:rPr>
        <w:t>događaja</w:t>
      </w:r>
      <w:r w:rsidR="003421E1" w:rsidRPr="001B53A8">
        <w:rPr>
          <w:lang w:val="sr-Latn-BA"/>
        </w:rPr>
        <w:t xml:space="preserve">. </w:t>
      </w:r>
      <w:r w:rsidRPr="001B53A8">
        <w:rPr>
          <w:lang w:val="sr-Latn-BA"/>
        </w:rPr>
        <w:t>Dio</w:t>
      </w:r>
      <w:r w:rsidR="003421E1" w:rsidRPr="001B53A8">
        <w:rPr>
          <w:lang w:val="sr-Latn-BA"/>
        </w:rPr>
        <w:t xml:space="preserve"> </w:t>
      </w:r>
      <w:r w:rsidRPr="001B53A8">
        <w:rPr>
          <w:lang w:val="sr-Latn-BA"/>
        </w:rPr>
        <w:t>tih</w:t>
      </w:r>
      <w:r w:rsidR="003421E1" w:rsidRPr="001B53A8">
        <w:rPr>
          <w:lang w:val="sr-Latn-BA"/>
        </w:rPr>
        <w:t xml:space="preserve"> </w:t>
      </w:r>
      <w:r w:rsidRPr="001B53A8">
        <w:rPr>
          <w:lang w:val="sr-Latn-BA"/>
        </w:rPr>
        <w:t>informacija</w:t>
      </w:r>
      <w:r w:rsidR="003421E1" w:rsidRPr="001B53A8">
        <w:rPr>
          <w:lang w:val="sr-Latn-BA"/>
        </w:rPr>
        <w:t xml:space="preserve"> </w:t>
      </w:r>
      <w:r w:rsidRPr="001B53A8">
        <w:rPr>
          <w:lang w:val="sr-Latn-BA"/>
        </w:rPr>
        <w:t>preuziman</w:t>
      </w:r>
      <w:r w:rsidR="003421E1" w:rsidRPr="001B53A8">
        <w:rPr>
          <w:lang w:val="sr-Latn-BA"/>
        </w:rPr>
        <w:t xml:space="preserve"> </w:t>
      </w:r>
      <w:r w:rsidRPr="001B53A8">
        <w:rPr>
          <w:lang w:val="sr-Latn-BA"/>
        </w:rPr>
        <w:t>je</w:t>
      </w:r>
      <w:r w:rsidR="003421E1" w:rsidRPr="001B53A8">
        <w:rPr>
          <w:lang w:val="sr-Latn-BA"/>
        </w:rPr>
        <w:t xml:space="preserve"> </w:t>
      </w:r>
      <w:r w:rsidRPr="001B53A8">
        <w:rPr>
          <w:lang w:val="sr-Latn-BA"/>
        </w:rPr>
        <w:t>iz</w:t>
      </w:r>
      <w:r w:rsidR="003421E1" w:rsidRPr="001B53A8">
        <w:rPr>
          <w:lang w:val="sr-Latn-BA"/>
        </w:rPr>
        <w:t xml:space="preserve"> </w:t>
      </w:r>
      <w:r w:rsidRPr="001B53A8">
        <w:rPr>
          <w:lang w:val="sr-Latn-BA"/>
        </w:rPr>
        <w:t>dnevnih</w:t>
      </w:r>
      <w:r w:rsidR="003421E1" w:rsidRPr="001B53A8">
        <w:rPr>
          <w:lang w:val="sr-Latn-BA"/>
        </w:rPr>
        <w:t xml:space="preserve"> </w:t>
      </w:r>
      <w:r w:rsidRPr="001B53A8">
        <w:rPr>
          <w:lang w:val="sr-Latn-BA"/>
        </w:rPr>
        <w:t>novina</w:t>
      </w:r>
      <w:r w:rsidR="003421E1" w:rsidRPr="001B53A8">
        <w:rPr>
          <w:lang w:val="sr-Latn-BA"/>
        </w:rPr>
        <w:t xml:space="preserve">, </w:t>
      </w:r>
      <w:r w:rsidRPr="001B53A8">
        <w:rPr>
          <w:lang w:val="sr-Latn-BA"/>
        </w:rPr>
        <w:t>dok</w:t>
      </w:r>
      <w:r w:rsidR="003421E1" w:rsidRPr="001B53A8">
        <w:rPr>
          <w:lang w:val="sr-Latn-BA"/>
        </w:rPr>
        <w:t xml:space="preserve"> </w:t>
      </w:r>
      <w:r w:rsidRPr="001B53A8">
        <w:rPr>
          <w:lang w:val="sr-Latn-BA"/>
        </w:rPr>
        <w:t>su</w:t>
      </w:r>
      <w:r w:rsidR="003421E1" w:rsidRPr="001B53A8">
        <w:rPr>
          <w:lang w:val="sr-Latn-BA"/>
        </w:rPr>
        <w:t xml:space="preserve"> </w:t>
      </w:r>
      <w:r w:rsidRPr="001B53A8">
        <w:rPr>
          <w:lang w:val="sr-Latn-BA"/>
        </w:rPr>
        <w:t>ostale</w:t>
      </w:r>
      <w:r w:rsidR="003421E1" w:rsidRPr="001B53A8">
        <w:rPr>
          <w:lang w:val="sr-Latn-BA"/>
        </w:rPr>
        <w:t xml:space="preserve"> </w:t>
      </w:r>
      <w:r w:rsidRPr="001B53A8">
        <w:rPr>
          <w:lang w:val="sr-Latn-BA"/>
        </w:rPr>
        <w:t>informacije</w:t>
      </w:r>
      <w:r w:rsidR="003421E1" w:rsidRPr="001B53A8">
        <w:rPr>
          <w:lang w:val="sr-Latn-BA"/>
        </w:rPr>
        <w:t xml:space="preserve"> </w:t>
      </w:r>
      <w:r w:rsidRPr="001B53A8">
        <w:rPr>
          <w:lang w:val="sr-Latn-BA"/>
        </w:rPr>
        <w:t>dobijene</w:t>
      </w:r>
      <w:r w:rsidR="003421E1" w:rsidRPr="001B53A8">
        <w:rPr>
          <w:lang w:val="sr-Latn-BA"/>
        </w:rPr>
        <w:t xml:space="preserve"> </w:t>
      </w:r>
      <w:r w:rsidRPr="001B53A8">
        <w:rPr>
          <w:lang w:val="sr-Latn-BA"/>
        </w:rPr>
        <w:t>od</w:t>
      </w:r>
      <w:r w:rsidR="003421E1" w:rsidRPr="001B53A8">
        <w:rPr>
          <w:lang w:val="sr-Latn-BA"/>
        </w:rPr>
        <w:t xml:space="preserve"> </w:t>
      </w:r>
      <w:r w:rsidRPr="001B53A8">
        <w:rPr>
          <w:lang w:val="sr-Latn-BA"/>
        </w:rPr>
        <w:t>emitenata</w:t>
      </w:r>
      <w:r w:rsidR="003421E1" w:rsidRPr="001B53A8">
        <w:rPr>
          <w:lang w:val="sr-Latn-BA"/>
        </w:rPr>
        <w:t>. </w:t>
      </w:r>
      <w:r w:rsidRPr="001B53A8">
        <w:rPr>
          <w:lang w:val="sr-Latn-BA"/>
        </w:rPr>
        <w:t>Ukupan</w:t>
      </w:r>
      <w:r w:rsidR="003421E1" w:rsidRPr="001B53A8">
        <w:rPr>
          <w:lang w:val="sr-Latn-BA"/>
        </w:rPr>
        <w:t xml:space="preserve"> </w:t>
      </w:r>
      <w:r w:rsidRPr="001B53A8">
        <w:rPr>
          <w:lang w:val="sr-Latn-BA"/>
        </w:rPr>
        <w:t>broj</w:t>
      </w:r>
      <w:r w:rsidR="003421E1" w:rsidRPr="001B53A8">
        <w:rPr>
          <w:lang w:val="sr-Latn-BA"/>
        </w:rPr>
        <w:t xml:space="preserve"> </w:t>
      </w:r>
      <w:r w:rsidRPr="001B53A8">
        <w:rPr>
          <w:lang w:val="sr-Latn-BA"/>
        </w:rPr>
        <w:t>objava</w:t>
      </w:r>
      <w:r w:rsidR="003421E1" w:rsidRPr="001B53A8">
        <w:rPr>
          <w:lang w:val="sr-Latn-BA"/>
        </w:rPr>
        <w:t xml:space="preserve"> </w:t>
      </w:r>
      <w:r w:rsidRPr="001B53A8">
        <w:rPr>
          <w:lang w:val="sr-Latn-BA"/>
        </w:rPr>
        <w:t>na</w:t>
      </w:r>
      <w:r w:rsidR="003421E1" w:rsidRPr="001B53A8">
        <w:rPr>
          <w:lang w:val="sr-Latn-BA"/>
        </w:rPr>
        <w:t xml:space="preserve"> </w:t>
      </w:r>
      <w:r w:rsidRPr="001B53A8">
        <w:rPr>
          <w:lang w:val="sr-Latn-BA"/>
        </w:rPr>
        <w:t>portalu</w:t>
      </w:r>
      <w:r w:rsidR="003421E1" w:rsidRPr="001B53A8">
        <w:rPr>
          <w:lang w:val="sr-Latn-BA"/>
        </w:rPr>
        <w:t xml:space="preserve"> </w:t>
      </w:r>
      <w:r w:rsidRPr="001B53A8">
        <w:rPr>
          <w:lang w:val="sr-Latn-BA"/>
        </w:rPr>
        <w:t>Banjalučke</w:t>
      </w:r>
      <w:r w:rsidR="003421E1" w:rsidRPr="001B53A8">
        <w:rPr>
          <w:lang w:val="sr-Latn-BA"/>
        </w:rPr>
        <w:t xml:space="preserve"> </w:t>
      </w:r>
      <w:r w:rsidRPr="001B53A8">
        <w:rPr>
          <w:lang w:val="sr-Latn-BA"/>
        </w:rPr>
        <w:t>berze</w:t>
      </w:r>
      <w:r w:rsidR="003421E1" w:rsidRPr="001B53A8">
        <w:rPr>
          <w:lang w:val="sr-Latn-BA"/>
        </w:rPr>
        <w:t xml:space="preserve"> </w:t>
      </w:r>
      <w:r w:rsidRPr="001B53A8">
        <w:rPr>
          <w:lang w:val="sr-Latn-BA"/>
        </w:rPr>
        <w:t>u</w:t>
      </w:r>
      <w:r w:rsidR="003421E1" w:rsidRPr="001B53A8">
        <w:rPr>
          <w:lang w:val="sr-Latn-BA"/>
        </w:rPr>
        <w:t xml:space="preserve"> </w:t>
      </w:r>
      <w:r w:rsidRPr="001B53A8">
        <w:rPr>
          <w:lang w:val="sr-Latn-BA"/>
        </w:rPr>
        <w:t>izvještajnom</w:t>
      </w:r>
      <w:r w:rsidR="003421E1" w:rsidRPr="001B53A8">
        <w:rPr>
          <w:lang w:val="sr-Latn-BA"/>
        </w:rPr>
        <w:t xml:space="preserve"> </w:t>
      </w:r>
      <w:r w:rsidRPr="001B53A8">
        <w:rPr>
          <w:lang w:val="sr-Latn-BA"/>
        </w:rPr>
        <w:t>periodu</w:t>
      </w:r>
      <w:r w:rsidR="003421E1" w:rsidRPr="001B53A8">
        <w:rPr>
          <w:lang w:val="sr-Latn-BA"/>
        </w:rPr>
        <w:t xml:space="preserve"> </w:t>
      </w:r>
      <w:r w:rsidRPr="001B53A8">
        <w:rPr>
          <w:lang w:val="sr-Latn-BA"/>
        </w:rPr>
        <w:t>je</w:t>
      </w:r>
      <w:r w:rsidR="003421E1" w:rsidRPr="001B53A8">
        <w:rPr>
          <w:lang w:val="sr-Latn-BA"/>
        </w:rPr>
        <w:t xml:space="preserve">  </w:t>
      </w:r>
      <w:r w:rsidRPr="001B53A8">
        <w:rPr>
          <w:lang w:val="sr-Latn-BA"/>
        </w:rPr>
        <w:t>iznosio</w:t>
      </w:r>
      <w:r w:rsidR="003421E1" w:rsidRPr="001B53A8">
        <w:rPr>
          <w:lang w:val="sr-Latn-BA"/>
        </w:rPr>
        <w:t xml:space="preserve"> 2.610, </w:t>
      </w:r>
      <w:r w:rsidRPr="001B53A8">
        <w:rPr>
          <w:lang w:val="sr-Latn-BA"/>
        </w:rPr>
        <w:t>odnosno</w:t>
      </w:r>
      <w:r w:rsidR="003421E1" w:rsidRPr="001B53A8">
        <w:rPr>
          <w:lang w:val="sr-Latn-BA"/>
        </w:rPr>
        <w:t xml:space="preserve"> </w:t>
      </w:r>
      <w:r w:rsidRPr="001B53A8">
        <w:rPr>
          <w:lang w:val="sr-Latn-BA"/>
        </w:rPr>
        <w:t>u</w:t>
      </w:r>
      <w:r w:rsidR="003421E1" w:rsidRPr="001B53A8">
        <w:rPr>
          <w:lang w:val="sr-Latn-BA"/>
        </w:rPr>
        <w:t xml:space="preserve"> </w:t>
      </w:r>
      <w:r w:rsidRPr="001B53A8">
        <w:rPr>
          <w:lang w:val="sr-Latn-BA"/>
        </w:rPr>
        <w:t>prosjeku</w:t>
      </w:r>
      <w:r w:rsidR="003421E1" w:rsidRPr="001B53A8">
        <w:rPr>
          <w:lang w:val="sr-Latn-BA"/>
        </w:rPr>
        <w:t xml:space="preserve"> </w:t>
      </w:r>
      <w:r w:rsidRPr="001B53A8">
        <w:rPr>
          <w:lang w:val="sr-Latn-BA"/>
        </w:rPr>
        <w:t>svaki</w:t>
      </w:r>
      <w:r w:rsidR="003421E1" w:rsidRPr="001B53A8">
        <w:rPr>
          <w:lang w:val="sr-Latn-BA"/>
        </w:rPr>
        <w:t xml:space="preserve"> </w:t>
      </w:r>
      <w:r w:rsidRPr="001B53A8">
        <w:rPr>
          <w:lang w:val="sr-Latn-BA"/>
        </w:rPr>
        <w:t>radni</w:t>
      </w:r>
      <w:r w:rsidR="003421E1" w:rsidRPr="001B53A8">
        <w:rPr>
          <w:lang w:val="sr-Latn-BA"/>
        </w:rPr>
        <w:t xml:space="preserve"> </w:t>
      </w:r>
      <w:r w:rsidRPr="001B53A8">
        <w:rPr>
          <w:lang w:val="sr-Latn-BA"/>
        </w:rPr>
        <w:t>dan</w:t>
      </w:r>
      <w:r w:rsidR="003421E1" w:rsidRPr="001B53A8">
        <w:rPr>
          <w:lang w:val="sr-Latn-BA"/>
        </w:rPr>
        <w:t xml:space="preserve"> </w:t>
      </w:r>
      <w:r w:rsidRPr="001B53A8">
        <w:rPr>
          <w:lang w:val="sr-Latn-BA"/>
        </w:rPr>
        <w:t>objavlјivano</w:t>
      </w:r>
      <w:r w:rsidR="003421E1" w:rsidRPr="001B53A8">
        <w:rPr>
          <w:lang w:val="sr-Latn-BA"/>
        </w:rPr>
        <w:t xml:space="preserve"> </w:t>
      </w:r>
      <w:r w:rsidRPr="001B53A8">
        <w:rPr>
          <w:lang w:val="sr-Latn-BA"/>
        </w:rPr>
        <w:t>je</w:t>
      </w:r>
      <w:r w:rsidR="003421E1" w:rsidRPr="001B53A8">
        <w:rPr>
          <w:lang w:val="sr-Latn-BA"/>
        </w:rPr>
        <w:t xml:space="preserve"> </w:t>
      </w:r>
      <w:r w:rsidRPr="001B53A8">
        <w:rPr>
          <w:lang w:val="sr-Latn-BA"/>
        </w:rPr>
        <w:t>oko</w:t>
      </w:r>
      <w:r w:rsidR="003421E1" w:rsidRPr="001B53A8">
        <w:rPr>
          <w:lang w:val="sr-Latn-BA"/>
        </w:rPr>
        <w:t xml:space="preserve"> 10 </w:t>
      </w:r>
      <w:r w:rsidRPr="001B53A8">
        <w:rPr>
          <w:lang w:val="sr-Latn-BA"/>
        </w:rPr>
        <w:t>objava</w:t>
      </w:r>
      <w:r w:rsidR="003421E1" w:rsidRPr="001B53A8">
        <w:rPr>
          <w:lang w:val="sr-Latn-BA"/>
        </w:rPr>
        <w:t>. </w:t>
      </w:r>
      <w:r w:rsidRPr="001B53A8">
        <w:rPr>
          <w:lang w:val="sr-Latn-BA"/>
        </w:rPr>
        <w:t>U</w:t>
      </w:r>
      <w:r w:rsidR="003421E1" w:rsidRPr="001B53A8">
        <w:rPr>
          <w:lang w:val="sr-Latn-BA"/>
        </w:rPr>
        <w:t xml:space="preserve"> </w:t>
      </w:r>
      <w:r w:rsidRPr="001B53A8">
        <w:rPr>
          <w:lang w:val="sr-Latn-BA"/>
        </w:rPr>
        <w:t>navedene</w:t>
      </w:r>
      <w:r w:rsidR="003421E1" w:rsidRPr="001B53A8">
        <w:rPr>
          <w:lang w:val="sr-Latn-BA"/>
        </w:rPr>
        <w:t xml:space="preserve"> </w:t>
      </w:r>
      <w:r w:rsidRPr="001B53A8">
        <w:rPr>
          <w:lang w:val="sr-Latn-BA"/>
        </w:rPr>
        <w:t>objave</w:t>
      </w:r>
      <w:r w:rsidR="003421E1" w:rsidRPr="001B53A8">
        <w:rPr>
          <w:lang w:val="sr-Latn-BA"/>
        </w:rPr>
        <w:t xml:space="preserve"> </w:t>
      </w:r>
      <w:r w:rsidRPr="001B53A8">
        <w:rPr>
          <w:lang w:val="sr-Latn-BA"/>
        </w:rPr>
        <w:t>nisu</w:t>
      </w:r>
      <w:r w:rsidR="003421E1" w:rsidRPr="001B53A8">
        <w:rPr>
          <w:lang w:val="sr-Latn-BA"/>
        </w:rPr>
        <w:t xml:space="preserve"> </w:t>
      </w:r>
      <w:r w:rsidRPr="001B53A8">
        <w:rPr>
          <w:lang w:val="sr-Latn-BA"/>
        </w:rPr>
        <w:t>uklјučene</w:t>
      </w:r>
      <w:r w:rsidR="003421E1" w:rsidRPr="001B53A8">
        <w:rPr>
          <w:lang w:val="sr-Latn-BA"/>
        </w:rPr>
        <w:t xml:space="preserve"> </w:t>
      </w:r>
      <w:r w:rsidRPr="001B53A8">
        <w:rPr>
          <w:lang w:val="sr-Latn-BA"/>
        </w:rPr>
        <w:t>kursne</w:t>
      </w:r>
      <w:r w:rsidR="003421E1" w:rsidRPr="001B53A8">
        <w:rPr>
          <w:lang w:val="sr-Latn-BA"/>
        </w:rPr>
        <w:t xml:space="preserve"> </w:t>
      </w:r>
      <w:r w:rsidRPr="001B53A8">
        <w:rPr>
          <w:lang w:val="sr-Latn-BA"/>
        </w:rPr>
        <w:t>liste</w:t>
      </w:r>
      <w:r w:rsidR="003421E1" w:rsidRPr="001B53A8">
        <w:rPr>
          <w:lang w:val="sr-Latn-BA"/>
        </w:rPr>
        <w:t xml:space="preserve">, </w:t>
      </w:r>
      <w:r w:rsidRPr="001B53A8">
        <w:rPr>
          <w:lang w:val="sr-Latn-BA"/>
        </w:rPr>
        <w:t>statistički</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drugi</w:t>
      </w:r>
      <w:r w:rsidR="003421E1" w:rsidRPr="001B53A8">
        <w:rPr>
          <w:lang w:val="sr-Latn-BA"/>
        </w:rPr>
        <w:t xml:space="preserve"> </w:t>
      </w:r>
      <w:r w:rsidRPr="001B53A8">
        <w:rPr>
          <w:lang w:val="sr-Latn-BA"/>
        </w:rPr>
        <w:t>izvještaji</w:t>
      </w:r>
      <w:r w:rsidR="003421E1" w:rsidRPr="001B53A8">
        <w:rPr>
          <w:lang w:val="sr-Latn-BA"/>
        </w:rPr>
        <w:t xml:space="preserve"> </w:t>
      </w:r>
      <w:r w:rsidRPr="001B53A8">
        <w:rPr>
          <w:lang w:val="sr-Latn-BA"/>
        </w:rPr>
        <w:t>Banjalučke</w:t>
      </w:r>
      <w:r w:rsidR="003421E1" w:rsidRPr="001B53A8">
        <w:rPr>
          <w:lang w:val="sr-Latn-BA"/>
        </w:rPr>
        <w:t xml:space="preserve"> </w:t>
      </w:r>
      <w:r w:rsidRPr="001B53A8">
        <w:rPr>
          <w:lang w:val="sr-Latn-BA"/>
        </w:rPr>
        <w:t>berze</w:t>
      </w:r>
      <w:r w:rsidR="003421E1" w:rsidRPr="001B53A8">
        <w:rPr>
          <w:lang w:val="sr-Latn-BA"/>
        </w:rPr>
        <w:t xml:space="preserve"> </w:t>
      </w:r>
      <w:r w:rsidRPr="001B53A8">
        <w:rPr>
          <w:lang w:val="sr-Latn-BA"/>
        </w:rPr>
        <w:t>u</w:t>
      </w:r>
      <w:r w:rsidR="003421E1" w:rsidRPr="001B53A8">
        <w:rPr>
          <w:lang w:val="sr-Latn-BA"/>
        </w:rPr>
        <w:t xml:space="preserve"> </w:t>
      </w:r>
      <w:r w:rsidRPr="001B53A8">
        <w:rPr>
          <w:lang w:val="sr-Latn-BA"/>
        </w:rPr>
        <w:t>vezi</w:t>
      </w:r>
      <w:r w:rsidR="003421E1" w:rsidRPr="001B53A8">
        <w:rPr>
          <w:lang w:val="sr-Latn-BA"/>
        </w:rPr>
        <w:t xml:space="preserve"> </w:t>
      </w:r>
      <w:r w:rsidRPr="001B53A8">
        <w:rPr>
          <w:lang w:val="sr-Latn-BA"/>
        </w:rPr>
        <w:t>sa</w:t>
      </w:r>
      <w:r w:rsidR="003421E1" w:rsidRPr="001B53A8">
        <w:rPr>
          <w:lang w:val="sr-Latn-BA"/>
        </w:rPr>
        <w:t xml:space="preserve"> </w:t>
      </w:r>
      <w:r w:rsidRPr="001B53A8">
        <w:rPr>
          <w:lang w:val="sr-Latn-BA"/>
        </w:rPr>
        <w:t>trgovanjem</w:t>
      </w:r>
      <w:r w:rsidR="003421E1" w:rsidRPr="001B53A8">
        <w:rPr>
          <w:lang w:val="sr-Latn-BA"/>
        </w:rPr>
        <w:t>.</w:t>
      </w:r>
    </w:p>
    <w:p w14:paraId="72EFF788" w14:textId="7E741E1B" w:rsidR="003421E1" w:rsidRPr="001B53A8" w:rsidRDefault="00003F34" w:rsidP="003421E1">
      <w:pPr>
        <w:spacing w:after="0" w:line="240" w:lineRule="auto"/>
        <w:ind w:firstLine="567"/>
        <w:rPr>
          <w:lang w:val="sr-Latn-BA"/>
        </w:rPr>
      </w:pPr>
      <w:r w:rsidRPr="001B53A8">
        <w:rPr>
          <w:lang w:val="sr-Latn-BA"/>
        </w:rPr>
        <w:t>U</w:t>
      </w:r>
      <w:r w:rsidR="003421E1" w:rsidRPr="001B53A8">
        <w:rPr>
          <w:lang w:val="sr-Latn-BA"/>
        </w:rPr>
        <w:t xml:space="preserve"> 2023. </w:t>
      </w:r>
      <w:r w:rsidRPr="001B53A8">
        <w:rPr>
          <w:lang w:val="sr-Latn-BA"/>
        </w:rPr>
        <w:t>godini</w:t>
      </w:r>
      <w:r w:rsidR="003421E1" w:rsidRPr="001B53A8">
        <w:rPr>
          <w:lang w:val="sr-Latn-BA"/>
        </w:rPr>
        <w:t xml:space="preserve"> </w:t>
      </w:r>
      <w:r w:rsidRPr="001B53A8">
        <w:rPr>
          <w:lang w:val="sr-Latn-BA"/>
        </w:rPr>
        <w:t>objavlјeno</w:t>
      </w:r>
      <w:r w:rsidR="003421E1" w:rsidRPr="001B53A8">
        <w:rPr>
          <w:lang w:val="sr-Latn-BA"/>
        </w:rPr>
        <w:t xml:space="preserve"> </w:t>
      </w:r>
      <w:r w:rsidRPr="001B53A8">
        <w:rPr>
          <w:lang w:val="sr-Latn-BA"/>
        </w:rPr>
        <w:t>je</w:t>
      </w:r>
      <w:r w:rsidR="003421E1" w:rsidRPr="001B53A8">
        <w:rPr>
          <w:lang w:val="sr-Latn-BA"/>
        </w:rPr>
        <w:t xml:space="preserve"> 199 </w:t>
      </w:r>
      <w:r w:rsidRPr="001B53A8">
        <w:rPr>
          <w:lang w:val="sr-Latn-BA"/>
        </w:rPr>
        <w:t>izvještaja</w:t>
      </w:r>
      <w:r w:rsidR="003421E1" w:rsidRPr="001B53A8">
        <w:rPr>
          <w:lang w:val="sr-Latn-BA"/>
        </w:rPr>
        <w:t xml:space="preserve"> </w:t>
      </w:r>
      <w:r w:rsidRPr="001B53A8">
        <w:rPr>
          <w:lang w:val="sr-Latn-BA"/>
        </w:rPr>
        <w:t>revizora</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finansijskim</w:t>
      </w:r>
      <w:r w:rsidR="003421E1" w:rsidRPr="001B53A8">
        <w:rPr>
          <w:lang w:val="sr-Latn-BA"/>
        </w:rPr>
        <w:t xml:space="preserve"> </w:t>
      </w:r>
      <w:r w:rsidRPr="001B53A8">
        <w:rPr>
          <w:lang w:val="sr-Latn-BA"/>
        </w:rPr>
        <w:t>izvještajima</w:t>
      </w:r>
      <w:r w:rsidR="003421E1" w:rsidRPr="001B53A8">
        <w:rPr>
          <w:lang w:val="sr-Latn-BA"/>
        </w:rPr>
        <w:t xml:space="preserve"> </w:t>
      </w:r>
      <w:r w:rsidRPr="001B53A8">
        <w:rPr>
          <w:lang w:val="sr-Latn-BA"/>
        </w:rPr>
        <w:t>za</w:t>
      </w:r>
      <w:r w:rsidR="003421E1" w:rsidRPr="001B53A8">
        <w:rPr>
          <w:lang w:val="sr-Latn-BA"/>
        </w:rPr>
        <w:t xml:space="preserve"> 2022. </w:t>
      </w:r>
      <w:r w:rsidRPr="001B53A8">
        <w:rPr>
          <w:lang w:val="sr-Latn-BA"/>
        </w:rPr>
        <w:t>godinu</w:t>
      </w:r>
      <w:r w:rsidR="003421E1" w:rsidRPr="001B53A8">
        <w:rPr>
          <w:lang w:val="sr-Latn-BA"/>
        </w:rPr>
        <w:t xml:space="preserve"> </w:t>
      </w:r>
      <w:r w:rsidRPr="001B53A8">
        <w:rPr>
          <w:lang w:val="sr-Latn-BA"/>
        </w:rPr>
        <w:t>i</w:t>
      </w:r>
      <w:r w:rsidR="003421E1" w:rsidRPr="001B53A8">
        <w:rPr>
          <w:lang w:val="sr-Latn-BA"/>
        </w:rPr>
        <w:t xml:space="preserve"> 9 </w:t>
      </w:r>
      <w:r w:rsidRPr="001B53A8">
        <w:rPr>
          <w:lang w:val="sr-Latn-BA"/>
        </w:rPr>
        <w:t>za</w:t>
      </w:r>
      <w:r w:rsidR="003421E1" w:rsidRPr="001B53A8">
        <w:rPr>
          <w:lang w:val="sr-Latn-BA"/>
        </w:rPr>
        <w:t xml:space="preserve"> </w:t>
      </w:r>
      <w:r w:rsidRPr="001B53A8">
        <w:rPr>
          <w:lang w:val="sr-Latn-BA"/>
        </w:rPr>
        <w:t>ranije</w:t>
      </w:r>
      <w:r w:rsidR="003421E1" w:rsidRPr="001B53A8">
        <w:rPr>
          <w:lang w:val="sr-Latn-BA"/>
        </w:rPr>
        <w:t xml:space="preserve"> </w:t>
      </w:r>
      <w:r w:rsidRPr="001B53A8">
        <w:rPr>
          <w:lang w:val="sr-Latn-BA"/>
        </w:rPr>
        <w:t>godine</w:t>
      </w:r>
      <w:r w:rsidR="003421E1" w:rsidRPr="001B53A8">
        <w:rPr>
          <w:lang w:val="sr-Latn-BA"/>
        </w:rPr>
        <w:t xml:space="preserve">, 35 </w:t>
      </w:r>
      <w:r w:rsidRPr="001B53A8">
        <w:rPr>
          <w:lang w:val="sr-Latn-BA"/>
        </w:rPr>
        <w:t>nerevidiranih</w:t>
      </w:r>
      <w:r w:rsidR="003421E1" w:rsidRPr="001B53A8">
        <w:rPr>
          <w:lang w:val="sr-Latn-BA"/>
        </w:rPr>
        <w:t xml:space="preserve"> </w:t>
      </w:r>
      <w:r w:rsidRPr="001B53A8">
        <w:rPr>
          <w:lang w:val="sr-Latn-BA"/>
        </w:rPr>
        <w:t>godišnjih</w:t>
      </w:r>
      <w:r w:rsidR="003421E1" w:rsidRPr="001B53A8">
        <w:rPr>
          <w:lang w:val="sr-Latn-BA"/>
        </w:rPr>
        <w:t xml:space="preserve"> </w:t>
      </w:r>
      <w:r w:rsidRPr="001B53A8">
        <w:rPr>
          <w:lang w:val="sr-Latn-BA"/>
        </w:rPr>
        <w:t>finansijskih</w:t>
      </w:r>
      <w:r w:rsidR="003421E1" w:rsidRPr="001B53A8">
        <w:rPr>
          <w:lang w:val="sr-Latn-BA"/>
        </w:rPr>
        <w:t xml:space="preserve"> </w:t>
      </w:r>
      <w:r w:rsidRPr="001B53A8">
        <w:rPr>
          <w:lang w:val="sr-Latn-BA"/>
        </w:rPr>
        <w:t>izvještaja</w:t>
      </w:r>
      <w:r w:rsidR="003421E1" w:rsidRPr="001B53A8">
        <w:rPr>
          <w:lang w:val="sr-Latn-BA"/>
        </w:rPr>
        <w:t xml:space="preserve"> </w:t>
      </w:r>
      <w:r w:rsidRPr="001B53A8">
        <w:rPr>
          <w:lang w:val="sr-Latn-BA"/>
        </w:rPr>
        <w:t>za</w:t>
      </w:r>
      <w:r w:rsidR="003421E1" w:rsidRPr="001B53A8">
        <w:rPr>
          <w:lang w:val="sr-Latn-BA"/>
        </w:rPr>
        <w:t xml:space="preserve"> 2022. </w:t>
      </w:r>
      <w:r w:rsidRPr="001B53A8">
        <w:rPr>
          <w:lang w:val="sr-Latn-BA"/>
        </w:rPr>
        <w:t>godinu</w:t>
      </w:r>
      <w:r w:rsidR="003421E1" w:rsidRPr="001B53A8">
        <w:rPr>
          <w:lang w:val="sr-Latn-BA"/>
        </w:rPr>
        <w:t xml:space="preserve"> </w:t>
      </w:r>
      <w:r w:rsidRPr="001B53A8">
        <w:rPr>
          <w:lang w:val="sr-Latn-BA"/>
        </w:rPr>
        <w:t>emitenata</w:t>
      </w:r>
      <w:r w:rsidR="003421E1" w:rsidRPr="001B53A8">
        <w:rPr>
          <w:lang w:val="sr-Latn-BA"/>
        </w:rPr>
        <w:t xml:space="preserve"> </w:t>
      </w:r>
      <w:r w:rsidRPr="001B53A8">
        <w:rPr>
          <w:lang w:val="sr-Latn-BA"/>
        </w:rPr>
        <w:t>koji</w:t>
      </w:r>
      <w:r w:rsidR="003421E1" w:rsidRPr="001B53A8">
        <w:rPr>
          <w:lang w:val="sr-Latn-BA"/>
        </w:rPr>
        <w:t xml:space="preserve"> </w:t>
      </w:r>
      <w:r w:rsidRPr="001B53A8">
        <w:rPr>
          <w:lang w:val="sr-Latn-BA"/>
        </w:rPr>
        <w:t>su</w:t>
      </w:r>
      <w:r w:rsidR="003421E1" w:rsidRPr="001B53A8">
        <w:rPr>
          <w:lang w:val="sr-Latn-BA"/>
        </w:rPr>
        <w:t xml:space="preserve"> </w:t>
      </w:r>
      <w:r w:rsidRPr="001B53A8">
        <w:rPr>
          <w:lang w:val="sr-Latn-BA"/>
        </w:rPr>
        <w:t>listirani</w:t>
      </w:r>
      <w:r w:rsidR="003421E1" w:rsidRPr="001B53A8">
        <w:rPr>
          <w:lang w:val="sr-Latn-BA"/>
        </w:rPr>
        <w:t xml:space="preserve"> </w:t>
      </w:r>
      <w:r w:rsidRPr="001B53A8">
        <w:rPr>
          <w:lang w:val="sr-Latn-BA"/>
        </w:rPr>
        <w:t>na</w:t>
      </w:r>
      <w:r w:rsidR="003421E1" w:rsidRPr="001B53A8">
        <w:rPr>
          <w:lang w:val="sr-Latn-BA"/>
        </w:rPr>
        <w:t xml:space="preserve"> </w:t>
      </w:r>
      <w:r w:rsidRPr="001B53A8">
        <w:rPr>
          <w:lang w:val="sr-Latn-BA"/>
        </w:rPr>
        <w:t>službenom</w:t>
      </w:r>
      <w:r w:rsidR="003421E1" w:rsidRPr="001B53A8">
        <w:rPr>
          <w:lang w:val="sr-Latn-BA"/>
        </w:rPr>
        <w:t xml:space="preserve"> </w:t>
      </w:r>
      <w:r w:rsidRPr="001B53A8">
        <w:rPr>
          <w:lang w:val="sr-Latn-BA"/>
        </w:rPr>
        <w:t>berzanskom</w:t>
      </w:r>
      <w:r w:rsidR="003421E1" w:rsidRPr="001B53A8">
        <w:rPr>
          <w:lang w:val="sr-Latn-BA"/>
        </w:rPr>
        <w:t xml:space="preserve"> </w:t>
      </w:r>
      <w:r w:rsidRPr="001B53A8">
        <w:rPr>
          <w:shd w:val="clear" w:color="auto" w:fill="FFFFFF" w:themeFill="background1"/>
          <w:lang w:val="sr-Latn-BA"/>
        </w:rPr>
        <w:t>tržištu</w:t>
      </w:r>
      <w:r w:rsidR="003421E1" w:rsidRPr="001B53A8">
        <w:rPr>
          <w:shd w:val="clear" w:color="auto" w:fill="FFFFFF" w:themeFill="background1"/>
          <w:lang w:val="sr-Latn-BA"/>
        </w:rPr>
        <w:t xml:space="preserve">, </w:t>
      </w:r>
      <w:r w:rsidRPr="001B53A8">
        <w:rPr>
          <w:shd w:val="clear" w:color="auto" w:fill="FFFFFF" w:themeFill="background1"/>
          <w:lang w:val="sr-Latn-BA"/>
        </w:rPr>
        <w:t>te</w:t>
      </w:r>
      <w:r w:rsidR="003421E1" w:rsidRPr="001B53A8">
        <w:rPr>
          <w:shd w:val="clear" w:color="auto" w:fill="FFFFFF" w:themeFill="background1"/>
          <w:lang w:val="sr-Latn-BA"/>
        </w:rPr>
        <w:t xml:space="preserve"> 154 </w:t>
      </w:r>
      <w:r w:rsidRPr="001B53A8">
        <w:rPr>
          <w:shd w:val="clear" w:color="auto" w:fill="FFFFFF" w:themeFill="background1"/>
          <w:lang w:val="sr-Latn-BA"/>
        </w:rPr>
        <w:t>nerevidiranih</w:t>
      </w:r>
      <w:r w:rsidR="003421E1" w:rsidRPr="001B53A8">
        <w:rPr>
          <w:shd w:val="clear" w:color="auto" w:fill="FFFFFF" w:themeFill="background1"/>
          <w:lang w:val="sr-Latn-BA"/>
        </w:rPr>
        <w:t> </w:t>
      </w:r>
      <w:r w:rsidRPr="001B53A8">
        <w:rPr>
          <w:shd w:val="clear" w:color="auto" w:fill="FFFFFF" w:themeFill="background1"/>
          <w:lang w:val="sr-Latn-BA"/>
        </w:rPr>
        <w:t>finansijskih</w:t>
      </w:r>
      <w:r w:rsidR="003421E1" w:rsidRPr="001B53A8">
        <w:rPr>
          <w:shd w:val="clear" w:color="auto" w:fill="FFFFFF" w:themeFill="background1"/>
          <w:lang w:val="sr-Latn-BA"/>
        </w:rPr>
        <w:t> </w:t>
      </w:r>
      <w:r w:rsidRPr="001B53A8">
        <w:rPr>
          <w:shd w:val="clear" w:color="auto" w:fill="FFFFFF" w:themeFill="background1"/>
          <w:lang w:val="sr-Latn-BA"/>
        </w:rPr>
        <w:t>izvještaja</w:t>
      </w:r>
      <w:r w:rsidR="003421E1" w:rsidRPr="001B53A8">
        <w:rPr>
          <w:shd w:val="clear" w:color="auto" w:fill="FFFFFF" w:themeFill="background1"/>
          <w:lang w:val="sr-Latn-BA"/>
        </w:rPr>
        <w:t xml:space="preserve"> </w:t>
      </w:r>
      <w:r w:rsidRPr="001B53A8">
        <w:rPr>
          <w:shd w:val="clear" w:color="auto" w:fill="FFFFFF" w:themeFill="background1"/>
          <w:lang w:val="sr-Latn-BA"/>
        </w:rPr>
        <w:t>za</w:t>
      </w:r>
      <w:r w:rsidR="003421E1" w:rsidRPr="001B53A8">
        <w:rPr>
          <w:shd w:val="clear" w:color="auto" w:fill="FFFFFF" w:themeFill="background1"/>
          <w:lang w:val="sr-Latn-BA"/>
        </w:rPr>
        <w:t xml:space="preserve"> 2022. </w:t>
      </w:r>
      <w:r w:rsidRPr="001B53A8">
        <w:rPr>
          <w:shd w:val="clear" w:color="auto" w:fill="FFFFFF" w:themeFill="background1"/>
          <w:lang w:val="sr-Latn-BA"/>
        </w:rPr>
        <w:t>godinu</w:t>
      </w:r>
      <w:r w:rsidR="003421E1" w:rsidRPr="001B53A8">
        <w:rPr>
          <w:shd w:val="clear" w:color="auto" w:fill="FFFFFF" w:themeFill="background1"/>
          <w:lang w:val="sr-Latn-BA"/>
        </w:rPr>
        <w:t xml:space="preserve"> </w:t>
      </w:r>
      <w:r w:rsidRPr="001B53A8">
        <w:rPr>
          <w:shd w:val="clear" w:color="auto" w:fill="FFFFFF" w:themeFill="background1"/>
          <w:lang w:val="sr-Latn-BA"/>
        </w:rPr>
        <w:t>za</w:t>
      </w:r>
      <w:r w:rsidR="003421E1" w:rsidRPr="001B53A8">
        <w:rPr>
          <w:shd w:val="clear" w:color="auto" w:fill="FFFFFF" w:themeFill="background1"/>
          <w:lang w:val="sr-Latn-BA"/>
        </w:rPr>
        <w:t xml:space="preserve"> </w:t>
      </w:r>
      <w:r w:rsidRPr="001B53A8">
        <w:rPr>
          <w:shd w:val="clear" w:color="auto" w:fill="FFFFFF" w:themeFill="background1"/>
          <w:lang w:val="sr-Latn-BA"/>
        </w:rPr>
        <w:t>emitente</w:t>
      </w:r>
      <w:r w:rsidR="003421E1" w:rsidRPr="001B53A8">
        <w:rPr>
          <w:shd w:val="clear" w:color="auto" w:fill="FFFFFF" w:themeFill="background1"/>
          <w:lang w:val="sr-Latn-BA"/>
        </w:rPr>
        <w:t xml:space="preserve"> </w:t>
      </w:r>
      <w:r w:rsidRPr="001B53A8">
        <w:rPr>
          <w:shd w:val="clear" w:color="auto" w:fill="FFFFFF" w:themeFill="background1"/>
          <w:lang w:val="sr-Latn-BA"/>
        </w:rPr>
        <w:t>čije</w:t>
      </w:r>
      <w:r w:rsidR="003421E1" w:rsidRPr="001B53A8">
        <w:rPr>
          <w:shd w:val="clear" w:color="auto" w:fill="FFFFFF" w:themeFill="background1"/>
          <w:lang w:val="sr-Latn-BA"/>
        </w:rPr>
        <w:t xml:space="preserve"> </w:t>
      </w:r>
      <w:r w:rsidRPr="001B53A8">
        <w:rPr>
          <w:shd w:val="clear" w:color="auto" w:fill="FFFFFF" w:themeFill="background1"/>
          <w:lang w:val="sr-Latn-BA"/>
        </w:rPr>
        <w:t>su</w:t>
      </w:r>
      <w:r w:rsidR="003421E1" w:rsidRPr="001B53A8">
        <w:rPr>
          <w:shd w:val="clear" w:color="auto" w:fill="FFFFFF" w:themeFill="background1"/>
          <w:lang w:val="sr-Latn-BA"/>
        </w:rPr>
        <w:t xml:space="preserve"> </w:t>
      </w:r>
      <w:r w:rsidRPr="001B53A8">
        <w:rPr>
          <w:shd w:val="clear" w:color="auto" w:fill="FFFFFF" w:themeFill="background1"/>
          <w:lang w:val="sr-Latn-BA"/>
        </w:rPr>
        <w:t>akcije</w:t>
      </w:r>
      <w:r w:rsidR="003421E1" w:rsidRPr="001B53A8">
        <w:rPr>
          <w:shd w:val="clear" w:color="auto" w:fill="FFFFFF" w:themeFill="background1"/>
          <w:lang w:val="sr-Latn-BA"/>
        </w:rPr>
        <w:t xml:space="preserve"> </w:t>
      </w:r>
      <w:r w:rsidRPr="001B53A8">
        <w:rPr>
          <w:shd w:val="clear" w:color="auto" w:fill="FFFFFF" w:themeFill="background1"/>
          <w:lang w:val="sr-Latn-BA"/>
        </w:rPr>
        <w:t>uvrštene</w:t>
      </w:r>
      <w:r w:rsidR="003421E1" w:rsidRPr="001B53A8">
        <w:rPr>
          <w:shd w:val="clear" w:color="auto" w:fill="FFFFFF" w:themeFill="background1"/>
          <w:lang w:val="sr-Latn-BA"/>
        </w:rPr>
        <w:t xml:space="preserve"> </w:t>
      </w:r>
      <w:r w:rsidRPr="001B53A8">
        <w:rPr>
          <w:shd w:val="clear" w:color="auto" w:fill="FFFFFF" w:themeFill="background1"/>
          <w:lang w:val="sr-Latn-BA"/>
        </w:rPr>
        <w:t>na</w:t>
      </w:r>
      <w:r w:rsidR="003421E1" w:rsidRPr="001B53A8">
        <w:rPr>
          <w:shd w:val="clear" w:color="auto" w:fill="FFFFFF" w:themeFill="background1"/>
          <w:lang w:val="sr-Latn-BA"/>
        </w:rPr>
        <w:t xml:space="preserve"> </w:t>
      </w:r>
      <w:r w:rsidRPr="001B53A8">
        <w:rPr>
          <w:shd w:val="clear" w:color="auto" w:fill="FFFFFF" w:themeFill="background1"/>
          <w:lang w:val="sr-Latn-BA"/>
        </w:rPr>
        <w:t>slobodno</w:t>
      </w:r>
      <w:r w:rsidR="003421E1" w:rsidRPr="001B53A8">
        <w:rPr>
          <w:shd w:val="clear" w:color="auto" w:fill="FFFFFF" w:themeFill="background1"/>
          <w:lang w:val="sr-Latn-BA"/>
        </w:rPr>
        <w:t xml:space="preserve"> </w:t>
      </w:r>
      <w:r w:rsidRPr="001B53A8">
        <w:rPr>
          <w:shd w:val="clear" w:color="auto" w:fill="FFFFFF" w:themeFill="background1"/>
          <w:lang w:val="sr-Latn-BA"/>
        </w:rPr>
        <w:t>tržište</w:t>
      </w:r>
      <w:r w:rsidR="003421E1" w:rsidRPr="001B53A8">
        <w:rPr>
          <w:lang w:val="sr-Latn-BA"/>
        </w:rPr>
        <w:t>.</w:t>
      </w:r>
    </w:p>
    <w:p w14:paraId="7AF82094" w14:textId="47EC1BB1" w:rsidR="003421E1" w:rsidRPr="001B53A8" w:rsidRDefault="00003F34" w:rsidP="003421E1">
      <w:pPr>
        <w:spacing w:after="0" w:line="240" w:lineRule="auto"/>
        <w:ind w:firstLine="567"/>
        <w:rPr>
          <w:lang w:val="sr-Latn-BA"/>
        </w:rPr>
      </w:pPr>
      <w:r w:rsidRPr="001B53A8">
        <w:rPr>
          <w:lang w:val="sr-Latn-BA"/>
        </w:rPr>
        <w:t>Iako</w:t>
      </w:r>
      <w:r w:rsidR="003421E1" w:rsidRPr="001B53A8">
        <w:rPr>
          <w:lang w:val="sr-Latn-BA"/>
        </w:rPr>
        <w:t xml:space="preserve"> </w:t>
      </w:r>
      <w:r w:rsidRPr="001B53A8">
        <w:rPr>
          <w:lang w:val="sr-Latn-BA"/>
        </w:rPr>
        <w:t>informacioni</w:t>
      </w:r>
      <w:r w:rsidR="003421E1" w:rsidRPr="001B53A8">
        <w:rPr>
          <w:lang w:val="sr-Latn-BA"/>
        </w:rPr>
        <w:t xml:space="preserve"> </w:t>
      </w:r>
      <w:r w:rsidRPr="001B53A8">
        <w:rPr>
          <w:lang w:val="sr-Latn-BA"/>
        </w:rPr>
        <w:t>portal</w:t>
      </w:r>
      <w:r w:rsidR="003421E1" w:rsidRPr="001B53A8">
        <w:rPr>
          <w:lang w:val="sr-Latn-BA"/>
        </w:rPr>
        <w:t xml:space="preserve"> </w:t>
      </w:r>
      <w:r w:rsidRPr="001B53A8">
        <w:rPr>
          <w:lang w:val="sr-Latn-BA"/>
        </w:rPr>
        <w:t>tržišta</w:t>
      </w:r>
      <w:r w:rsidR="003421E1" w:rsidRPr="001B53A8">
        <w:rPr>
          <w:lang w:val="sr-Latn-BA"/>
        </w:rPr>
        <w:t xml:space="preserve"> </w:t>
      </w:r>
      <w:r w:rsidRPr="001B53A8">
        <w:rPr>
          <w:lang w:val="sr-Latn-BA"/>
        </w:rPr>
        <w:t>kapitala</w:t>
      </w:r>
      <w:r w:rsidR="003421E1" w:rsidRPr="001B53A8">
        <w:rPr>
          <w:lang w:val="sr-Latn-BA"/>
        </w:rPr>
        <w:t xml:space="preserve"> </w:t>
      </w:r>
      <w:r w:rsidRPr="001B53A8">
        <w:rPr>
          <w:lang w:val="sr-Latn-BA"/>
        </w:rPr>
        <w:t>u</w:t>
      </w:r>
      <w:r w:rsidR="003421E1" w:rsidRPr="001B53A8">
        <w:rPr>
          <w:lang w:val="sr-Latn-BA"/>
        </w:rPr>
        <w:t xml:space="preserve"> </w:t>
      </w:r>
      <w:r w:rsidRPr="001B53A8">
        <w:rPr>
          <w:lang w:val="sr-Latn-BA"/>
        </w:rPr>
        <w:t>Republici</w:t>
      </w:r>
      <w:r w:rsidR="003421E1" w:rsidRPr="001B53A8">
        <w:rPr>
          <w:lang w:val="sr-Latn-BA"/>
        </w:rPr>
        <w:t xml:space="preserve"> </w:t>
      </w:r>
      <w:r w:rsidRPr="001B53A8">
        <w:rPr>
          <w:lang w:val="sr-Latn-BA"/>
        </w:rPr>
        <w:t>Srpskoj</w:t>
      </w:r>
      <w:r w:rsidR="003421E1" w:rsidRPr="001B53A8">
        <w:rPr>
          <w:lang w:val="sr-Latn-BA"/>
        </w:rPr>
        <w:t xml:space="preserve"> </w:t>
      </w:r>
      <w:r w:rsidRPr="001B53A8">
        <w:rPr>
          <w:lang w:val="sr-Latn-BA"/>
        </w:rPr>
        <w:t>raspolaže</w:t>
      </w:r>
      <w:r w:rsidR="003421E1" w:rsidRPr="001B53A8">
        <w:rPr>
          <w:lang w:val="sr-Latn-BA"/>
        </w:rPr>
        <w:t xml:space="preserve"> </w:t>
      </w:r>
      <w:r w:rsidRPr="001B53A8">
        <w:rPr>
          <w:lang w:val="sr-Latn-BA"/>
        </w:rPr>
        <w:t>sa</w:t>
      </w:r>
      <w:r w:rsidR="003421E1" w:rsidRPr="001B53A8">
        <w:rPr>
          <w:lang w:val="sr-Latn-BA"/>
        </w:rPr>
        <w:t xml:space="preserve"> </w:t>
      </w:r>
      <w:r w:rsidRPr="001B53A8">
        <w:rPr>
          <w:lang w:val="sr-Latn-BA"/>
        </w:rPr>
        <w:t>znatnim</w:t>
      </w:r>
      <w:r w:rsidR="003421E1" w:rsidRPr="001B53A8">
        <w:rPr>
          <w:lang w:val="sr-Latn-BA"/>
        </w:rPr>
        <w:t xml:space="preserve"> </w:t>
      </w:r>
      <w:r w:rsidRPr="001B53A8">
        <w:rPr>
          <w:lang w:val="sr-Latn-BA"/>
        </w:rPr>
        <w:t>brojem</w:t>
      </w:r>
      <w:r w:rsidR="003421E1" w:rsidRPr="001B53A8">
        <w:rPr>
          <w:lang w:val="sr-Latn-BA"/>
        </w:rPr>
        <w:t xml:space="preserve"> </w:t>
      </w:r>
      <w:r w:rsidRPr="001B53A8">
        <w:rPr>
          <w:lang w:val="sr-Latn-BA"/>
        </w:rPr>
        <w:t>nominalno</w:t>
      </w:r>
      <w:r w:rsidR="003421E1" w:rsidRPr="001B53A8">
        <w:rPr>
          <w:lang w:val="sr-Latn-BA"/>
        </w:rPr>
        <w:t xml:space="preserve"> </w:t>
      </w:r>
      <w:r w:rsidRPr="001B53A8">
        <w:rPr>
          <w:lang w:val="sr-Latn-BA"/>
        </w:rPr>
        <w:t>relevantnih</w:t>
      </w:r>
      <w:r w:rsidR="003421E1" w:rsidRPr="001B53A8">
        <w:rPr>
          <w:lang w:val="sr-Latn-BA"/>
        </w:rPr>
        <w:t xml:space="preserve"> </w:t>
      </w:r>
      <w:r w:rsidRPr="001B53A8">
        <w:rPr>
          <w:lang w:val="sr-Latn-BA"/>
        </w:rPr>
        <w:t>informacija</w:t>
      </w:r>
      <w:r w:rsidR="003421E1" w:rsidRPr="001B53A8">
        <w:rPr>
          <w:lang w:val="sr-Latn-BA"/>
        </w:rPr>
        <w:t xml:space="preserve"> </w:t>
      </w:r>
      <w:r w:rsidRPr="001B53A8">
        <w:rPr>
          <w:lang w:val="sr-Latn-BA"/>
        </w:rPr>
        <w:t>o</w:t>
      </w:r>
      <w:r w:rsidR="003421E1" w:rsidRPr="001B53A8">
        <w:rPr>
          <w:lang w:val="sr-Latn-BA"/>
        </w:rPr>
        <w:t xml:space="preserve"> </w:t>
      </w:r>
      <w:r w:rsidRPr="001B53A8">
        <w:rPr>
          <w:lang w:val="sr-Latn-BA"/>
        </w:rPr>
        <w:t>emitentima</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dalјe</w:t>
      </w:r>
      <w:r w:rsidR="003421E1" w:rsidRPr="001B53A8">
        <w:rPr>
          <w:lang w:val="sr-Latn-BA"/>
        </w:rPr>
        <w:t xml:space="preserve"> </w:t>
      </w:r>
      <w:r w:rsidRPr="001B53A8">
        <w:rPr>
          <w:lang w:val="sr-Latn-BA"/>
        </w:rPr>
        <w:t>postoji</w:t>
      </w:r>
      <w:r w:rsidR="003421E1" w:rsidRPr="001B53A8">
        <w:rPr>
          <w:lang w:val="sr-Latn-BA"/>
        </w:rPr>
        <w:t xml:space="preserve"> </w:t>
      </w:r>
      <w:r w:rsidRPr="001B53A8">
        <w:rPr>
          <w:lang w:val="sr-Latn-BA"/>
        </w:rPr>
        <w:t>potreba</w:t>
      </w:r>
      <w:r w:rsidR="003421E1" w:rsidRPr="001B53A8">
        <w:rPr>
          <w:lang w:val="sr-Latn-BA"/>
        </w:rPr>
        <w:t xml:space="preserve"> </w:t>
      </w:r>
      <w:r w:rsidRPr="001B53A8">
        <w:rPr>
          <w:lang w:val="sr-Latn-BA"/>
        </w:rPr>
        <w:t>da</w:t>
      </w:r>
      <w:r w:rsidR="003421E1" w:rsidRPr="001B53A8">
        <w:rPr>
          <w:lang w:val="sr-Latn-BA"/>
        </w:rPr>
        <w:t xml:space="preserve"> </w:t>
      </w:r>
      <w:r w:rsidRPr="001B53A8">
        <w:rPr>
          <w:lang w:val="sr-Latn-BA"/>
        </w:rPr>
        <w:t>privredni</w:t>
      </w:r>
      <w:r w:rsidR="003421E1" w:rsidRPr="001B53A8">
        <w:rPr>
          <w:lang w:val="sr-Latn-BA"/>
        </w:rPr>
        <w:t xml:space="preserve"> </w:t>
      </w:r>
      <w:r w:rsidRPr="001B53A8">
        <w:rPr>
          <w:lang w:val="sr-Latn-BA"/>
        </w:rPr>
        <w:t>subjekti</w:t>
      </w:r>
      <w:r w:rsidR="003421E1" w:rsidRPr="001B53A8">
        <w:rPr>
          <w:lang w:val="sr-Latn-BA"/>
        </w:rPr>
        <w:t xml:space="preserve"> </w:t>
      </w:r>
      <w:r w:rsidRPr="001B53A8">
        <w:rPr>
          <w:lang w:val="sr-Latn-BA"/>
        </w:rPr>
        <w:t>koji</w:t>
      </w:r>
      <w:r w:rsidR="003421E1" w:rsidRPr="001B53A8">
        <w:rPr>
          <w:lang w:val="sr-Latn-BA"/>
        </w:rPr>
        <w:t xml:space="preserve"> </w:t>
      </w:r>
      <w:r w:rsidRPr="001B53A8">
        <w:rPr>
          <w:lang w:val="sr-Latn-BA"/>
        </w:rPr>
        <w:t>su</w:t>
      </w:r>
      <w:r w:rsidR="003421E1" w:rsidRPr="001B53A8">
        <w:rPr>
          <w:lang w:val="sr-Latn-BA"/>
        </w:rPr>
        <w:t xml:space="preserve"> </w:t>
      </w:r>
      <w:r w:rsidRPr="001B53A8">
        <w:rPr>
          <w:lang w:val="sr-Latn-BA"/>
        </w:rPr>
        <w:t>na</w:t>
      </w:r>
      <w:r w:rsidR="003421E1" w:rsidRPr="001B53A8">
        <w:rPr>
          <w:lang w:val="sr-Latn-BA"/>
        </w:rPr>
        <w:t xml:space="preserve"> </w:t>
      </w:r>
      <w:r w:rsidRPr="001B53A8">
        <w:rPr>
          <w:lang w:val="sr-Latn-BA"/>
        </w:rPr>
        <w:t>tržište</w:t>
      </w:r>
      <w:r w:rsidR="003421E1" w:rsidRPr="001B53A8">
        <w:rPr>
          <w:lang w:val="sr-Latn-BA"/>
        </w:rPr>
        <w:t xml:space="preserve"> </w:t>
      </w:r>
      <w:r w:rsidRPr="001B53A8">
        <w:rPr>
          <w:lang w:val="sr-Latn-BA"/>
        </w:rPr>
        <w:t>kapitala</w:t>
      </w:r>
      <w:r w:rsidR="003421E1" w:rsidRPr="001B53A8">
        <w:rPr>
          <w:lang w:val="sr-Latn-BA"/>
        </w:rPr>
        <w:t xml:space="preserve"> </w:t>
      </w:r>
      <w:r w:rsidRPr="001B53A8">
        <w:rPr>
          <w:lang w:val="sr-Latn-BA"/>
        </w:rPr>
        <w:t>dospjeli</w:t>
      </w:r>
      <w:r w:rsidR="003421E1" w:rsidRPr="001B53A8">
        <w:rPr>
          <w:lang w:val="sr-Latn-BA"/>
        </w:rPr>
        <w:t xml:space="preserve"> </w:t>
      </w:r>
      <w:r w:rsidRPr="001B53A8">
        <w:rPr>
          <w:lang w:val="sr-Latn-BA"/>
        </w:rPr>
        <w:t>posredstvom</w:t>
      </w:r>
      <w:r w:rsidR="003421E1" w:rsidRPr="001B53A8">
        <w:rPr>
          <w:lang w:val="sr-Latn-BA"/>
        </w:rPr>
        <w:t xml:space="preserve"> </w:t>
      </w:r>
      <w:r w:rsidRPr="001B53A8">
        <w:rPr>
          <w:lang w:val="sr-Latn-BA"/>
        </w:rPr>
        <w:t>privatizacionih</w:t>
      </w:r>
      <w:r w:rsidR="003421E1" w:rsidRPr="001B53A8">
        <w:rPr>
          <w:lang w:val="sr-Latn-BA"/>
        </w:rPr>
        <w:t xml:space="preserve"> </w:t>
      </w:r>
      <w:r w:rsidRPr="001B53A8">
        <w:rPr>
          <w:lang w:val="sr-Latn-BA"/>
        </w:rPr>
        <w:t>procesa</w:t>
      </w:r>
      <w:r w:rsidR="003421E1" w:rsidRPr="001B53A8">
        <w:rPr>
          <w:lang w:val="sr-Latn-BA"/>
        </w:rPr>
        <w:t xml:space="preserve"> </w:t>
      </w:r>
      <w:r w:rsidRPr="001B53A8">
        <w:rPr>
          <w:lang w:val="sr-Latn-BA"/>
        </w:rPr>
        <w:t>ostvare</w:t>
      </w:r>
      <w:r w:rsidR="003421E1" w:rsidRPr="001B53A8">
        <w:rPr>
          <w:lang w:val="sr-Latn-BA"/>
        </w:rPr>
        <w:t xml:space="preserve"> </w:t>
      </w:r>
      <w:r w:rsidRPr="001B53A8">
        <w:rPr>
          <w:lang w:val="sr-Latn-BA"/>
        </w:rPr>
        <w:t>veći</w:t>
      </w:r>
      <w:r w:rsidR="003421E1" w:rsidRPr="001B53A8">
        <w:rPr>
          <w:lang w:val="sr-Latn-BA"/>
        </w:rPr>
        <w:t xml:space="preserve"> </w:t>
      </w:r>
      <w:r w:rsidRPr="001B53A8">
        <w:rPr>
          <w:lang w:val="sr-Latn-BA"/>
        </w:rPr>
        <w:t>kredibilitet</w:t>
      </w:r>
      <w:r w:rsidR="003421E1" w:rsidRPr="001B53A8">
        <w:rPr>
          <w:lang w:val="sr-Latn-BA"/>
        </w:rPr>
        <w:t xml:space="preserve"> </w:t>
      </w:r>
      <w:r w:rsidRPr="001B53A8">
        <w:rPr>
          <w:lang w:val="sr-Latn-BA"/>
        </w:rPr>
        <w:t>sa</w:t>
      </w:r>
      <w:r w:rsidR="003421E1" w:rsidRPr="001B53A8">
        <w:rPr>
          <w:lang w:val="sr-Latn-BA"/>
        </w:rPr>
        <w:t xml:space="preserve"> </w:t>
      </w:r>
      <w:r w:rsidRPr="001B53A8">
        <w:rPr>
          <w:lang w:val="sr-Latn-BA"/>
        </w:rPr>
        <w:t>stanovišta</w:t>
      </w:r>
      <w:r w:rsidR="003421E1" w:rsidRPr="001B53A8">
        <w:rPr>
          <w:lang w:val="sr-Latn-BA"/>
        </w:rPr>
        <w:t xml:space="preserve"> </w:t>
      </w:r>
      <w:r w:rsidRPr="001B53A8">
        <w:rPr>
          <w:lang w:val="sr-Latn-BA"/>
        </w:rPr>
        <w:t>poštovanja</w:t>
      </w:r>
      <w:r w:rsidR="003421E1" w:rsidRPr="001B53A8">
        <w:rPr>
          <w:lang w:val="sr-Latn-BA"/>
        </w:rPr>
        <w:t xml:space="preserve"> </w:t>
      </w:r>
      <w:r w:rsidRPr="001B53A8">
        <w:rPr>
          <w:lang w:val="sr-Latn-BA"/>
        </w:rPr>
        <w:t>standarda</w:t>
      </w:r>
      <w:r w:rsidR="003421E1" w:rsidRPr="001B53A8">
        <w:rPr>
          <w:lang w:val="sr-Latn-BA"/>
        </w:rPr>
        <w:t xml:space="preserve"> </w:t>
      </w:r>
      <w:r w:rsidRPr="001B53A8">
        <w:rPr>
          <w:lang w:val="sr-Latn-BA"/>
        </w:rPr>
        <w:t>pri</w:t>
      </w:r>
      <w:r w:rsidR="003421E1" w:rsidRPr="001B53A8">
        <w:rPr>
          <w:lang w:val="sr-Latn-BA"/>
        </w:rPr>
        <w:t xml:space="preserve"> </w:t>
      </w:r>
      <w:r w:rsidRPr="001B53A8">
        <w:rPr>
          <w:lang w:val="sr-Latn-BA"/>
        </w:rPr>
        <w:t>upravlјanju</w:t>
      </w:r>
      <w:r w:rsidR="003421E1" w:rsidRPr="001B53A8">
        <w:rPr>
          <w:lang w:val="sr-Latn-BA"/>
        </w:rPr>
        <w:t xml:space="preserve"> </w:t>
      </w:r>
      <w:r w:rsidRPr="001B53A8">
        <w:rPr>
          <w:lang w:val="sr-Latn-BA"/>
        </w:rPr>
        <w:t>akcionarskim</w:t>
      </w:r>
      <w:r w:rsidR="003421E1" w:rsidRPr="001B53A8">
        <w:rPr>
          <w:lang w:val="sr-Latn-BA"/>
        </w:rPr>
        <w:t xml:space="preserve"> </w:t>
      </w:r>
      <w:r w:rsidRPr="001B53A8">
        <w:rPr>
          <w:lang w:val="sr-Latn-BA"/>
        </w:rPr>
        <w:t>društvima</w:t>
      </w:r>
      <w:r w:rsidR="003421E1" w:rsidRPr="001B53A8">
        <w:rPr>
          <w:lang w:val="sr-Latn-BA"/>
        </w:rPr>
        <w:t xml:space="preserve">. </w:t>
      </w:r>
      <w:r w:rsidRPr="001B53A8">
        <w:rPr>
          <w:lang w:val="sr-Latn-BA"/>
        </w:rPr>
        <w:t>Naime</w:t>
      </w:r>
      <w:r w:rsidR="003421E1" w:rsidRPr="001B53A8">
        <w:rPr>
          <w:lang w:val="sr-Latn-BA"/>
        </w:rPr>
        <w:t xml:space="preserve">, </w:t>
      </w:r>
      <w:r w:rsidRPr="001B53A8">
        <w:rPr>
          <w:lang w:val="sr-Latn-BA"/>
        </w:rPr>
        <w:t>legitimitet</w:t>
      </w:r>
      <w:r w:rsidR="003421E1" w:rsidRPr="001B53A8">
        <w:rPr>
          <w:lang w:val="sr-Latn-BA"/>
        </w:rPr>
        <w:t xml:space="preserve"> </w:t>
      </w:r>
      <w:r w:rsidRPr="001B53A8">
        <w:rPr>
          <w:lang w:val="sr-Latn-BA"/>
        </w:rPr>
        <w:t>njihovog</w:t>
      </w:r>
      <w:r w:rsidR="003421E1" w:rsidRPr="001B53A8">
        <w:rPr>
          <w:lang w:val="sr-Latn-BA"/>
        </w:rPr>
        <w:t xml:space="preserve"> </w:t>
      </w:r>
      <w:r w:rsidRPr="001B53A8">
        <w:rPr>
          <w:lang w:val="sr-Latn-BA"/>
        </w:rPr>
        <w:t>pojavlјivanja</w:t>
      </w:r>
      <w:r w:rsidR="003421E1" w:rsidRPr="001B53A8">
        <w:rPr>
          <w:lang w:val="sr-Latn-BA"/>
        </w:rPr>
        <w:t xml:space="preserve"> </w:t>
      </w:r>
      <w:r w:rsidRPr="001B53A8">
        <w:rPr>
          <w:lang w:val="sr-Latn-BA"/>
        </w:rPr>
        <w:t>na</w:t>
      </w:r>
      <w:r w:rsidR="003421E1" w:rsidRPr="001B53A8">
        <w:rPr>
          <w:lang w:val="sr-Latn-BA"/>
        </w:rPr>
        <w:t xml:space="preserve"> </w:t>
      </w:r>
      <w:r w:rsidRPr="001B53A8">
        <w:rPr>
          <w:lang w:val="sr-Latn-BA"/>
        </w:rPr>
        <w:t>tržištu</w:t>
      </w:r>
      <w:r w:rsidR="003421E1" w:rsidRPr="001B53A8">
        <w:rPr>
          <w:lang w:val="sr-Latn-BA"/>
        </w:rPr>
        <w:t xml:space="preserve"> </w:t>
      </w:r>
      <w:r w:rsidRPr="001B53A8">
        <w:rPr>
          <w:lang w:val="sr-Latn-BA"/>
        </w:rPr>
        <w:t>hartija</w:t>
      </w:r>
      <w:r w:rsidR="003421E1" w:rsidRPr="001B53A8">
        <w:rPr>
          <w:lang w:val="sr-Latn-BA"/>
        </w:rPr>
        <w:t xml:space="preserve"> </w:t>
      </w:r>
      <w:r w:rsidRPr="001B53A8">
        <w:rPr>
          <w:lang w:val="sr-Latn-BA"/>
        </w:rPr>
        <w:t>od</w:t>
      </w:r>
      <w:r w:rsidR="003421E1" w:rsidRPr="001B53A8">
        <w:rPr>
          <w:lang w:val="sr-Latn-BA"/>
        </w:rPr>
        <w:t xml:space="preserve"> </w:t>
      </w:r>
      <w:r w:rsidRPr="001B53A8">
        <w:rPr>
          <w:lang w:val="sr-Latn-BA"/>
        </w:rPr>
        <w:t>vrijednosti</w:t>
      </w:r>
      <w:r w:rsidR="003421E1" w:rsidRPr="001B53A8">
        <w:rPr>
          <w:lang w:val="sr-Latn-BA"/>
        </w:rPr>
        <w:t xml:space="preserve"> </w:t>
      </w:r>
      <w:r w:rsidRPr="001B53A8">
        <w:rPr>
          <w:lang w:val="sr-Latn-BA"/>
        </w:rPr>
        <w:t>sa</w:t>
      </w:r>
      <w:r w:rsidR="003421E1" w:rsidRPr="001B53A8">
        <w:rPr>
          <w:lang w:val="sr-Latn-BA"/>
        </w:rPr>
        <w:t xml:space="preserve"> </w:t>
      </w:r>
      <w:r w:rsidRPr="001B53A8">
        <w:rPr>
          <w:lang w:val="sr-Latn-BA"/>
        </w:rPr>
        <w:t>zahtjevom</w:t>
      </w:r>
      <w:r w:rsidR="003421E1" w:rsidRPr="001B53A8">
        <w:rPr>
          <w:lang w:val="sr-Latn-BA"/>
        </w:rPr>
        <w:t xml:space="preserve"> </w:t>
      </w:r>
      <w:r w:rsidRPr="001B53A8">
        <w:rPr>
          <w:lang w:val="sr-Latn-BA"/>
        </w:rPr>
        <w:t>za</w:t>
      </w:r>
      <w:r w:rsidR="003421E1" w:rsidRPr="001B53A8">
        <w:rPr>
          <w:lang w:val="sr-Latn-BA"/>
        </w:rPr>
        <w:t xml:space="preserve"> </w:t>
      </w:r>
      <w:r w:rsidRPr="001B53A8">
        <w:rPr>
          <w:lang w:val="sr-Latn-BA"/>
        </w:rPr>
        <w:t>prikuplјanje</w:t>
      </w:r>
      <w:r w:rsidR="003421E1" w:rsidRPr="001B53A8">
        <w:rPr>
          <w:lang w:val="sr-Latn-BA"/>
        </w:rPr>
        <w:t xml:space="preserve"> </w:t>
      </w:r>
      <w:r w:rsidRPr="001B53A8">
        <w:rPr>
          <w:lang w:val="sr-Latn-BA"/>
        </w:rPr>
        <w:t>novčanih</w:t>
      </w:r>
      <w:r w:rsidR="003421E1" w:rsidRPr="001B53A8">
        <w:rPr>
          <w:lang w:val="sr-Latn-BA"/>
        </w:rPr>
        <w:t xml:space="preserve"> </w:t>
      </w:r>
      <w:r w:rsidRPr="001B53A8">
        <w:rPr>
          <w:lang w:val="sr-Latn-BA"/>
        </w:rPr>
        <w:t>sredstava</w:t>
      </w:r>
      <w:r w:rsidR="003421E1" w:rsidRPr="001B53A8">
        <w:rPr>
          <w:lang w:val="sr-Latn-BA"/>
        </w:rPr>
        <w:t xml:space="preserve"> </w:t>
      </w:r>
      <w:r w:rsidRPr="001B53A8">
        <w:rPr>
          <w:lang w:val="sr-Latn-BA"/>
        </w:rPr>
        <w:t>prodajom</w:t>
      </w:r>
      <w:r w:rsidR="003421E1" w:rsidRPr="001B53A8">
        <w:rPr>
          <w:lang w:val="sr-Latn-BA"/>
        </w:rPr>
        <w:t xml:space="preserve"> </w:t>
      </w:r>
      <w:r w:rsidRPr="001B53A8">
        <w:rPr>
          <w:lang w:val="sr-Latn-BA"/>
        </w:rPr>
        <w:t>hartija</w:t>
      </w:r>
      <w:r w:rsidR="003421E1" w:rsidRPr="001B53A8">
        <w:rPr>
          <w:lang w:val="sr-Latn-BA"/>
        </w:rPr>
        <w:t xml:space="preserve"> </w:t>
      </w:r>
      <w:r w:rsidRPr="001B53A8">
        <w:rPr>
          <w:lang w:val="sr-Latn-BA"/>
        </w:rPr>
        <w:t>od</w:t>
      </w:r>
      <w:r w:rsidR="003421E1" w:rsidRPr="001B53A8">
        <w:rPr>
          <w:lang w:val="sr-Latn-BA"/>
        </w:rPr>
        <w:t xml:space="preserve"> </w:t>
      </w:r>
      <w:r w:rsidRPr="001B53A8">
        <w:rPr>
          <w:lang w:val="sr-Latn-BA"/>
        </w:rPr>
        <w:t>vrijednosti</w:t>
      </w:r>
      <w:r w:rsidR="003421E1" w:rsidRPr="001B53A8">
        <w:rPr>
          <w:lang w:val="sr-Latn-BA"/>
        </w:rPr>
        <w:t xml:space="preserve"> </w:t>
      </w:r>
      <w:r w:rsidRPr="001B53A8">
        <w:rPr>
          <w:lang w:val="sr-Latn-BA"/>
        </w:rPr>
        <w:t>zavisi</w:t>
      </w:r>
      <w:r w:rsidR="003421E1" w:rsidRPr="001B53A8">
        <w:rPr>
          <w:lang w:val="sr-Latn-BA"/>
        </w:rPr>
        <w:t xml:space="preserve"> </w:t>
      </w:r>
      <w:r w:rsidRPr="001B53A8">
        <w:rPr>
          <w:lang w:val="sr-Latn-BA"/>
        </w:rPr>
        <w:t>od</w:t>
      </w:r>
      <w:r w:rsidR="003421E1" w:rsidRPr="001B53A8">
        <w:rPr>
          <w:lang w:val="sr-Latn-BA"/>
        </w:rPr>
        <w:t xml:space="preserve"> </w:t>
      </w:r>
      <w:r w:rsidRPr="001B53A8">
        <w:rPr>
          <w:lang w:val="sr-Latn-BA"/>
        </w:rPr>
        <w:t>mogućnosti</w:t>
      </w:r>
      <w:r w:rsidR="003421E1" w:rsidRPr="001B53A8">
        <w:rPr>
          <w:lang w:val="sr-Latn-BA"/>
        </w:rPr>
        <w:t xml:space="preserve"> </w:t>
      </w:r>
      <w:r w:rsidRPr="001B53A8">
        <w:rPr>
          <w:lang w:val="sr-Latn-BA"/>
        </w:rPr>
        <w:t>investitora</w:t>
      </w:r>
      <w:r w:rsidR="003421E1" w:rsidRPr="001B53A8">
        <w:rPr>
          <w:lang w:val="sr-Latn-BA"/>
        </w:rPr>
        <w:t xml:space="preserve"> </w:t>
      </w:r>
      <w:r w:rsidRPr="001B53A8">
        <w:rPr>
          <w:lang w:val="sr-Latn-BA"/>
        </w:rPr>
        <w:t>da</w:t>
      </w:r>
      <w:r w:rsidR="003421E1" w:rsidRPr="001B53A8">
        <w:rPr>
          <w:lang w:val="sr-Latn-BA"/>
        </w:rPr>
        <w:t xml:space="preserve"> </w:t>
      </w:r>
      <w:r w:rsidRPr="001B53A8">
        <w:rPr>
          <w:lang w:val="sr-Latn-BA"/>
        </w:rPr>
        <w:t>dobiju</w:t>
      </w:r>
      <w:r w:rsidR="003421E1" w:rsidRPr="001B53A8">
        <w:rPr>
          <w:lang w:val="sr-Latn-BA"/>
        </w:rPr>
        <w:t xml:space="preserve"> </w:t>
      </w:r>
      <w:r w:rsidRPr="001B53A8">
        <w:rPr>
          <w:lang w:val="sr-Latn-BA"/>
        </w:rPr>
        <w:t>relevantne</w:t>
      </w:r>
      <w:r w:rsidR="003421E1" w:rsidRPr="001B53A8">
        <w:rPr>
          <w:lang w:val="sr-Latn-BA"/>
        </w:rPr>
        <w:t xml:space="preserve"> </w:t>
      </w:r>
      <w:r w:rsidRPr="001B53A8">
        <w:rPr>
          <w:lang w:val="sr-Latn-BA"/>
        </w:rPr>
        <w:t>informacije</w:t>
      </w:r>
      <w:r w:rsidR="003421E1" w:rsidRPr="001B53A8">
        <w:rPr>
          <w:lang w:val="sr-Latn-BA"/>
        </w:rPr>
        <w:t xml:space="preserve">, </w:t>
      </w:r>
      <w:r w:rsidRPr="001B53A8">
        <w:rPr>
          <w:lang w:val="sr-Latn-BA"/>
        </w:rPr>
        <w:t>ali</w:t>
      </w:r>
      <w:r w:rsidR="003421E1" w:rsidRPr="001B53A8">
        <w:rPr>
          <w:lang w:val="sr-Latn-BA"/>
        </w:rPr>
        <w:t xml:space="preserve"> </w:t>
      </w:r>
      <w:r w:rsidRPr="001B53A8">
        <w:rPr>
          <w:lang w:val="sr-Latn-BA"/>
        </w:rPr>
        <w:t>i</w:t>
      </w:r>
      <w:r w:rsidR="003421E1" w:rsidRPr="001B53A8">
        <w:rPr>
          <w:lang w:val="sr-Latn-BA"/>
        </w:rPr>
        <w:t xml:space="preserve"> </w:t>
      </w:r>
      <w:r w:rsidRPr="001B53A8">
        <w:rPr>
          <w:lang w:val="sr-Latn-BA"/>
        </w:rPr>
        <w:t>efikasnu</w:t>
      </w:r>
      <w:r w:rsidR="003421E1" w:rsidRPr="001B53A8">
        <w:rPr>
          <w:lang w:val="sr-Latn-BA"/>
        </w:rPr>
        <w:t xml:space="preserve"> </w:t>
      </w:r>
      <w:r w:rsidRPr="001B53A8">
        <w:rPr>
          <w:lang w:val="sr-Latn-BA"/>
        </w:rPr>
        <w:t>zaštitu</w:t>
      </w:r>
      <w:r w:rsidR="003421E1" w:rsidRPr="001B53A8">
        <w:rPr>
          <w:lang w:val="sr-Latn-BA"/>
        </w:rPr>
        <w:t xml:space="preserve"> </w:t>
      </w:r>
      <w:r w:rsidRPr="001B53A8">
        <w:rPr>
          <w:lang w:val="sr-Latn-BA"/>
        </w:rPr>
        <w:t>sopstvenih</w:t>
      </w:r>
      <w:r w:rsidR="003421E1" w:rsidRPr="001B53A8">
        <w:rPr>
          <w:lang w:val="sr-Latn-BA"/>
        </w:rPr>
        <w:t xml:space="preserve"> </w:t>
      </w:r>
      <w:r w:rsidRPr="001B53A8">
        <w:rPr>
          <w:lang w:val="sr-Latn-BA"/>
        </w:rPr>
        <w:t>interesa</w:t>
      </w:r>
      <w:r w:rsidR="003421E1" w:rsidRPr="001B53A8">
        <w:rPr>
          <w:lang w:val="sr-Latn-BA"/>
        </w:rPr>
        <w:t>.</w:t>
      </w:r>
    </w:p>
    <w:p w14:paraId="7B4D6910" w14:textId="09AC76BE" w:rsidR="009628CE" w:rsidRPr="001B53A8" w:rsidRDefault="00003F34" w:rsidP="006B6E0C">
      <w:pPr>
        <w:pStyle w:val="Heading1"/>
        <w:shd w:val="clear" w:color="auto" w:fill="auto"/>
        <w:spacing w:before="360" w:line="240" w:lineRule="auto"/>
        <w:ind w:left="567" w:hanging="567"/>
        <w:rPr>
          <w:rFonts w:ascii="Times New Roman" w:hAnsi="Times New Roman"/>
          <w:caps w:val="0"/>
          <w:color w:val="002060"/>
          <w:lang w:val="sr-Latn-BA"/>
        </w:rPr>
      </w:pPr>
      <w:bookmarkStart w:id="55" w:name="_Toc167962112"/>
      <w:r w:rsidRPr="001B53A8">
        <w:rPr>
          <w:rFonts w:ascii="Times New Roman" w:hAnsi="Times New Roman"/>
          <w:caps w:val="0"/>
          <w:color w:val="002060"/>
          <w:lang w:val="sr-Latn-BA"/>
        </w:rPr>
        <w:lastRenderedPageBreak/>
        <w:t>PREUZIMANјE</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AKCIONARSKIH</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DRUŠTAVA</w:t>
      </w:r>
      <w:bookmarkEnd w:id="49"/>
      <w:bookmarkEnd w:id="50"/>
      <w:bookmarkEnd w:id="51"/>
      <w:bookmarkEnd w:id="52"/>
      <w:bookmarkEnd w:id="55"/>
    </w:p>
    <w:p w14:paraId="2F612F4C" w14:textId="69C224AC" w:rsidR="007E2F40" w:rsidRPr="001B53A8" w:rsidRDefault="00003F34" w:rsidP="007E2F40">
      <w:pPr>
        <w:spacing w:after="0" w:line="240" w:lineRule="auto"/>
        <w:ind w:firstLine="567"/>
        <w:rPr>
          <w:lang w:val="sr-Latn-BA"/>
        </w:rPr>
      </w:pPr>
      <w:r w:rsidRPr="001B53A8">
        <w:rPr>
          <w:lang w:val="sr-Latn-BA"/>
        </w:rPr>
        <w:t>Postupak</w:t>
      </w:r>
      <w:r w:rsidR="007E2F40" w:rsidRPr="001B53A8">
        <w:rPr>
          <w:lang w:val="sr-Latn-BA"/>
        </w:rPr>
        <w:t xml:space="preserve"> </w:t>
      </w:r>
      <w:r w:rsidRPr="001B53A8">
        <w:rPr>
          <w:lang w:val="sr-Latn-BA"/>
        </w:rPr>
        <w:t>preuzimanja</w:t>
      </w:r>
      <w:r w:rsidR="007E2F40" w:rsidRPr="001B53A8">
        <w:rPr>
          <w:lang w:val="sr-Latn-BA"/>
        </w:rPr>
        <w:t xml:space="preserve"> </w:t>
      </w:r>
      <w:r w:rsidRPr="001B53A8">
        <w:rPr>
          <w:lang w:val="sr-Latn-BA"/>
        </w:rPr>
        <w:t>otvorenih</w:t>
      </w:r>
      <w:r w:rsidR="007E2F40" w:rsidRPr="001B53A8">
        <w:rPr>
          <w:lang w:val="sr-Latn-BA"/>
        </w:rPr>
        <w:t xml:space="preserve"> </w:t>
      </w:r>
      <w:r w:rsidRPr="001B53A8">
        <w:rPr>
          <w:lang w:val="sr-Latn-BA"/>
        </w:rPr>
        <w:t>akcionarskih</w:t>
      </w:r>
      <w:r w:rsidR="007E2F40" w:rsidRPr="001B53A8">
        <w:rPr>
          <w:lang w:val="sr-Latn-BA"/>
        </w:rPr>
        <w:t xml:space="preserve"> </w:t>
      </w:r>
      <w:r w:rsidRPr="001B53A8">
        <w:rPr>
          <w:lang w:val="sr-Latn-BA"/>
        </w:rPr>
        <w:t>društava</w:t>
      </w:r>
      <w:r w:rsidR="007E2F40" w:rsidRPr="001B53A8">
        <w:rPr>
          <w:lang w:val="sr-Latn-BA"/>
        </w:rPr>
        <w:t xml:space="preserve"> </w:t>
      </w:r>
      <w:r w:rsidRPr="001B53A8">
        <w:rPr>
          <w:lang w:val="sr-Latn-BA"/>
        </w:rPr>
        <w:t>obavlјa</w:t>
      </w:r>
      <w:r w:rsidR="007E2F40" w:rsidRPr="001B53A8">
        <w:rPr>
          <w:lang w:val="sr-Latn-BA"/>
        </w:rPr>
        <w:t xml:space="preserve"> </w:t>
      </w:r>
      <w:r w:rsidRPr="001B53A8">
        <w:rPr>
          <w:lang w:val="sr-Latn-BA"/>
        </w:rPr>
        <w:t>se</w:t>
      </w:r>
      <w:r w:rsidR="007E2F40" w:rsidRPr="001B53A8">
        <w:rPr>
          <w:lang w:val="sr-Latn-BA"/>
        </w:rPr>
        <w:t xml:space="preserve"> </w:t>
      </w:r>
      <w:r w:rsidRPr="001B53A8">
        <w:rPr>
          <w:lang w:val="sr-Latn-BA"/>
        </w:rPr>
        <w:t>u</w:t>
      </w:r>
      <w:r w:rsidR="007E2F40" w:rsidRPr="001B53A8">
        <w:rPr>
          <w:lang w:val="sr-Latn-BA"/>
        </w:rPr>
        <w:t xml:space="preserve"> </w:t>
      </w:r>
      <w:r w:rsidRPr="001B53A8">
        <w:rPr>
          <w:lang w:val="sr-Latn-BA"/>
        </w:rPr>
        <w:t>skladu</w:t>
      </w:r>
      <w:r w:rsidR="007E2F40" w:rsidRPr="001B53A8">
        <w:rPr>
          <w:lang w:val="sr-Latn-BA"/>
        </w:rPr>
        <w:t xml:space="preserve"> </w:t>
      </w:r>
      <w:r w:rsidRPr="001B53A8">
        <w:rPr>
          <w:lang w:val="sr-Latn-BA"/>
        </w:rPr>
        <w:t>sa</w:t>
      </w:r>
      <w:r w:rsidR="007E2F40" w:rsidRPr="001B53A8">
        <w:rPr>
          <w:lang w:val="sr-Latn-BA"/>
        </w:rPr>
        <w:t xml:space="preserve"> </w:t>
      </w:r>
      <w:r w:rsidRPr="001B53A8">
        <w:rPr>
          <w:lang w:val="sr-Latn-BA"/>
        </w:rPr>
        <w:t>Zakonom</w:t>
      </w:r>
      <w:r w:rsidR="007E2F40" w:rsidRPr="001B53A8">
        <w:rPr>
          <w:lang w:val="sr-Latn-BA"/>
        </w:rPr>
        <w:t xml:space="preserve"> </w:t>
      </w:r>
      <w:r w:rsidRPr="001B53A8">
        <w:rPr>
          <w:lang w:val="sr-Latn-BA"/>
        </w:rPr>
        <w:t>o</w:t>
      </w:r>
      <w:r w:rsidR="007E2F40" w:rsidRPr="001B53A8">
        <w:rPr>
          <w:lang w:val="sr-Latn-BA"/>
        </w:rPr>
        <w:t xml:space="preserve"> </w:t>
      </w:r>
      <w:r w:rsidRPr="001B53A8">
        <w:rPr>
          <w:lang w:val="sr-Latn-BA"/>
        </w:rPr>
        <w:t>preuzimanju</w:t>
      </w:r>
      <w:r w:rsidR="007E2F40" w:rsidRPr="001B53A8">
        <w:rPr>
          <w:lang w:val="sr-Latn-BA"/>
        </w:rPr>
        <w:t xml:space="preserve"> </w:t>
      </w:r>
      <w:r w:rsidRPr="001B53A8">
        <w:rPr>
          <w:lang w:val="sr-Latn-BA"/>
        </w:rPr>
        <w:t>akcionarskih</w:t>
      </w:r>
      <w:r w:rsidR="007E2F40" w:rsidRPr="001B53A8">
        <w:rPr>
          <w:lang w:val="sr-Latn-BA"/>
        </w:rPr>
        <w:t xml:space="preserve"> </w:t>
      </w:r>
      <w:r w:rsidRPr="001B53A8">
        <w:rPr>
          <w:lang w:val="sr-Latn-BA"/>
        </w:rPr>
        <w:t>društava</w:t>
      </w:r>
      <w:r w:rsidR="007E2F40" w:rsidRPr="001B53A8">
        <w:rPr>
          <w:rStyle w:val="FootnoteReference"/>
          <w:lang w:val="sr-Latn-BA"/>
        </w:rPr>
        <w:footnoteReference w:id="7"/>
      </w:r>
      <w:r w:rsidR="007E2F40" w:rsidRPr="001B53A8">
        <w:rPr>
          <w:lang w:val="sr-Latn-BA"/>
        </w:rPr>
        <w:t xml:space="preserve">, </w:t>
      </w:r>
      <w:r w:rsidRPr="001B53A8">
        <w:rPr>
          <w:lang w:val="sr-Latn-BA"/>
        </w:rPr>
        <w:t>čije</w:t>
      </w:r>
      <w:r w:rsidR="007E2F40" w:rsidRPr="001B53A8">
        <w:rPr>
          <w:lang w:val="sr-Latn-BA"/>
        </w:rPr>
        <w:t xml:space="preserve"> </w:t>
      </w:r>
      <w:r w:rsidRPr="001B53A8">
        <w:rPr>
          <w:lang w:val="sr-Latn-BA"/>
        </w:rPr>
        <w:t>odredbe</w:t>
      </w:r>
      <w:r w:rsidR="007E2F40" w:rsidRPr="001B53A8">
        <w:rPr>
          <w:lang w:val="sr-Latn-BA"/>
        </w:rPr>
        <w:t xml:space="preserve"> </w:t>
      </w:r>
      <w:r w:rsidRPr="001B53A8">
        <w:rPr>
          <w:lang w:val="sr-Latn-BA"/>
        </w:rPr>
        <w:t>omogućavaju</w:t>
      </w:r>
      <w:r w:rsidR="007E2F40" w:rsidRPr="001B53A8">
        <w:rPr>
          <w:lang w:val="sr-Latn-BA"/>
        </w:rPr>
        <w:t xml:space="preserve"> </w:t>
      </w:r>
      <w:r w:rsidRPr="001B53A8">
        <w:rPr>
          <w:lang w:val="sr-Latn-BA"/>
        </w:rPr>
        <w:t>manjinskim</w:t>
      </w:r>
      <w:r w:rsidR="007E2F40" w:rsidRPr="001B53A8">
        <w:rPr>
          <w:lang w:val="sr-Latn-BA"/>
        </w:rPr>
        <w:t xml:space="preserve">, </w:t>
      </w:r>
      <w:r w:rsidRPr="001B53A8">
        <w:rPr>
          <w:lang w:val="sr-Latn-BA"/>
        </w:rPr>
        <w:t>ali</w:t>
      </w:r>
      <w:r w:rsidR="007E2F40" w:rsidRPr="001B53A8">
        <w:rPr>
          <w:lang w:val="sr-Latn-BA"/>
        </w:rPr>
        <w:t xml:space="preserve"> </w:t>
      </w:r>
      <w:r w:rsidRPr="001B53A8">
        <w:rPr>
          <w:lang w:val="sr-Latn-BA"/>
        </w:rPr>
        <w:t>i</w:t>
      </w:r>
      <w:r w:rsidR="007E2F40" w:rsidRPr="001B53A8">
        <w:rPr>
          <w:lang w:val="sr-Latn-BA"/>
        </w:rPr>
        <w:t xml:space="preserve"> </w:t>
      </w:r>
      <w:r w:rsidRPr="001B53A8">
        <w:rPr>
          <w:lang w:val="sr-Latn-BA"/>
        </w:rPr>
        <w:t>drugim</w:t>
      </w:r>
      <w:r w:rsidR="007E2F40" w:rsidRPr="001B53A8">
        <w:rPr>
          <w:lang w:val="sr-Latn-BA"/>
        </w:rPr>
        <w:t xml:space="preserve"> </w:t>
      </w:r>
      <w:r w:rsidRPr="001B53A8">
        <w:rPr>
          <w:lang w:val="sr-Latn-BA"/>
        </w:rPr>
        <w:t>akcionarima</w:t>
      </w:r>
      <w:r w:rsidR="007E2F40" w:rsidRPr="001B53A8">
        <w:rPr>
          <w:lang w:val="sr-Latn-BA"/>
        </w:rPr>
        <w:t xml:space="preserve"> </w:t>
      </w:r>
      <w:r w:rsidRPr="001B53A8">
        <w:rPr>
          <w:lang w:val="sr-Latn-BA"/>
        </w:rPr>
        <w:t>da</w:t>
      </w:r>
      <w:r w:rsidR="007E2F40" w:rsidRPr="001B53A8">
        <w:rPr>
          <w:lang w:val="sr-Latn-BA"/>
        </w:rPr>
        <w:t xml:space="preserve">, </w:t>
      </w:r>
      <w:r w:rsidRPr="001B53A8">
        <w:rPr>
          <w:lang w:val="sr-Latn-BA"/>
        </w:rPr>
        <w:t>u</w:t>
      </w:r>
      <w:r w:rsidR="007E2F40" w:rsidRPr="001B53A8">
        <w:rPr>
          <w:lang w:val="sr-Latn-BA"/>
        </w:rPr>
        <w:t xml:space="preserve"> </w:t>
      </w:r>
      <w:r w:rsidRPr="001B53A8">
        <w:rPr>
          <w:lang w:val="sr-Latn-BA"/>
        </w:rPr>
        <w:t>postupku</w:t>
      </w:r>
      <w:r w:rsidR="007E2F40" w:rsidRPr="001B53A8">
        <w:rPr>
          <w:lang w:val="sr-Latn-BA"/>
        </w:rPr>
        <w:t xml:space="preserve"> </w:t>
      </w:r>
      <w:r w:rsidRPr="001B53A8">
        <w:rPr>
          <w:lang w:val="sr-Latn-BA"/>
        </w:rPr>
        <w:t>preuzimanja</w:t>
      </w:r>
      <w:r w:rsidR="007E2F40" w:rsidRPr="001B53A8">
        <w:rPr>
          <w:lang w:val="sr-Latn-BA"/>
        </w:rPr>
        <w:t xml:space="preserve"> </w:t>
      </w:r>
      <w:r w:rsidRPr="001B53A8">
        <w:rPr>
          <w:lang w:val="sr-Latn-BA"/>
        </w:rPr>
        <w:t>društva</w:t>
      </w:r>
      <w:r w:rsidR="007E2F40" w:rsidRPr="001B53A8">
        <w:rPr>
          <w:lang w:val="sr-Latn-BA"/>
        </w:rPr>
        <w:t xml:space="preserve"> </w:t>
      </w:r>
      <w:r w:rsidRPr="001B53A8">
        <w:rPr>
          <w:lang w:val="sr-Latn-BA"/>
        </w:rPr>
        <w:t>po</w:t>
      </w:r>
      <w:r w:rsidR="007E2F40" w:rsidRPr="001B53A8">
        <w:rPr>
          <w:lang w:val="sr-Latn-BA"/>
        </w:rPr>
        <w:t xml:space="preserve"> </w:t>
      </w:r>
      <w:r w:rsidRPr="001B53A8">
        <w:rPr>
          <w:lang w:val="sr-Latn-BA"/>
        </w:rPr>
        <w:t>unaprijed</w:t>
      </w:r>
      <w:r w:rsidR="007E2F40" w:rsidRPr="001B53A8">
        <w:rPr>
          <w:lang w:val="sr-Latn-BA"/>
        </w:rPr>
        <w:t xml:space="preserve"> </w:t>
      </w:r>
      <w:r w:rsidRPr="001B53A8">
        <w:rPr>
          <w:lang w:val="sr-Latn-BA"/>
        </w:rPr>
        <w:t>utvrđenim</w:t>
      </w:r>
      <w:r w:rsidR="007E2F40" w:rsidRPr="001B53A8">
        <w:rPr>
          <w:lang w:val="sr-Latn-BA"/>
        </w:rPr>
        <w:t xml:space="preserve"> </w:t>
      </w:r>
      <w:r w:rsidRPr="001B53A8">
        <w:rPr>
          <w:lang w:val="sr-Latn-BA"/>
        </w:rPr>
        <w:t>uslovima</w:t>
      </w:r>
      <w:r w:rsidR="007E2F40" w:rsidRPr="001B53A8">
        <w:rPr>
          <w:lang w:val="sr-Latn-BA"/>
        </w:rPr>
        <w:t xml:space="preserve"> </w:t>
      </w:r>
      <w:r w:rsidRPr="001B53A8">
        <w:rPr>
          <w:lang w:val="sr-Latn-BA"/>
        </w:rPr>
        <w:t>prodaju</w:t>
      </w:r>
      <w:r w:rsidR="007E2F40" w:rsidRPr="001B53A8">
        <w:rPr>
          <w:lang w:val="sr-Latn-BA"/>
        </w:rPr>
        <w:t xml:space="preserve"> </w:t>
      </w:r>
      <w:r w:rsidRPr="001B53A8">
        <w:rPr>
          <w:lang w:val="sr-Latn-BA"/>
        </w:rPr>
        <w:t>akcije</w:t>
      </w:r>
      <w:r w:rsidR="007E2F40" w:rsidRPr="001B53A8">
        <w:rPr>
          <w:lang w:val="sr-Latn-BA"/>
        </w:rPr>
        <w:t xml:space="preserve"> </w:t>
      </w:r>
      <w:r w:rsidRPr="001B53A8">
        <w:rPr>
          <w:lang w:val="sr-Latn-BA"/>
        </w:rPr>
        <w:t>emitenata</w:t>
      </w:r>
      <w:r w:rsidR="007E2F40" w:rsidRPr="001B53A8">
        <w:rPr>
          <w:lang w:val="sr-Latn-BA"/>
        </w:rPr>
        <w:t xml:space="preserve"> </w:t>
      </w:r>
      <w:r w:rsidRPr="001B53A8">
        <w:rPr>
          <w:lang w:val="sr-Latn-BA"/>
        </w:rPr>
        <w:t>u</w:t>
      </w:r>
      <w:r w:rsidR="007E2F40" w:rsidRPr="001B53A8">
        <w:rPr>
          <w:lang w:val="sr-Latn-BA"/>
        </w:rPr>
        <w:t xml:space="preserve"> </w:t>
      </w:r>
      <w:r w:rsidRPr="001B53A8">
        <w:rPr>
          <w:lang w:val="sr-Latn-BA"/>
        </w:rPr>
        <w:t>kojima</w:t>
      </w:r>
      <w:r w:rsidR="007E2F40" w:rsidRPr="001B53A8">
        <w:rPr>
          <w:lang w:val="sr-Latn-BA"/>
        </w:rPr>
        <w:t xml:space="preserve"> </w:t>
      </w:r>
      <w:r w:rsidRPr="001B53A8">
        <w:rPr>
          <w:lang w:val="sr-Latn-BA"/>
        </w:rPr>
        <w:t>nemaju</w:t>
      </w:r>
      <w:r w:rsidR="007E2F40" w:rsidRPr="001B53A8">
        <w:rPr>
          <w:lang w:val="sr-Latn-BA"/>
        </w:rPr>
        <w:t xml:space="preserve"> </w:t>
      </w:r>
      <w:r w:rsidRPr="001B53A8">
        <w:rPr>
          <w:lang w:val="sr-Latn-BA"/>
        </w:rPr>
        <w:t>znatnijeg</w:t>
      </w:r>
      <w:r w:rsidR="007E2F40" w:rsidRPr="001B53A8">
        <w:rPr>
          <w:lang w:val="sr-Latn-BA"/>
        </w:rPr>
        <w:t xml:space="preserve"> </w:t>
      </w:r>
      <w:r w:rsidRPr="001B53A8">
        <w:rPr>
          <w:lang w:val="sr-Latn-BA"/>
        </w:rPr>
        <w:t>uticaja</w:t>
      </w:r>
      <w:r w:rsidR="007E2F40" w:rsidRPr="001B53A8">
        <w:rPr>
          <w:lang w:val="sr-Latn-BA"/>
        </w:rPr>
        <w:t xml:space="preserve"> </w:t>
      </w:r>
      <w:r w:rsidRPr="001B53A8">
        <w:rPr>
          <w:lang w:val="sr-Latn-BA"/>
        </w:rPr>
        <w:t>na</w:t>
      </w:r>
      <w:r w:rsidR="007E2F40" w:rsidRPr="001B53A8">
        <w:rPr>
          <w:lang w:val="sr-Latn-BA"/>
        </w:rPr>
        <w:t xml:space="preserve"> </w:t>
      </w:r>
      <w:r w:rsidRPr="001B53A8">
        <w:rPr>
          <w:lang w:val="sr-Latn-BA"/>
        </w:rPr>
        <w:t>upravlјanje</w:t>
      </w:r>
      <w:r w:rsidR="007E2F40" w:rsidRPr="001B53A8">
        <w:rPr>
          <w:lang w:val="sr-Latn-BA"/>
        </w:rPr>
        <w:t xml:space="preserve">, </w:t>
      </w:r>
      <w:r w:rsidRPr="001B53A8">
        <w:rPr>
          <w:lang w:val="sr-Latn-BA"/>
        </w:rPr>
        <w:t>ili</w:t>
      </w:r>
      <w:r w:rsidR="007E2F40" w:rsidRPr="001B53A8">
        <w:rPr>
          <w:lang w:val="sr-Latn-BA"/>
        </w:rPr>
        <w:t xml:space="preserve"> </w:t>
      </w:r>
      <w:r w:rsidRPr="001B53A8">
        <w:rPr>
          <w:lang w:val="sr-Latn-BA"/>
        </w:rPr>
        <w:t>drugih</w:t>
      </w:r>
      <w:r w:rsidR="007E2F40" w:rsidRPr="001B53A8">
        <w:rPr>
          <w:lang w:val="sr-Latn-BA"/>
        </w:rPr>
        <w:t xml:space="preserve"> </w:t>
      </w:r>
      <w:r w:rsidRPr="001B53A8">
        <w:rPr>
          <w:lang w:val="sr-Latn-BA"/>
        </w:rPr>
        <w:t>interesa</w:t>
      </w:r>
      <w:r w:rsidR="007E2F40" w:rsidRPr="001B53A8">
        <w:rPr>
          <w:lang w:val="sr-Latn-BA"/>
        </w:rPr>
        <w:t xml:space="preserve">. </w:t>
      </w:r>
      <w:r w:rsidRPr="001B53A8">
        <w:rPr>
          <w:lang w:val="sr-Latn-BA"/>
        </w:rPr>
        <w:t>Važnost</w:t>
      </w:r>
      <w:r w:rsidR="007E2F40" w:rsidRPr="001B53A8">
        <w:rPr>
          <w:lang w:val="sr-Latn-BA"/>
        </w:rPr>
        <w:t xml:space="preserve"> </w:t>
      </w:r>
      <w:r w:rsidRPr="001B53A8">
        <w:rPr>
          <w:lang w:val="sr-Latn-BA"/>
        </w:rPr>
        <w:t>ovog</w:t>
      </w:r>
      <w:r w:rsidR="007E2F40" w:rsidRPr="001B53A8">
        <w:rPr>
          <w:lang w:val="sr-Latn-BA"/>
        </w:rPr>
        <w:t xml:space="preserve"> </w:t>
      </w:r>
      <w:r w:rsidRPr="001B53A8">
        <w:rPr>
          <w:lang w:val="sr-Latn-BA"/>
        </w:rPr>
        <w:t>zakona</w:t>
      </w:r>
      <w:r w:rsidR="007E2F40" w:rsidRPr="001B53A8">
        <w:rPr>
          <w:lang w:val="sr-Latn-BA"/>
        </w:rPr>
        <w:t xml:space="preserve"> </w:t>
      </w:r>
      <w:r w:rsidRPr="001B53A8">
        <w:rPr>
          <w:lang w:val="sr-Latn-BA"/>
        </w:rPr>
        <w:t>na</w:t>
      </w:r>
      <w:r w:rsidR="007E2F40" w:rsidRPr="001B53A8">
        <w:rPr>
          <w:lang w:val="sr-Latn-BA"/>
        </w:rPr>
        <w:t xml:space="preserve"> </w:t>
      </w:r>
      <w:r w:rsidRPr="001B53A8">
        <w:rPr>
          <w:lang w:val="sr-Latn-BA"/>
        </w:rPr>
        <w:t>nelikvidnim</w:t>
      </w:r>
      <w:r w:rsidR="007E2F40" w:rsidRPr="001B53A8">
        <w:rPr>
          <w:lang w:val="sr-Latn-BA"/>
        </w:rPr>
        <w:t xml:space="preserve"> </w:t>
      </w:r>
      <w:r w:rsidRPr="001B53A8">
        <w:rPr>
          <w:lang w:val="sr-Latn-BA"/>
        </w:rPr>
        <w:t>tržištima</w:t>
      </w:r>
      <w:r w:rsidR="007E2F40" w:rsidRPr="001B53A8">
        <w:rPr>
          <w:lang w:val="sr-Latn-BA"/>
        </w:rPr>
        <w:t xml:space="preserve">, </w:t>
      </w:r>
      <w:r w:rsidRPr="001B53A8">
        <w:rPr>
          <w:lang w:val="sr-Latn-BA"/>
        </w:rPr>
        <w:t>poput</w:t>
      </w:r>
      <w:r w:rsidR="007E2F40" w:rsidRPr="001B53A8">
        <w:rPr>
          <w:lang w:val="sr-Latn-BA"/>
        </w:rPr>
        <w:t xml:space="preserve"> </w:t>
      </w:r>
      <w:r w:rsidRPr="001B53A8">
        <w:rPr>
          <w:lang w:val="sr-Latn-BA"/>
        </w:rPr>
        <w:t>našeg</w:t>
      </w:r>
      <w:r w:rsidR="007E2F40" w:rsidRPr="001B53A8">
        <w:rPr>
          <w:lang w:val="sr-Latn-BA"/>
        </w:rPr>
        <w:t xml:space="preserve">, </w:t>
      </w:r>
      <w:r w:rsidRPr="001B53A8">
        <w:rPr>
          <w:lang w:val="sr-Latn-BA"/>
        </w:rPr>
        <w:t>posebno</w:t>
      </w:r>
      <w:r w:rsidR="007E2F40" w:rsidRPr="001B53A8">
        <w:rPr>
          <w:lang w:val="sr-Latn-BA"/>
        </w:rPr>
        <w:t xml:space="preserve"> </w:t>
      </w:r>
      <w:r w:rsidRPr="001B53A8">
        <w:rPr>
          <w:lang w:val="sr-Latn-BA"/>
        </w:rPr>
        <w:t>je</w:t>
      </w:r>
      <w:r w:rsidR="007E2F40" w:rsidRPr="001B53A8">
        <w:rPr>
          <w:lang w:val="sr-Latn-BA"/>
        </w:rPr>
        <w:t xml:space="preserve"> </w:t>
      </w:r>
      <w:r w:rsidRPr="001B53A8">
        <w:rPr>
          <w:lang w:val="sr-Latn-BA"/>
        </w:rPr>
        <w:t>naglašena</w:t>
      </w:r>
      <w:r w:rsidR="007E2F40" w:rsidRPr="001B53A8">
        <w:rPr>
          <w:lang w:val="sr-Latn-BA"/>
        </w:rPr>
        <w:t xml:space="preserve">, </w:t>
      </w:r>
      <w:r w:rsidRPr="001B53A8">
        <w:rPr>
          <w:lang w:val="sr-Latn-BA"/>
        </w:rPr>
        <w:t>s</w:t>
      </w:r>
      <w:r w:rsidR="007E2F40" w:rsidRPr="001B53A8">
        <w:rPr>
          <w:lang w:val="sr-Latn-BA"/>
        </w:rPr>
        <w:t xml:space="preserve"> </w:t>
      </w:r>
      <w:r w:rsidRPr="001B53A8">
        <w:rPr>
          <w:lang w:val="sr-Latn-BA"/>
        </w:rPr>
        <w:t>obzirom</w:t>
      </w:r>
      <w:r w:rsidR="007E2F40" w:rsidRPr="001B53A8">
        <w:rPr>
          <w:lang w:val="sr-Latn-BA"/>
        </w:rPr>
        <w:t xml:space="preserve"> </w:t>
      </w:r>
      <w:r w:rsidRPr="001B53A8">
        <w:rPr>
          <w:lang w:val="sr-Latn-BA"/>
        </w:rPr>
        <w:t>da</w:t>
      </w:r>
      <w:r w:rsidR="007E2F40" w:rsidRPr="001B53A8">
        <w:rPr>
          <w:lang w:val="sr-Latn-BA"/>
        </w:rPr>
        <w:t xml:space="preserve"> </w:t>
      </w:r>
      <w:r w:rsidRPr="001B53A8">
        <w:rPr>
          <w:lang w:val="sr-Latn-BA"/>
        </w:rPr>
        <w:t>je</w:t>
      </w:r>
      <w:r w:rsidR="007E2F40" w:rsidRPr="001B53A8">
        <w:rPr>
          <w:lang w:val="sr-Latn-BA"/>
        </w:rPr>
        <w:t xml:space="preserve"> </w:t>
      </w:r>
      <w:r w:rsidRPr="001B53A8">
        <w:rPr>
          <w:lang w:val="sr-Latn-BA"/>
        </w:rPr>
        <w:t>broj</w:t>
      </w:r>
      <w:r w:rsidR="007E2F40" w:rsidRPr="001B53A8">
        <w:rPr>
          <w:lang w:val="sr-Latn-BA"/>
        </w:rPr>
        <w:t xml:space="preserve"> </w:t>
      </w:r>
      <w:r w:rsidRPr="001B53A8">
        <w:rPr>
          <w:lang w:val="sr-Latn-BA"/>
        </w:rPr>
        <w:t>zainteresovanih</w:t>
      </w:r>
      <w:r w:rsidR="007E2F40" w:rsidRPr="001B53A8">
        <w:rPr>
          <w:lang w:val="sr-Latn-BA"/>
        </w:rPr>
        <w:t xml:space="preserve"> </w:t>
      </w:r>
      <w:r w:rsidRPr="001B53A8">
        <w:rPr>
          <w:lang w:val="sr-Latn-BA"/>
        </w:rPr>
        <w:t>investitora</w:t>
      </w:r>
      <w:r w:rsidR="007E2F40" w:rsidRPr="001B53A8">
        <w:rPr>
          <w:lang w:val="sr-Latn-BA"/>
        </w:rPr>
        <w:t xml:space="preserve"> </w:t>
      </w:r>
      <w:r w:rsidRPr="001B53A8">
        <w:rPr>
          <w:lang w:val="sr-Latn-BA"/>
        </w:rPr>
        <w:t>za</w:t>
      </w:r>
      <w:r w:rsidR="007E2F40" w:rsidRPr="001B53A8">
        <w:rPr>
          <w:lang w:val="sr-Latn-BA"/>
        </w:rPr>
        <w:t xml:space="preserve"> </w:t>
      </w:r>
      <w:r w:rsidRPr="001B53A8">
        <w:rPr>
          <w:lang w:val="sr-Latn-BA"/>
        </w:rPr>
        <w:t>pojedine</w:t>
      </w:r>
      <w:r w:rsidR="007E2F40" w:rsidRPr="001B53A8">
        <w:rPr>
          <w:lang w:val="sr-Latn-BA"/>
        </w:rPr>
        <w:t xml:space="preserve"> </w:t>
      </w:r>
      <w:r w:rsidRPr="001B53A8">
        <w:rPr>
          <w:lang w:val="sr-Latn-BA"/>
        </w:rPr>
        <w:t>emitente</w:t>
      </w:r>
      <w:r w:rsidR="007E2F40" w:rsidRPr="001B53A8">
        <w:rPr>
          <w:lang w:val="sr-Latn-BA"/>
        </w:rPr>
        <w:t xml:space="preserve"> </w:t>
      </w:r>
      <w:r w:rsidRPr="001B53A8">
        <w:rPr>
          <w:lang w:val="sr-Latn-BA"/>
        </w:rPr>
        <w:t>relativno</w:t>
      </w:r>
      <w:r w:rsidR="007E2F40" w:rsidRPr="001B53A8">
        <w:rPr>
          <w:lang w:val="sr-Latn-BA"/>
        </w:rPr>
        <w:t xml:space="preserve"> </w:t>
      </w:r>
      <w:r w:rsidRPr="001B53A8">
        <w:rPr>
          <w:lang w:val="sr-Latn-BA"/>
        </w:rPr>
        <w:t>mali</w:t>
      </w:r>
      <w:r w:rsidR="007E2F40" w:rsidRPr="001B53A8">
        <w:rPr>
          <w:lang w:val="sr-Latn-BA"/>
        </w:rPr>
        <w:t xml:space="preserve">, </w:t>
      </w:r>
      <w:r w:rsidRPr="001B53A8">
        <w:rPr>
          <w:lang w:val="sr-Latn-BA"/>
        </w:rPr>
        <w:t>često</w:t>
      </w:r>
      <w:r w:rsidR="007E2F40" w:rsidRPr="001B53A8">
        <w:rPr>
          <w:lang w:val="sr-Latn-BA"/>
        </w:rPr>
        <w:t xml:space="preserve"> </w:t>
      </w:r>
      <w:r w:rsidRPr="001B53A8">
        <w:rPr>
          <w:lang w:val="sr-Latn-BA"/>
        </w:rPr>
        <w:t>sveden</w:t>
      </w:r>
      <w:r w:rsidR="007E2F40" w:rsidRPr="001B53A8">
        <w:rPr>
          <w:lang w:val="sr-Latn-BA"/>
        </w:rPr>
        <w:t xml:space="preserve"> </w:t>
      </w:r>
      <w:r w:rsidRPr="001B53A8">
        <w:rPr>
          <w:lang w:val="sr-Latn-BA"/>
        </w:rPr>
        <w:t>samo</w:t>
      </w:r>
      <w:r w:rsidR="007E2F40" w:rsidRPr="001B53A8">
        <w:rPr>
          <w:lang w:val="sr-Latn-BA"/>
        </w:rPr>
        <w:t xml:space="preserve"> </w:t>
      </w:r>
      <w:r w:rsidRPr="001B53A8">
        <w:rPr>
          <w:lang w:val="sr-Latn-BA"/>
        </w:rPr>
        <w:t>na</w:t>
      </w:r>
      <w:r w:rsidR="007E2F40" w:rsidRPr="001B53A8">
        <w:rPr>
          <w:lang w:val="sr-Latn-BA"/>
        </w:rPr>
        <w:t xml:space="preserve"> </w:t>
      </w:r>
      <w:r w:rsidRPr="001B53A8">
        <w:rPr>
          <w:lang w:val="sr-Latn-BA"/>
        </w:rPr>
        <w:t>jednog</w:t>
      </w:r>
      <w:r w:rsidR="007E2F40" w:rsidRPr="001B53A8">
        <w:rPr>
          <w:lang w:val="sr-Latn-BA"/>
        </w:rPr>
        <w:t xml:space="preserve"> </w:t>
      </w:r>
      <w:r w:rsidRPr="001B53A8">
        <w:rPr>
          <w:lang w:val="sr-Latn-BA"/>
        </w:rPr>
        <w:t>kupca</w:t>
      </w:r>
      <w:r w:rsidR="007E2F40" w:rsidRPr="001B53A8">
        <w:rPr>
          <w:lang w:val="sr-Latn-BA"/>
        </w:rPr>
        <w:t>.</w:t>
      </w:r>
    </w:p>
    <w:p w14:paraId="3E60535F" w14:textId="20238167" w:rsidR="007E2F40" w:rsidRPr="001B53A8" w:rsidRDefault="00003F34" w:rsidP="007E2F40">
      <w:pPr>
        <w:spacing w:after="0" w:line="240" w:lineRule="auto"/>
        <w:ind w:firstLine="567"/>
        <w:rPr>
          <w:lang w:val="sr-Latn-BA"/>
        </w:rPr>
      </w:pPr>
      <w:r w:rsidRPr="001B53A8">
        <w:rPr>
          <w:lang w:val="sr-Latn-BA"/>
        </w:rPr>
        <w:t>Otvorena</w:t>
      </w:r>
      <w:r w:rsidR="004353DF" w:rsidRPr="001B53A8">
        <w:rPr>
          <w:lang w:val="sr-Latn-BA"/>
        </w:rPr>
        <w:t xml:space="preserve"> </w:t>
      </w:r>
      <w:r w:rsidRPr="001B53A8">
        <w:rPr>
          <w:lang w:val="sr-Latn-BA"/>
        </w:rPr>
        <w:t>akcionarska</w:t>
      </w:r>
      <w:r w:rsidR="004353DF" w:rsidRPr="001B53A8">
        <w:rPr>
          <w:lang w:val="sr-Latn-BA"/>
        </w:rPr>
        <w:t xml:space="preserve"> </w:t>
      </w:r>
      <w:r w:rsidRPr="001B53A8">
        <w:rPr>
          <w:lang w:val="sr-Latn-BA"/>
        </w:rPr>
        <w:t>društva</w:t>
      </w:r>
      <w:r w:rsidR="004353DF" w:rsidRPr="001B53A8">
        <w:rPr>
          <w:rStyle w:val="FootnoteReference"/>
          <w:lang w:val="sr-Latn-BA"/>
        </w:rPr>
        <w:footnoteReference w:id="8"/>
      </w:r>
      <w:r w:rsidR="004353DF" w:rsidRPr="001B53A8">
        <w:rPr>
          <w:lang w:val="sr-Latn-BA"/>
        </w:rPr>
        <w:t xml:space="preserve"> </w:t>
      </w:r>
      <w:r w:rsidRPr="001B53A8">
        <w:rPr>
          <w:lang w:val="sr-Latn-BA"/>
        </w:rPr>
        <w:t>su</w:t>
      </w:r>
      <w:r w:rsidR="004353DF" w:rsidRPr="001B53A8">
        <w:rPr>
          <w:lang w:val="sr-Latn-BA"/>
        </w:rPr>
        <w:t xml:space="preserve"> </w:t>
      </w:r>
      <w:r w:rsidRPr="001B53A8">
        <w:rPr>
          <w:lang w:val="sr-Latn-BA"/>
        </w:rPr>
        <w:t>sadašnji</w:t>
      </w:r>
      <w:r w:rsidR="004353DF" w:rsidRPr="001B53A8">
        <w:rPr>
          <w:lang w:val="sr-Latn-BA"/>
        </w:rPr>
        <w:t xml:space="preserve"> </w:t>
      </w:r>
      <w:r w:rsidRPr="001B53A8">
        <w:rPr>
          <w:lang w:val="sr-Latn-BA"/>
        </w:rPr>
        <w:t>pravni</w:t>
      </w:r>
      <w:r w:rsidR="004353DF" w:rsidRPr="001B53A8">
        <w:rPr>
          <w:lang w:val="sr-Latn-BA"/>
        </w:rPr>
        <w:t xml:space="preserve"> </w:t>
      </w:r>
      <w:r w:rsidRPr="001B53A8">
        <w:rPr>
          <w:lang w:val="sr-Latn-BA"/>
        </w:rPr>
        <w:t>status</w:t>
      </w:r>
      <w:r w:rsidR="004353DF" w:rsidRPr="001B53A8">
        <w:rPr>
          <w:lang w:val="sr-Latn-BA"/>
        </w:rPr>
        <w:t xml:space="preserve"> </w:t>
      </w:r>
      <w:r w:rsidRPr="001B53A8">
        <w:rPr>
          <w:lang w:val="sr-Latn-BA"/>
        </w:rPr>
        <w:t>stekla</w:t>
      </w:r>
      <w:r w:rsidR="004353DF" w:rsidRPr="001B53A8">
        <w:rPr>
          <w:lang w:val="sr-Latn-BA"/>
        </w:rPr>
        <w:t xml:space="preserve"> </w:t>
      </w:r>
      <w:r w:rsidRPr="001B53A8">
        <w:rPr>
          <w:lang w:val="sr-Latn-BA"/>
        </w:rPr>
        <w:t>u</w:t>
      </w:r>
      <w:r w:rsidR="004353DF" w:rsidRPr="001B53A8">
        <w:rPr>
          <w:lang w:val="sr-Latn-BA"/>
        </w:rPr>
        <w:t xml:space="preserve"> </w:t>
      </w:r>
      <w:r w:rsidRPr="001B53A8">
        <w:rPr>
          <w:lang w:val="sr-Latn-BA"/>
        </w:rPr>
        <w:t>procesu</w:t>
      </w:r>
      <w:r w:rsidR="004353DF" w:rsidRPr="001B53A8">
        <w:rPr>
          <w:lang w:val="sr-Latn-BA"/>
        </w:rPr>
        <w:t xml:space="preserve"> </w:t>
      </w:r>
      <w:r w:rsidRPr="001B53A8">
        <w:rPr>
          <w:lang w:val="sr-Latn-BA"/>
        </w:rPr>
        <w:t>privatizacije</w:t>
      </w:r>
      <w:r w:rsidR="004353DF" w:rsidRPr="001B53A8">
        <w:rPr>
          <w:lang w:val="sr-Latn-BA"/>
        </w:rPr>
        <w:t xml:space="preserve">. </w:t>
      </w:r>
      <w:r w:rsidRPr="001B53A8">
        <w:rPr>
          <w:lang w:val="sr-Latn-BA"/>
        </w:rPr>
        <w:t>Relativno</w:t>
      </w:r>
      <w:r w:rsidR="004353DF" w:rsidRPr="001B53A8">
        <w:rPr>
          <w:lang w:val="sr-Latn-BA"/>
        </w:rPr>
        <w:t xml:space="preserve"> </w:t>
      </w:r>
      <w:r w:rsidRPr="001B53A8">
        <w:rPr>
          <w:lang w:val="sr-Latn-BA"/>
        </w:rPr>
        <w:t>velika</w:t>
      </w:r>
      <w:r w:rsidR="004353DF" w:rsidRPr="001B53A8">
        <w:rPr>
          <w:lang w:val="sr-Latn-BA"/>
        </w:rPr>
        <w:t xml:space="preserve"> </w:t>
      </w:r>
      <w:r w:rsidRPr="001B53A8">
        <w:rPr>
          <w:lang w:val="sr-Latn-BA"/>
        </w:rPr>
        <w:t>disperzija</w:t>
      </w:r>
      <w:r w:rsidR="004353DF" w:rsidRPr="001B53A8">
        <w:rPr>
          <w:lang w:val="sr-Latn-BA"/>
        </w:rPr>
        <w:t xml:space="preserve"> </w:t>
      </w:r>
      <w:r w:rsidRPr="001B53A8">
        <w:rPr>
          <w:lang w:val="sr-Latn-BA"/>
        </w:rPr>
        <w:t>vlasništva</w:t>
      </w:r>
      <w:r w:rsidR="004353DF" w:rsidRPr="001B53A8">
        <w:rPr>
          <w:lang w:val="sr-Latn-BA"/>
        </w:rPr>
        <w:t xml:space="preserve">, </w:t>
      </w:r>
      <w:r w:rsidRPr="001B53A8">
        <w:rPr>
          <w:lang w:val="sr-Latn-BA"/>
        </w:rPr>
        <w:t>uzrokovana</w:t>
      </w:r>
      <w:r w:rsidR="004353DF" w:rsidRPr="001B53A8">
        <w:rPr>
          <w:lang w:val="sr-Latn-BA"/>
        </w:rPr>
        <w:t xml:space="preserve"> </w:t>
      </w:r>
      <w:r w:rsidRPr="001B53A8">
        <w:rPr>
          <w:lang w:val="sr-Latn-BA"/>
        </w:rPr>
        <w:t>masovnom</w:t>
      </w:r>
      <w:r w:rsidR="004353DF" w:rsidRPr="001B53A8">
        <w:rPr>
          <w:lang w:val="sr-Latn-BA"/>
        </w:rPr>
        <w:t xml:space="preserve"> </w:t>
      </w:r>
      <w:r w:rsidRPr="001B53A8">
        <w:rPr>
          <w:lang w:val="sr-Latn-BA"/>
        </w:rPr>
        <w:t>vaučerskom</w:t>
      </w:r>
      <w:r w:rsidR="004353DF" w:rsidRPr="001B53A8">
        <w:rPr>
          <w:lang w:val="sr-Latn-BA"/>
        </w:rPr>
        <w:t xml:space="preserve"> </w:t>
      </w:r>
      <w:r w:rsidRPr="001B53A8">
        <w:rPr>
          <w:lang w:val="sr-Latn-BA"/>
        </w:rPr>
        <w:t>privatizacijom</w:t>
      </w:r>
      <w:r w:rsidR="004353DF" w:rsidRPr="001B53A8">
        <w:rPr>
          <w:lang w:val="sr-Latn-BA"/>
        </w:rPr>
        <w:t xml:space="preserve">, </w:t>
      </w:r>
      <w:r w:rsidRPr="001B53A8">
        <w:rPr>
          <w:lang w:val="sr-Latn-BA"/>
        </w:rPr>
        <w:t>čak</w:t>
      </w:r>
      <w:r w:rsidR="004353DF" w:rsidRPr="001B53A8">
        <w:rPr>
          <w:lang w:val="sr-Latn-BA"/>
        </w:rPr>
        <w:t xml:space="preserve"> </w:t>
      </w:r>
      <w:r w:rsidRPr="001B53A8">
        <w:rPr>
          <w:lang w:val="sr-Latn-BA"/>
        </w:rPr>
        <w:t>i</w:t>
      </w:r>
      <w:r w:rsidR="004353DF" w:rsidRPr="001B53A8">
        <w:rPr>
          <w:lang w:val="sr-Latn-BA"/>
        </w:rPr>
        <w:t xml:space="preserve"> </w:t>
      </w:r>
      <w:r w:rsidRPr="001B53A8">
        <w:rPr>
          <w:lang w:val="sr-Latn-BA"/>
        </w:rPr>
        <w:t>u</w:t>
      </w:r>
      <w:r w:rsidR="004353DF" w:rsidRPr="001B53A8">
        <w:rPr>
          <w:lang w:val="sr-Latn-BA"/>
        </w:rPr>
        <w:t xml:space="preserve"> </w:t>
      </w:r>
      <w:r w:rsidRPr="001B53A8">
        <w:rPr>
          <w:lang w:val="sr-Latn-BA"/>
        </w:rPr>
        <w:t>malim</w:t>
      </w:r>
      <w:r w:rsidR="004353DF" w:rsidRPr="001B53A8">
        <w:rPr>
          <w:lang w:val="sr-Latn-BA"/>
        </w:rPr>
        <w:t xml:space="preserve"> </w:t>
      </w:r>
      <w:r w:rsidRPr="001B53A8">
        <w:rPr>
          <w:lang w:val="sr-Latn-BA"/>
        </w:rPr>
        <w:t>preduzećima</w:t>
      </w:r>
      <w:r w:rsidR="004353DF" w:rsidRPr="001B53A8">
        <w:rPr>
          <w:lang w:val="sr-Latn-BA"/>
        </w:rPr>
        <w:t xml:space="preserve"> (</w:t>
      </w:r>
      <w:r w:rsidRPr="001B53A8">
        <w:rPr>
          <w:lang w:val="sr-Latn-BA"/>
        </w:rPr>
        <w:t>posmatrano</w:t>
      </w:r>
      <w:r w:rsidR="004353DF" w:rsidRPr="001B53A8">
        <w:rPr>
          <w:lang w:val="sr-Latn-BA"/>
        </w:rPr>
        <w:t xml:space="preserve"> </w:t>
      </w:r>
      <w:r w:rsidRPr="001B53A8">
        <w:rPr>
          <w:lang w:val="sr-Latn-BA"/>
        </w:rPr>
        <w:t>sa</w:t>
      </w:r>
      <w:r w:rsidR="004353DF" w:rsidRPr="001B53A8">
        <w:rPr>
          <w:lang w:val="sr-Latn-BA"/>
        </w:rPr>
        <w:t xml:space="preserve"> </w:t>
      </w:r>
      <w:r w:rsidRPr="001B53A8">
        <w:rPr>
          <w:lang w:val="sr-Latn-BA"/>
        </w:rPr>
        <w:t>aspekta</w:t>
      </w:r>
      <w:r w:rsidR="004353DF" w:rsidRPr="001B53A8">
        <w:rPr>
          <w:lang w:val="sr-Latn-BA"/>
        </w:rPr>
        <w:t xml:space="preserve"> </w:t>
      </w:r>
      <w:r w:rsidRPr="001B53A8">
        <w:rPr>
          <w:lang w:val="sr-Latn-BA"/>
        </w:rPr>
        <w:t>veličine</w:t>
      </w:r>
      <w:r w:rsidR="004353DF" w:rsidRPr="001B53A8">
        <w:rPr>
          <w:lang w:val="sr-Latn-BA"/>
        </w:rPr>
        <w:t xml:space="preserve"> </w:t>
      </w:r>
      <w:r w:rsidRPr="001B53A8">
        <w:rPr>
          <w:lang w:val="sr-Latn-BA"/>
        </w:rPr>
        <w:t>kapitala</w:t>
      </w:r>
      <w:r w:rsidR="004353DF" w:rsidRPr="001B53A8">
        <w:rPr>
          <w:lang w:val="sr-Latn-BA"/>
        </w:rPr>
        <w:t xml:space="preserve">) </w:t>
      </w:r>
      <w:r w:rsidRPr="001B53A8">
        <w:rPr>
          <w:lang w:val="sr-Latn-BA"/>
        </w:rPr>
        <w:t>imala</w:t>
      </w:r>
      <w:r w:rsidR="004353DF" w:rsidRPr="001B53A8">
        <w:rPr>
          <w:lang w:val="sr-Latn-BA"/>
        </w:rPr>
        <w:t xml:space="preserve"> </w:t>
      </w:r>
      <w:r w:rsidRPr="001B53A8">
        <w:rPr>
          <w:lang w:val="sr-Latn-BA"/>
        </w:rPr>
        <w:t>je</w:t>
      </w:r>
      <w:r w:rsidR="004353DF" w:rsidRPr="001B53A8">
        <w:rPr>
          <w:lang w:val="sr-Latn-BA"/>
        </w:rPr>
        <w:t xml:space="preserve"> </w:t>
      </w:r>
      <w:r w:rsidRPr="001B53A8">
        <w:rPr>
          <w:lang w:val="sr-Latn-BA"/>
        </w:rPr>
        <w:t>za</w:t>
      </w:r>
      <w:r w:rsidR="004353DF" w:rsidRPr="001B53A8">
        <w:rPr>
          <w:lang w:val="sr-Latn-BA"/>
        </w:rPr>
        <w:t xml:space="preserve"> </w:t>
      </w:r>
      <w:r w:rsidRPr="001B53A8">
        <w:rPr>
          <w:lang w:val="sr-Latn-BA"/>
        </w:rPr>
        <w:t>poslјedicu</w:t>
      </w:r>
      <w:r w:rsidR="004353DF" w:rsidRPr="001B53A8">
        <w:rPr>
          <w:lang w:val="sr-Latn-BA"/>
        </w:rPr>
        <w:t xml:space="preserve"> </w:t>
      </w:r>
      <w:r w:rsidRPr="001B53A8">
        <w:rPr>
          <w:lang w:val="sr-Latn-BA"/>
        </w:rPr>
        <w:t>veći</w:t>
      </w:r>
      <w:r w:rsidR="004353DF" w:rsidRPr="001B53A8">
        <w:rPr>
          <w:lang w:val="sr-Latn-BA"/>
        </w:rPr>
        <w:t xml:space="preserve"> </w:t>
      </w:r>
      <w:r w:rsidRPr="001B53A8">
        <w:rPr>
          <w:lang w:val="sr-Latn-BA"/>
        </w:rPr>
        <w:t>broj</w:t>
      </w:r>
      <w:r w:rsidR="004353DF" w:rsidRPr="001B53A8">
        <w:rPr>
          <w:lang w:val="sr-Latn-BA"/>
        </w:rPr>
        <w:t xml:space="preserve"> </w:t>
      </w:r>
      <w:r w:rsidRPr="001B53A8">
        <w:rPr>
          <w:lang w:val="sr-Latn-BA"/>
        </w:rPr>
        <w:t>preuzimanja</w:t>
      </w:r>
      <w:r w:rsidR="004353DF" w:rsidRPr="001B53A8">
        <w:rPr>
          <w:lang w:val="sr-Latn-BA"/>
        </w:rPr>
        <w:t xml:space="preserve"> </w:t>
      </w:r>
      <w:r w:rsidRPr="001B53A8">
        <w:rPr>
          <w:lang w:val="sr-Latn-BA"/>
        </w:rPr>
        <w:t>u</w:t>
      </w:r>
      <w:r w:rsidR="004353DF" w:rsidRPr="001B53A8">
        <w:rPr>
          <w:lang w:val="sr-Latn-BA"/>
        </w:rPr>
        <w:t xml:space="preserve"> </w:t>
      </w:r>
      <w:r w:rsidRPr="001B53A8">
        <w:rPr>
          <w:lang w:val="sr-Latn-BA"/>
        </w:rPr>
        <w:t>ranijim</w:t>
      </w:r>
      <w:r w:rsidR="004353DF" w:rsidRPr="001B53A8">
        <w:rPr>
          <w:lang w:val="sr-Latn-BA"/>
        </w:rPr>
        <w:t xml:space="preserve"> </w:t>
      </w:r>
      <w:r w:rsidRPr="001B53A8">
        <w:rPr>
          <w:lang w:val="sr-Latn-BA"/>
        </w:rPr>
        <w:t>izvještajnim</w:t>
      </w:r>
      <w:r w:rsidR="004353DF" w:rsidRPr="001B53A8">
        <w:rPr>
          <w:lang w:val="sr-Latn-BA"/>
        </w:rPr>
        <w:t xml:space="preserve"> </w:t>
      </w:r>
      <w:r w:rsidRPr="001B53A8">
        <w:rPr>
          <w:lang w:val="sr-Latn-BA"/>
        </w:rPr>
        <w:t>periodima</w:t>
      </w:r>
      <w:r w:rsidR="004353DF" w:rsidRPr="001B53A8">
        <w:rPr>
          <w:lang w:val="sr-Latn-BA"/>
        </w:rPr>
        <w:t xml:space="preserve">. </w:t>
      </w:r>
      <w:r w:rsidRPr="001B53A8">
        <w:rPr>
          <w:lang w:val="sr-Latn-BA"/>
        </w:rPr>
        <w:t>Ipak</w:t>
      </w:r>
      <w:r w:rsidR="004353DF" w:rsidRPr="001B53A8">
        <w:rPr>
          <w:lang w:val="sr-Latn-BA"/>
        </w:rPr>
        <w:t xml:space="preserve">, </w:t>
      </w:r>
      <w:r w:rsidRPr="001B53A8">
        <w:rPr>
          <w:lang w:val="sr-Latn-BA"/>
        </w:rPr>
        <w:t>tokom</w:t>
      </w:r>
      <w:r w:rsidR="004353DF" w:rsidRPr="001B53A8">
        <w:rPr>
          <w:lang w:val="sr-Latn-BA"/>
        </w:rPr>
        <w:t xml:space="preserve"> </w:t>
      </w:r>
      <w:r w:rsidRPr="001B53A8">
        <w:rPr>
          <w:lang w:val="sr-Latn-BA"/>
        </w:rPr>
        <w:t>poslјednjih</w:t>
      </w:r>
      <w:r w:rsidR="004353DF" w:rsidRPr="001B53A8">
        <w:rPr>
          <w:lang w:val="sr-Latn-BA"/>
        </w:rPr>
        <w:t xml:space="preserve"> </w:t>
      </w:r>
      <w:r w:rsidRPr="001B53A8">
        <w:rPr>
          <w:lang w:val="sr-Latn-BA"/>
        </w:rPr>
        <w:t>godina</w:t>
      </w:r>
      <w:r w:rsidR="004353DF" w:rsidRPr="001B53A8">
        <w:rPr>
          <w:lang w:val="sr-Latn-BA"/>
        </w:rPr>
        <w:t xml:space="preserve"> </w:t>
      </w:r>
      <w:r w:rsidRPr="001B53A8">
        <w:rPr>
          <w:lang w:val="sr-Latn-BA"/>
        </w:rPr>
        <w:t>primjetan</w:t>
      </w:r>
      <w:r w:rsidR="004353DF" w:rsidRPr="001B53A8">
        <w:rPr>
          <w:lang w:val="sr-Latn-BA"/>
        </w:rPr>
        <w:t xml:space="preserve"> </w:t>
      </w:r>
      <w:r w:rsidRPr="001B53A8">
        <w:rPr>
          <w:lang w:val="sr-Latn-BA"/>
        </w:rPr>
        <w:t>je</w:t>
      </w:r>
      <w:r w:rsidR="004353DF" w:rsidRPr="001B53A8">
        <w:rPr>
          <w:lang w:val="sr-Latn-BA"/>
        </w:rPr>
        <w:t xml:space="preserve"> </w:t>
      </w:r>
      <w:r w:rsidRPr="001B53A8">
        <w:rPr>
          <w:lang w:val="sr-Latn-BA"/>
        </w:rPr>
        <w:t>očekivani</w:t>
      </w:r>
      <w:r w:rsidR="004353DF" w:rsidRPr="001B53A8">
        <w:rPr>
          <w:lang w:val="sr-Latn-BA"/>
        </w:rPr>
        <w:t xml:space="preserve"> </w:t>
      </w:r>
      <w:r w:rsidRPr="001B53A8">
        <w:rPr>
          <w:lang w:val="sr-Latn-BA"/>
        </w:rPr>
        <w:t>trend</w:t>
      </w:r>
      <w:r w:rsidR="004353DF" w:rsidRPr="001B53A8">
        <w:rPr>
          <w:lang w:val="sr-Latn-BA"/>
        </w:rPr>
        <w:t xml:space="preserve"> </w:t>
      </w:r>
      <w:r w:rsidRPr="001B53A8">
        <w:rPr>
          <w:lang w:val="sr-Latn-BA"/>
        </w:rPr>
        <w:t>smanjenja</w:t>
      </w:r>
      <w:r w:rsidR="004353DF" w:rsidRPr="001B53A8">
        <w:rPr>
          <w:lang w:val="sr-Latn-BA"/>
        </w:rPr>
        <w:t xml:space="preserve"> </w:t>
      </w:r>
      <w:r w:rsidRPr="001B53A8">
        <w:rPr>
          <w:lang w:val="sr-Latn-BA"/>
        </w:rPr>
        <w:t>ovih</w:t>
      </w:r>
      <w:r w:rsidR="004353DF" w:rsidRPr="001B53A8">
        <w:rPr>
          <w:lang w:val="sr-Latn-BA"/>
        </w:rPr>
        <w:t xml:space="preserve"> </w:t>
      </w:r>
      <w:r w:rsidRPr="001B53A8">
        <w:rPr>
          <w:lang w:val="sr-Latn-BA"/>
        </w:rPr>
        <w:t>postupaka</w:t>
      </w:r>
      <w:r w:rsidR="004353DF" w:rsidRPr="001B53A8">
        <w:rPr>
          <w:lang w:val="sr-Latn-BA"/>
        </w:rPr>
        <w:t xml:space="preserve">, </w:t>
      </w:r>
      <w:r w:rsidRPr="001B53A8">
        <w:rPr>
          <w:lang w:val="sr-Latn-BA"/>
        </w:rPr>
        <w:t>jer</w:t>
      </w:r>
      <w:r w:rsidR="004353DF" w:rsidRPr="001B53A8">
        <w:rPr>
          <w:lang w:val="sr-Latn-BA"/>
        </w:rPr>
        <w:t xml:space="preserve"> </w:t>
      </w:r>
      <w:r w:rsidRPr="001B53A8">
        <w:rPr>
          <w:lang w:val="sr-Latn-BA"/>
        </w:rPr>
        <w:t>je</w:t>
      </w:r>
      <w:r w:rsidR="004353DF" w:rsidRPr="001B53A8">
        <w:rPr>
          <w:lang w:val="sr-Latn-BA"/>
        </w:rPr>
        <w:t xml:space="preserve"> </w:t>
      </w:r>
      <w:r w:rsidRPr="001B53A8">
        <w:rPr>
          <w:lang w:val="sr-Latn-BA"/>
        </w:rPr>
        <w:t>konsolidacija</w:t>
      </w:r>
      <w:r w:rsidR="004353DF" w:rsidRPr="001B53A8">
        <w:rPr>
          <w:lang w:val="sr-Latn-BA"/>
        </w:rPr>
        <w:t xml:space="preserve"> </w:t>
      </w:r>
      <w:r w:rsidRPr="001B53A8">
        <w:rPr>
          <w:lang w:val="sr-Latn-BA"/>
        </w:rPr>
        <w:t>vlasništva</w:t>
      </w:r>
      <w:r w:rsidR="004353DF" w:rsidRPr="001B53A8">
        <w:rPr>
          <w:lang w:val="sr-Latn-BA"/>
        </w:rPr>
        <w:t xml:space="preserve"> </w:t>
      </w:r>
      <w:r w:rsidRPr="001B53A8">
        <w:rPr>
          <w:lang w:val="sr-Latn-BA"/>
        </w:rPr>
        <w:t>u</w:t>
      </w:r>
      <w:r w:rsidR="004353DF" w:rsidRPr="001B53A8">
        <w:rPr>
          <w:lang w:val="sr-Latn-BA"/>
        </w:rPr>
        <w:t xml:space="preserve"> </w:t>
      </w:r>
      <w:r w:rsidRPr="001B53A8">
        <w:rPr>
          <w:lang w:val="sr-Latn-BA"/>
        </w:rPr>
        <w:t>najvećem</w:t>
      </w:r>
      <w:r w:rsidR="004353DF" w:rsidRPr="001B53A8">
        <w:rPr>
          <w:lang w:val="sr-Latn-BA"/>
        </w:rPr>
        <w:t xml:space="preserve"> </w:t>
      </w:r>
      <w:r w:rsidRPr="001B53A8">
        <w:rPr>
          <w:lang w:val="sr-Latn-BA"/>
        </w:rPr>
        <w:t>broju</w:t>
      </w:r>
      <w:r w:rsidR="004353DF" w:rsidRPr="001B53A8">
        <w:rPr>
          <w:lang w:val="sr-Latn-BA"/>
        </w:rPr>
        <w:t xml:space="preserve"> </w:t>
      </w:r>
      <w:r w:rsidRPr="001B53A8">
        <w:rPr>
          <w:lang w:val="sr-Latn-BA"/>
        </w:rPr>
        <w:t>emitenata</w:t>
      </w:r>
      <w:r w:rsidR="004353DF" w:rsidRPr="001B53A8">
        <w:rPr>
          <w:lang w:val="sr-Latn-BA"/>
        </w:rPr>
        <w:t xml:space="preserve"> </w:t>
      </w:r>
      <w:r w:rsidRPr="001B53A8">
        <w:rPr>
          <w:lang w:val="sr-Latn-BA"/>
        </w:rPr>
        <w:t>završena</w:t>
      </w:r>
      <w:r w:rsidR="004353DF" w:rsidRPr="001B53A8">
        <w:rPr>
          <w:lang w:val="sr-Latn-BA"/>
        </w:rPr>
        <w:t xml:space="preserve">, </w:t>
      </w:r>
      <w:r w:rsidRPr="001B53A8">
        <w:rPr>
          <w:lang w:val="sr-Latn-BA"/>
        </w:rPr>
        <w:t>a</w:t>
      </w:r>
      <w:r w:rsidR="004353DF" w:rsidRPr="001B53A8">
        <w:rPr>
          <w:lang w:val="sr-Latn-BA"/>
        </w:rPr>
        <w:t xml:space="preserve"> </w:t>
      </w:r>
      <w:r w:rsidRPr="001B53A8">
        <w:rPr>
          <w:lang w:val="sr-Latn-BA"/>
        </w:rPr>
        <w:t>postupci</w:t>
      </w:r>
      <w:r w:rsidR="004353DF" w:rsidRPr="001B53A8">
        <w:rPr>
          <w:lang w:val="sr-Latn-BA"/>
        </w:rPr>
        <w:t xml:space="preserve"> </w:t>
      </w:r>
      <w:r w:rsidRPr="001B53A8">
        <w:rPr>
          <w:lang w:val="sr-Latn-BA"/>
        </w:rPr>
        <w:t>preuzimanja</w:t>
      </w:r>
      <w:r w:rsidR="004353DF" w:rsidRPr="001B53A8">
        <w:rPr>
          <w:lang w:val="sr-Latn-BA"/>
        </w:rPr>
        <w:t xml:space="preserve"> </w:t>
      </w:r>
      <w:r w:rsidRPr="001B53A8">
        <w:rPr>
          <w:lang w:val="sr-Latn-BA"/>
        </w:rPr>
        <w:t>se</w:t>
      </w:r>
      <w:r w:rsidR="004353DF" w:rsidRPr="001B53A8">
        <w:rPr>
          <w:lang w:val="sr-Latn-BA"/>
        </w:rPr>
        <w:t xml:space="preserve"> </w:t>
      </w:r>
      <w:r w:rsidRPr="001B53A8">
        <w:rPr>
          <w:lang w:val="sr-Latn-BA"/>
        </w:rPr>
        <w:t>obavlјaju</w:t>
      </w:r>
      <w:r w:rsidR="004353DF" w:rsidRPr="001B53A8">
        <w:rPr>
          <w:lang w:val="sr-Latn-BA"/>
        </w:rPr>
        <w:t xml:space="preserve"> </w:t>
      </w:r>
      <w:r w:rsidRPr="001B53A8">
        <w:rPr>
          <w:lang w:val="sr-Latn-BA"/>
        </w:rPr>
        <w:t>samo</w:t>
      </w:r>
      <w:r w:rsidR="004353DF" w:rsidRPr="001B53A8">
        <w:rPr>
          <w:lang w:val="sr-Latn-BA"/>
        </w:rPr>
        <w:t xml:space="preserve"> </w:t>
      </w:r>
      <w:r w:rsidRPr="001B53A8">
        <w:rPr>
          <w:lang w:val="sr-Latn-BA"/>
        </w:rPr>
        <w:t>da</w:t>
      </w:r>
      <w:r w:rsidR="004353DF" w:rsidRPr="001B53A8">
        <w:rPr>
          <w:lang w:val="sr-Latn-BA"/>
        </w:rPr>
        <w:t xml:space="preserve"> </w:t>
      </w:r>
      <w:r w:rsidRPr="001B53A8">
        <w:rPr>
          <w:lang w:val="sr-Latn-BA"/>
        </w:rPr>
        <w:t>bi</w:t>
      </w:r>
      <w:r w:rsidR="004353DF" w:rsidRPr="001B53A8">
        <w:rPr>
          <w:lang w:val="sr-Latn-BA"/>
        </w:rPr>
        <w:t xml:space="preserve"> </w:t>
      </w:r>
      <w:r w:rsidRPr="001B53A8">
        <w:rPr>
          <w:lang w:val="sr-Latn-BA"/>
        </w:rPr>
        <w:t>se</w:t>
      </w:r>
      <w:r w:rsidR="004353DF" w:rsidRPr="001B53A8">
        <w:rPr>
          <w:lang w:val="sr-Latn-BA"/>
        </w:rPr>
        <w:t xml:space="preserve"> </w:t>
      </w:r>
      <w:r w:rsidRPr="001B53A8">
        <w:rPr>
          <w:lang w:val="sr-Latn-BA"/>
        </w:rPr>
        <w:t>prešao</w:t>
      </w:r>
      <w:r w:rsidR="004353DF" w:rsidRPr="001B53A8">
        <w:rPr>
          <w:lang w:val="sr-Latn-BA"/>
        </w:rPr>
        <w:t xml:space="preserve"> „</w:t>
      </w:r>
      <w:r w:rsidRPr="001B53A8">
        <w:rPr>
          <w:lang w:val="sr-Latn-BA"/>
        </w:rPr>
        <w:t>prag</w:t>
      </w:r>
      <w:r w:rsidR="004353DF" w:rsidRPr="001B53A8">
        <w:rPr>
          <w:lang w:val="sr-Latn-BA"/>
        </w:rPr>
        <w:t xml:space="preserve">“ </w:t>
      </w:r>
      <w:r w:rsidRPr="001B53A8">
        <w:rPr>
          <w:lang w:val="sr-Latn-BA"/>
        </w:rPr>
        <w:t>od</w:t>
      </w:r>
      <w:r w:rsidR="004353DF" w:rsidRPr="001B53A8">
        <w:rPr>
          <w:lang w:val="sr-Latn-BA"/>
        </w:rPr>
        <w:t xml:space="preserve"> 90%, </w:t>
      </w:r>
      <w:r w:rsidRPr="001B53A8">
        <w:rPr>
          <w:lang w:val="sr-Latn-BA"/>
        </w:rPr>
        <w:t>što</w:t>
      </w:r>
      <w:r w:rsidR="004353DF" w:rsidRPr="001B53A8">
        <w:rPr>
          <w:lang w:val="sr-Latn-BA"/>
        </w:rPr>
        <w:t xml:space="preserve"> </w:t>
      </w:r>
      <w:r w:rsidRPr="001B53A8">
        <w:rPr>
          <w:lang w:val="sr-Latn-BA"/>
        </w:rPr>
        <w:t>bi</w:t>
      </w:r>
      <w:r w:rsidR="004353DF" w:rsidRPr="001B53A8">
        <w:rPr>
          <w:lang w:val="sr-Latn-BA"/>
        </w:rPr>
        <w:t xml:space="preserve"> </w:t>
      </w:r>
      <w:r w:rsidRPr="001B53A8">
        <w:rPr>
          <w:lang w:val="sr-Latn-BA"/>
        </w:rPr>
        <w:t>omogućilo</w:t>
      </w:r>
      <w:r w:rsidR="004353DF" w:rsidRPr="001B53A8">
        <w:rPr>
          <w:lang w:val="sr-Latn-BA"/>
        </w:rPr>
        <w:t xml:space="preserve"> </w:t>
      </w:r>
      <w:r w:rsidRPr="001B53A8">
        <w:rPr>
          <w:lang w:val="sr-Latn-BA"/>
        </w:rPr>
        <w:t>provođenje</w:t>
      </w:r>
      <w:r w:rsidR="004353DF" w:rsidRPr="001B53A8">
        <w:rPr>
          <w:lang w:val="sr-Latn-BA"/>
        </w:rPr>
        <w:t xml:space="preserve"> </w:t>
      </w:r>
      <w:r w:rsidRPr="001B53A8">
        <w:rPr>
          <w:lang w:val="sr-Latn-BA"/>
        </w:rPr>
        <w:t>postupka</w:t>
      </w:r>
      <w:r w:rsidR="004353DF" w:rsidRPr="001B53A8">
        <w:rPr>
          <w:lang w:val="sr-Latn-BA"/>
        </w:rPr>
        <w:t xml:space="preserve"> </w:t>
      </w:r>
      <w:r w:rsidRPr="001B53A8">
        <w:rPr>
          <w:lang w:val="sr-Latn-BA"/>
        </w:rPr>
        <w:t>istiskivanja</w:t>
      </w:r>
      <w:r w:rsidR="004353DF" w:rsidRPr="001B53A8">
        <w:rPr>
          <w:lang w:val="sr-Latn-BA"/>
        </w:rPr>
        <w:t xml:space="preserve"> </w:t>
      </w:r>
      <w:r w:rsidRPr="001B53A8">
        <w:rPr>
          <w:lang w:val="sr-Latn-BA"/>
        </w:rPr>
        <w:t>manjinskih</w:t>
      </w:r>
      <w:r w:rsidR="004353DF" w:rsidRPr="001B53A8">
        <w:rPr>
          <w:lang w:val="sr-Latn-BA"/>
        </w:rPr>
        <w:t xml:space="preserve"> </w:t>
      </w:r>
      <w:r w:rsidRPr="001B53A8">
        <w:rPr>
          <w:lang w:val="sr-Latn-BA"/>
        </w:rPr>
        <w:t>akcionara</w:t>
      </w:r>
      <w:r w:rsidR="004353DF" w:rsidRPr="001B53A8">
        <w:rPr>
          <w:lang w:val="sr-Latn-BA"/>
        </w:rPr>
        <w:t xml:space="preserve"> (</w:t>
      </w:r>
      <w:r w:rsidRPr="001B53A8">
        <w:rPr>
          <w:lang w:val="sr-Latn-BA"/>
        </w:rPr>
        <w:t>prema</w:t>
      </w:r>
      <w:r w:rsidR="004353DF" w:rsidRPr="001B53A8">
        <w:rPr>
          <w:lang w:val="sr-Latn-BA"/>
        </w:rPr>
        <w:t xml:space="preserve"> </w:t>
      </w:r>
      <w:r w:rsidRPr="001B53A8">
        <w:rPr>
          <w:lang w:val="sr-Latn-BA"/>
        </w:rPr>
        <w:t>članu</w:t>
      </w:r>
      <w:r w:rsidR="004353DF" w:rsidRPr="001B53A8">
        <w:rPr>
          <w:lang w:val="sr-Latn-BA"/>
        </w:rPr>
        <w:t xml:space="preserve"> 438. </w:t>
      </w:r>
      <w:r w:rsidRPr="001B53A8">
        <w:rPr>
          <w:lang w:val="sr-Latn-BA"/>
        </w:rPr>
        <w:t>stav</w:t>
      </w:r>
      <w:r w:rsidR="004353DF" w:rsidRPr="001B53A8">
        <w:rPr>
          <w:lang w:val="sr-Latn-BA"/>
        </w:rPr>
        <w:t xml:space="preserve"> 1. </w:t>
      </w:r>
      <w:r w:rsidRPr="001B53A8">
        <w:rPr>
          <w:lang w:val="sr-Latn-BA"/>
        </w:rPr>
        <w:t>Zakona</w:t>
      </w:r>
      <w:r w:rsidR="004353DF" w:rsidRPr="001B53A8">
        <w:rPr>
          <w:lang w:val="sr-Latn-BA"/>
        </w:rPr>
        <w:t xml:space="preserve"> </w:t>
      </w:r>
      <w:r w:rsidRPr="001B53A8">
        <w:rPr>
          <w:lang w:val="sr-Latn-BA"/>
        </w:rPr>
        <w:t>o</w:t>
      </w:r>
      <w:r w:rsidR="004353DF" w:rsidRPr="001B53A8">
        <w:rPr>
          <w:lang w:val="sr-Latn-BA"/>
        </w:rPr>
        <w:t xml:space="preserve"> </w:t>
      </w:r>
      <w:r w:rsidRPr="001B53A8">
        <w:rPr>
          <w:lang w:val="sr-Latn-BA"/>
        </w:rPr>
        <w:t>privrednim</w:t>
      </w:r>
      <w:r w:rsidR="004353DF" w:rsidRPr="001B53A8">
        <w:rPr>
          <w:lang w:val="sr-Latn-BA"/>
        </w:rPr>
        <w:t xml:space="preserve"> </w:t>
      </w:r>
      <w:r w:rsidRPr="001B53A8">
        <w:rPr>
          <w:lang w:val="sr-Latn-BA"/>
        </w:rPr>
        <w:t>društvima</w:t>
      </w:r>
      <w:r w:rsidR="004353DF" w:rsidRPr="001B53A8">
        <w:rPr>
          <w:lang w:val="sr-Latn-BA"/>
        </w:rPr>
        <w:t xml:space="preserve">) </w:t>
      </w:r>
      <w:r w:rsidRPr="001B53A8">
        <w:rPr>
          <w:lang w:val="sr-Latn-BA"/>
        </w:rPr>
        <w:t>i</w:t>
      </w:r>
      <w:r w:rsidR="004353DF" w:rsidRPr="001B53A8">
        <w:rPr>
          <w:lang w:val="sr-Latn-BA"/>
        </w:rPr>
        <w:t xml:space="preserve"> </w:t>
      </w:r>
      <w:r w:rsidRPr="001B53A8">
        <w:rPr>
          <w:lang w:val="sr-Latn-BA"/>
        </w:rPr>
        <w:t>kasnije</w:t>
      </w:r>
      <w:r w:rsidR="004353DF" w:rsidRPr="001B53A8">
        <w:rPr>
          <w:lang w:val="sr-Latn-BA"/>
        </w:rPr>
        <w:t xml:space="preserve"> </w:t>
      </w:r>
      <w:r w:rsidRPr="001B53A8">
        <w:rPr>
          <w:lang w:val="sr-Latn-BA"/>
        </w:rPr>
        <w:t>zatvaranje</w:t>
      </w:r>
      <w:r w:rsidR="004353DF" w:rsidRPr="001B53A8">
        <w:rPr>
          <w:lang w:val="sr-Latn-BA"/>
        </w:rPr>
        <w:t xml:space="preserve"> </w:t>
      </w:r>
      <w:r w:rsidRPr="001B53A8">
        <w:rPr>
          <w:lang w:val="sr-Latn-BA"/>
        </w:rPr>
        <w:t>akcionarskih</w:t>
      </w:r>
      <w:r w:rsidR="004353DF" w:rsidRPr="001B53A8">
        <w:rPr>
          <w:lang w:val="sr-Latn-BA"/>
        </w:rPr>
        <w:t xml:space="preserve"> </w:t>
      </w:r>
      <w:r w:rsidRPr="001B53A8">
        <w:rPr>
          <w:lang w:val="sr-Latn-BA"/>
        </w:rPr>
        <w:t>društva</w:t>
      </w:r>
      <w:r w:rsidR="004353DF" w:rsidRPr="001B53A8">
        <w:rPr>
          <w:lang w:val="sr-Latn-BA"/>
        </w:rPr>
        <w:t xml:space="preserve"> </w:t>
      </w:r>
      <w:r w:rsidRPr="001B53A8">
        <w:rPr>
          <w:lang w:val="sr-Latn-BA"/>
        </w:rPr>
        <w:t>ili</w:t>
      </w:r>
      <w:r w:rsidR="004353DF" w:rsidRPr="001B53A8">
        <w:rPr>
          <w:lang w:val="sr-Latn-BA"/>
        </w:rPr>
        <w:t xml:space="preserve"> </w:t>
      </w:r>
      <w:r w:rsidRPr="001B53A8">
        <w:rPr>
          <w:lang w:val="sr-Latn-BA"/>
        </w:rPr>
        <w:t>promjenu</w:t>
      </w:r>
      <w:r w:rsidR="004353DF" w:rsidRPr="001B53A8">
        <w:rPr>
          <w:lang w:val="sr-Latn-BA"/>
        </w:rPr>
        <w:t xml:space="preserve"> </w:t>
      </w:r>
      <w:r w:rsidRPr="001B53A8">
        <w:rPr>
          <w:lang w:val="sr-Latn-BA"/>
        </w:rPr>
        <w:t>pravne</w:t>
      </w:r>
      <w:r w:rsidR="004353DF" w:rsidRPr="001B53A8">
        <w:rPr>
          <w:lang w:val="sr-Latn-BA"/>
        </w:rPr>
        <w:t xml:space="preserve"> </w:t>
      </w:r>
      <w:r w:rsidRPr="001B53A8">
        <w:rPr>
          <w:lang w:val="sr-Latn-BA"/>
        </w:rPr>
        <w:t>forme</w:t>
      </w:r>
      <w:r w:rsidR="004353DF" w:rsidRPr="001B53A8">
        <w:rPr>
          <w:lang w:val="sr-Latn-BA"/>
        </w:rPr>
        <w:t xml:space="preserve">, </w:t>
      </w:r>
      <w:r w:rsidRPr="001B53A8">
        <w:rPr>
          <w:lang w:val="sr-Latn-BA"/>
        </w:rPr>
        <w:t>te</w:t>
      </w:r>
      <w:r w:rsidR="004353DF" w:rsidRPr="001B53A8">
        <w:rPr>
          <w:lang w:val="sr-Latn-BA"/>
        </w:rPr>
        <w:t xml:space="preserve"> </w:t>
      </w:r>
      <w:r w:rsidRPr="001B53A8">
        <w:rPr>
          <w:lang w:val="sr-Latn-BA"/>
        </w:rPr>
        <w:t>delistiranje</w:t>
      </w:r>
      <w:r w:rsidR="004353DF" w:rsidRPr="001B53A8">
        <w:rPr>
          <w:lang w:val="sr-Latn-BA"/>
        </w:rPr>
        <w:t xml:space="preserve"> </w:t>
      </w:r>
      <w:r w:rsidRPr="001B53A8">
        <w:rPr>
          <w:lang w:val="sr-Latn-BA"/>
        </w:rPr>
        <w:t>hartija</w:t>
      </w:r>
      <w:r w:rsidR="004353DF" w:rsidRPr="001B53A8">
        <w:rPr>
          <w:lang w:val="sr-Latn-BA"/>
        </w:rPr>
        <w:t xml:space="preserve"> </w:t>
      </w:r>
      <w:r w:rsidRPr="001B53A8">
        <w:rPr>
          <w:lang w:val="sr-Latn-BA"/>
        </w:rPr>
        <w:t>sa</w:t>
      </w:r>
      <w:r w:rsidR="004353DF" w:rsidRPr="001B53A8">
        <w:rPr>
          <w:lang w:val="sr-Latn-BA"/>
        </w:rPr>
        <w:t xml:space="preserve"> </w:t>
      </w:r>
      <w:r w:rsidRPr="001B53A8">
        <w:rPr>
          <w:lang w:val="sr-Latn-BA"/>
        </w:rPr>
        <w:t>Berze</w:t>
      </w:r>
      <w:r w:rsidR="007E2F40" w:rsidRPr="001B53A8">
        <w:rPr>
          <w:lang w:val="sr-Latn-BA"/>
        </w:rPr>
        <w:t>.</w:t>
      </w:r>
    </w:p>
    <w:p w14:paraId="7634116D" w14:textId="5383DDA4" w:rsidR="007E2F40" w:rsidRPr="001B53A8" w:rsidRDefault="00003F34" w:rsidP="000A10DE">
      <w:pPr>
        <w:spacing w:line="240" w:lineRule="auto"/>
        <w:ind w:firstLine="567"/>
        <w:rPr>
          <w:lang w:val="sr-Latn-BA"/>
        </w:rPr>
      </w:pPr>
      <w:r w:rsidRPr="001B53A8">
        <w:rPr>
          <w:lang w:val="sr-Latn-BA"/>
        </w:rPr>
        <w:t>U</w:t>
      </w:r>
      <w:r w:rsidR="007E2F40" w:rsidRPr="001B53A8">
        <w:rPr>
          <w:lang w:val="sr-Latn-BA"/>
        </w:rPr>
        <w:t xml:space="preserve"> </w:t>
      </w:r>
      <w:r w:rsidRPr="001B53A8">
        <w:rPr>
          <w:lang w:val="sr-Latn-BA"/>
        </w:rPr>
        <w:t>toku</w:t>
      </w:r>
      <w:r w:rsidR="007E2F40" w:rsidRPr="001B53A8">
        <w:rPr>
          <w:lang w:val="sr-Latn-BA"/>
        </w:rPr>
        <w:t xml:space="preserve"> 202</w:t>
      </w:r>
      <w:r w:rsidR="004353DF" w:rsidRPr="001B53A8">
        <w:rPr>
          <w:lang w:val="sr-Latn-BA"/>
        </w:rPr>
        <w:t>3</w:t>
      </w:r>
      <w:r w:rsidR="007E2F40" w:rsidRPr="001B53A8">
        <w:rPr>
          <w:lang w:val="sr-Latn-BA"/>
        </w:rPr>
        <w:t xml:space="preserve">. </w:t>
      </w:r>
      <w:r w:rsidRPr="001B53A8">
        <w:rPr>
          <w:lang w:val="sr-Latn-BA"/>
        </w:rPr>
        <w:t>godine</w:t>
      </w:r>
      <w:r w:rsidR="007E2F40" w:rsidRPr="001B53A8">
        <w:rPr>
          <w:lang w:val="sr-Latn-BA"/>
        </w:rPr>
        <w:t xml:space="preserve"> </w:t>
      </w:r>
      <w:r w:rsidRPr="001B53A8">
        <w:rPr>
          <w:lang w:val="sr-Latn-BA"/>
        </w:rPr>
        <w:t>postupak</w:t>
      </w:r>
      <w:r w:rsidR="007E2F40" w:rsidRPr="001B53A8">
        <w:rPr>
          <w:lang w:val="sr-Latn-BA"/>
        </w:rPr>
        <w:t xml:space="preserve"> </w:t>
      </w:r>
      <w:r w:rsidRPr="001B53A8">
        <w:rPr>
          <w:lang w:val="sr-Latn-BA"/>
        </w:rPr>
        <w:t>preuzimanja</w:t>
      </w:r>
      <w:r w:rsidR="007E2F40" w:rsidRPr="001B53A8">
        <w:rPr>
          <w:lang w:val="sr-Latn-BA"/>
        </w:rPr>
        <w:t xml:space="preserve"> </w:t>
      </w:r>
      <w:r w:rsidRPr="001B53A8">
        <w:rPr>
          <w:lang w:val="sr-Latn-BA"/>
        </w:rPr>
        <w:t>je</w:t>
      </w:r>
      <w:r w:rsidR="007E2F40" w:rsidRPr="001B53A8">
        <w:rPr>
          <w:lang w:val="sr-Latn-BA"/>
        </w:rPr>
        <w:t xml:space="preserve"> </w:t>
      </w:r>
      <w:r w:rsidRPr="001B53A8">
        <w:rPr>
          <w:lang w:val="sr-Latn-BA"/>
        </w:rPr>
        <w:t>okončan</w:t>
      </w:r>
      <w:r w:rsidR="007E2F40" w:rsidRPr="001B53A8">
        <w:rPr>
          <w:lang w:val="sr-Latn-BA"/>
        </w:rPr>
        <w:t xml:space="preserve"> </w:t>
      </w:r>
      <w:r w:rsidRPr="001B53A8">
        <w:rPr>
          <w:lang w:val="sr-Latn-BA"/>
        </w:rPr>
        <w:t>u</w:t>
      </w:r>
      <w:r w:rsidR="007E2F40" w:rsidRPr="001B53A8">
        <w:rPr>
          <w:lang w:val="sr-Latn-BA"/>
        </w:rPr>
        <w:t xml:space="preserve"> </w:t>
      </w:r>
      <w:r w:rsidR="004353DF" w:rsidRPr="001B53A8">
        <w:rPr>
          <w:lang w:val="sr-Latn-BA"/>
        </w:rPr>
        <w:t>11</w:t>
      </w:r>
      <w:r w:rsidR="007E2F40" w:rsidRPr="001B53A8">
        <w:rPr>
          <w:lang w:val="sr-Latn-BA"/>
        </w:rPr>
        <w:t xml:space="preserve"> </w:t>
      </w:r>
      <w:r w:rsidRPr="001B53A8">
        <w:rPr>
          <w:lang w:val="sr-Latn-BA"/>
        </w:rPr>
        <w:t>slučajeva</w:t>
      </w:r>
      <w:r w:rsidR="00965E3A" w:rsidRPr="001B53A8">
        <w:rPr>
          <w:lang w:val="sr-Latn-BA"/>
        </w:rPr>
        <w:t>.</w:t>
      </w:r>
    </w:p>
    <w:tbl>
      <w:tblPr>
        <w:tblpPr w:leftFromText="180" w:rightFromText="180" w:vertAnchor="text" w:tblpXSpec="center" w:tblpY="1"/>
        <w:tblOverlap w:val="never"/>
        <w:tblW w:w="5037" w:type="pct"/>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4A0" w:firstRow="1" w:lastRow="0" w:firstColumn="1" w:lastColumn="0" w:noHBand="0" w:noVBand="1"/>
      </w:tblPr>
      <w:tblGrid>
        <w:gridCol w:w="489"/>
        <w:gridCol w:w="2044"/>
        <w:gridCol w:w="1126"/>
        <w:gridCol w:w="1970"/>
        <w:gridCol w:w="1218"/>
        <w:gridCol w:w="1250"/>
        <w:gridCol w:w="1259"/>
      </w:tblGrid>
      <w:tr w:rsidR="004353DF" w:rsidRPr="001B53A8" w14:paraId="285A5309" w14:textId="77777777" w:rsidTr="004353DF">
        <w:trPr>
          <w:trHeight w:val="333"/>
          <w:tblHeader/>
        </w:trPr>
        <w:tc>
          <w:tcPr>
            <w:tcW w:w="261" w:type="pct"/>
            <w:vMerge w:val="restart"/>
            <w:tcBorders>
              <w:top w:val="single" w:sz="2" w:space="0" w:color="548DD4" w:themeColor="text2" w:themeTint="99"/>
              <w:left w:val="single" w:sz="2" w:space="0" w:color="548DD4" w:themeColor="text2" w:themeTint="99"/>
              <w:bottom w:val="nil"/>
              <w:right w:val="nil"/>
            </w:tcBorders>
            <w:shd w:val="clear" w:color="auto" w:fill="auto"/>
            <w:vAlign w:val="center"/>
          </w:tcPr>
          <w:p w14:paraId="0BCA5961" w14:textId="4B7E8CA9" w:rsidR="004353DF" w:rsidRPr="001B53A8" w:rsidRDefault="00003F34" w:rsidP="00003F34">
            <w:pPr>
              <w:pStyle w:val="Table"/>
              <w:jc w:val="center"/>
              <w:rPr>
                <w:b/>
                <w:lang w:val="sr-Latn-BA"/>
              </w:rPr>
            </w:pPr>
            <w:r w:rsidRPr="001B53A8">
              <w:rPr>
                <w:b/>
                <w:lang w:val="sr-Latn-BA"/>
              </w:rPr>
              <w:t>R</w:t>
            </w:r>
            <w:r w:rsidR="004353DF" w:rsidRPr="001B53A8">
              <w:rPr>
                <w:b/>
                <w:lang w:val="sr-Latn-BA"/>
              </w:rPr>
              <w:t xml:space="preserve">. </w:t>
            </w:r>
            <w:r w:rsidRPr="001B53A8">
              <w:rPr>
                <w:b/>
                <w:lang w:val="sr-Latn-BA"/>
              </w:rPr>
              <w:t>br</w:t>
            </w:r>
            <w:r w:rsidR="004353DF" w:rsidRPr="001B53A8">
              <w:rPr>
                <w:b/>
                <w:lang w:val="sr-Latn-BA"/>
              </w:rPr>
              <w:t>.</w:t>
            </w:r>
          </w:p>
        </w:tc>
        <w:tc>
          <w:tcPr>
            <w:tcW w:w="1092" w:type="pct"/>
            <w:vMerge w:val="restart"/>
            <w:tcBorders>
              <w:top w:val="single" w:sz="2" w:space="0" w:color="548DD4" w:themeColor="text2" w:themeTint="99"/>
              <w:left w:val="nil"/>
              <w:bottom w:val="nil"/>
              <w:right w:val="nil"/>
            </w:tcBorders>
            <w:shd w:val="clear" w:color="auto" w:fill="auto"/>
            <w:vAlign w:val="center"/>
          </w:tcPr>
          <w:p w14:paraId="6CD38666" w14:textId="549ECE32" w:rsidR="004353DF" w:rsidRPr="001B53A8" w:rsidRDefault="00003F34" w:rsidP="00003F34">
            <w:pPr>
              <w:pStyle w:val="Table"/>
              <w:jc w:val="center"/>
              <w:rPr>
                <w:b/>
                <w:lang w:val="sr-Latn-BA"/>
              </w:rPr>
            </w:pPr>
            <w:r w:rsidRPr="001B53A8">
              <w:rPr>
                <w:b/>
                <w:lang w:val="sr-Latn-BA"/>
              </w:rPr>
              <w:t>Akcionarsko</w:t>
            </w:r>
            <w:r w:rsidR="004353DF" w:rsidRPr="001B53A8">
              <w:rPr>
                <w:b/>
                <w:lang w:val="sr-Latn-BA"/>
              </w:rPr>
              <w:t xml:space="preserve"> </w:t>
            </w:r>
            <w:r w:rsidRPr="001B53A8">
              <w:rPr>
                <w:b/>
                <w:lang w:val="sr-Latn-BA"/>
              </w:rPr>
              <w:t>društvo</w:t>
            </w:r>
            <w:r w:rsidR="004353DF" w:rsidRPr="001B53A8">
              <w:rPr>
                <w:b/>
                <w:lang w:val="sr-Latn-BA"/>
              </w:rPr>
              <w:t xml:space="preserve"> (</w:t>
            </w:r>
            <w:r w:rsidRPr="001B53A8">
              <w:rPr>
                <w:b/>
                <w:lang w:val="sr-Latn-BA"/>
              </w:rPr>
              <w:t>emitent</w:t>
            </w:r>
            <w:r w:rsidR="004353DF" w:rsidRPr="001B53A8">
              <w:rPr>
                <w:b/>
                <w:lang w:val="sr-Latn-BA"/>
              </w:rPr>
              <w:t>)</w:t>
            </w:r>
          </w:p>
        </w:tc>
        <w:tc>
          <w:tcPr>
            <w:tcW w:w="602" w:type="pct"/>
            <w:vMerge w:val="restart"/>
            <w:tcBorders>
              <w:top w:val="single" w:sz="2" w:space="0" w:color="548DD4" w:themeColor="text2" w:themeTint="99"/>
              <w:left w:val="nil"/>
              <w:bottom w:val="nil"/>
              <w:right w:val="nil"/>
            </w:tcBorders>
            <w:shd w:val="clear" w:color="auto" w:fill="auto"/>
            <w:vAlign w:val="center"/>
          </w:tcPr>
          <w:p w14:paraId="09D7DEAF" w14:textId="73B98118" w:rsidR="004353DF" w:rsidRPr="001B53A8" w:rsidRDefault="00003F34" w:rsidP="00003F34">
            <w:pPr>
              <w:pStyle w:val="Table"/>
              <w:jc w:val="center"/>
              <w:rPr>
                <w:b/>
                <w:lang w:val="sr-Latn-BA"/>
              </w:rPr>
            </w:pPr>
            <w:r w:rsidRPr="001B53A8">
              <w:rPr>
                <w:b/>
                <w:lang w:val="sr-Latn-BA"/>
              </w:rPr>
              <w:t>Osnovni</w:t>
            </w:r>
            <w:r w:rsidR="004353DF" w:rsidRPr="001B53A8">
              <w:rPr>
                <w:b/>
                <w:lang w:val="sr-Latn-BA"/>
              </w:rPr>
              <w:t xml:space="preserve"> </w:t>
            </w:r>
            <w:r w:rsidRPr="001B53A8">
              <w:rPr>
                <w:b/>
                <w:lang w:val="sr-Latn-BA"/>
              </w:rPr>
              <w:t>kapital</w:t>
            </w:r>
            <w:r w:rsidR="004353DF" w:rsidRPr="001B53A8">
              <w:rPr>
                <w:b/>
                <w:lang w:val="sr-Latn-BA"/>
              </w:rPr>
              <w:t xml:space="preserve"> </w:t>
            </w:r>
            <w:r w:rsidRPr="001B53A8">
              <w:rPr>
                <w:b/>
                <w:lang w:val="sr-Latn-BA"/>
              </w:rPr>
              <w:t>emitenta</w:t>
            </w:r>
            <w:r w:rsidR="004353DF" w:rsidRPr="001B53A8">
              <w:rPr>
                <w:b/>
                <w:lang w:val="sr-Latn-BA"/>
              </w:rPr>
              <w:t xml:space="preserve"> (</w:t>
            </w:r>
            <w:r w:rsidRPr="001B53A8">
              <w:rPr>
                <w:b/>
                <w:lang w:val="sr-Latn-BA"/>
              </w:rPr>
              <w:t>KM</w:t>
            </w:r>
            <w:r w:rsidR="004353DF" w:rsidRPr="001B53A8">
              <w:rPr>
                <w:b/>
                <w:lang w:val="sr-Latn-BA"/>
              </w:rPr>
              <w:t>)</w:t>
            </w:r>
          </w:p>
        </w:tc>
        <w:tc>
          <w:tcPr>
            <w:tcW w:w="1053" w:type="pct"/>
            <w:vMerge w:val="restart"/>
            <w:tcBorders>
              <w:top w:val="single" w:sz="2" w:space="0" w:color="548DD4" w:themeColor="text2" w:themeTint="99"/>
              <w:left w:val="nil"/>
              <w:bottom w:val="nil"/>
              <w:right w:val="nil"/>
            </w:tcBorders>
            <w:shd w:val="clear" w:color="auto" w:fill="auto"/>
            <w:vAlign w:val="center"/>
          </w:tcPr>
          <w:p w14:paraId="39869B25" w14:textId="58C553D0" w:rsidR="004353DF" w:rsidRPr="001B53A8" w:rsidRDefault="00003F34" w:rsidP="00003F34">
            <w:pPr>
              <w:pStyle w:val="Table"/>
              <w:jc w:val="center"/>
              <w:rPr>
                <w:b/>
                <w:lang w:val="sr-Latn-BA"/>
              </w:rPr>
            </w:pPr>
            <w:r w:rsidRPr="001B53A8">
              <w:rPr>
                <w:b/>
                <w:lang w:val="sr-Latn-BA"/>
              </w:rPr>
              <w:t>Ponudilac</w:t>
            </w:r>
            <w:r w:rsidR="004353DF" w:rsidRPr="001B53A8">
              <w:rPr>
                <w:b/>
                <w:lang w:val="sr-Latn-BA"/>
              </w:rPr>
              <w:t xml:space="preserve"> </w:t>
            </w:r>
            <w:r w:rsidRPr="001B53A8">
              <w:rPr>
                <w:b/>
                <w:lang w:val="sr-Latn-BA"/>
              </w:rPr>
              <w:t>i</w:t>
            </w:r>
            <w:r w:rsidR="004353DF" w:rsidRPr="001B53A8">
              <w:rPr>
                <w:b/>
                <w:lang w:val="sr-Latn-BA"/>
              </w:rPr>
              <w:t xml:space="preserve"> </w:t>
            </w:r>
            <w:r w:rsidRPr="001B53A8">
              <w:rPr>
                <w:b/>
                <w:lang w:val="sr-Latn-BA"/>
              </w:rPr>
              <w:t>lice</w:t>
            </w:r>
            <w:r w:rsidR="004353DF" w:rsidRPr="001B53A8">
              <w:rPr>
                <w:b/>
                <w:lang w:val="sr-Latn-BA"/>
              </w:rPr>
              <w:t>/</w:t>
            </w:r>
            <w:r w:rsidRPr="001B53A8">
              <w:rPr>
                <w:b/>
                <w:lang w:val="sr-Latn-BA"/>
              </w:rPr>
              <w:t>lica</w:t>
            </w:r>
            <w:r w:rsidR="004353DF" w:rsidRPr="001B53A8">
              <w:rPr>
                <w:b/>
                <w:lang w:val="sr-Latn-BA"/>
              </w:rPr>
              <w:t xml:space="preserve"> </w:t>
            </w:r>
            <w:r w:rsidRPr="001B53A8">
              <w:rPr>
                <w:b/>
                <w:lang w:val="sr-Latn-BA"/>
              </w:rPr>
              <w:t>koja</w:t>
            </w:r>
            <w:r w:rsidR="004353DF" w:rsidRPr="001B53A8">
              <w:rPr>
                <w:b/>
                <w:lang w:val="sr-Latn-BA"/>
              </w:rPr>
              <w:t xml:space="preserve"> </w:t>
            </w:r>
            <w:r w:rsidRPr="001B53A8">
              <w:rPr>
                <w:b/>
                <w:lang w:val="sr-Latn-BA"/>
              </w:rPr>
              <w:t>s</w:t>
            </w:r>
            <w:r w:rsidR="004353DF" w:rsidRPr="001B53A8">
              <w:rPr>
                <w:b/>
                <w:lang w:val="sr-Latn-BA"/>
              </w:rPr>
              <w:t xml:space="preserve"> </w:t>
            </w:r>
            <w:r w:rsidRPr="001B53A8">
              <w:rPr>
                <w:b/>
                <w:lang w:val="sr-Latn-BA"/>
              </w:rPr>
              <w:t>ponudiocem</w:t>
            </w:r>
            <w:r w:rsidR="004353DF" w:rsidRPr="001B53A8">
              <w:rPr>
                <w:b/>
                <w:lang w:val="sr-Latn-BA"/>
              </w:rPr>
              <w:t xml:space="preserve"> </w:t>
            </w:r>
            <w:r w:rsidRPr="001B53A8">
              <w:rPr>
                <w:b/>
                <w:lang w:val="sr-Latn-BA"/>
              </w:rPr>
              <w:t>zajednički</w:t>
            </w:r>
            <w:r w:rsidR="004353DF" w:rsidRPr="001B53A8">
              <w:rPr>
                <w:b/>
                <w:lang w:val="sr-Latn-BA"/>
              </w:rPr>
              <w:t xml:space="preserve"> </w:t>
            </w:r>
            <w:r w:rsidRPr="001B53A8">
              <w:rPr>
                <w:b/>
                <w:lang w:val="sr-Latn-BA"/>
              </w:rPr>
              <w:t>djeluju</w:t>
            </w:r>
          </w:p>
        </w:tc>
        <w:tc>
          <w:tcPr>
            <w:tcW w:w="651" w:type="pct"/>
            <w:vMerge w:val="restart"/>
            <w:tcBorders>
              <w:top w:val="single" w:sz="2" w:space="0" w:color="548DD4" w:themeColor="text2" w:themeTint="99"/>
              <w:left w:val="nil"/>
              <w:bottom w:val="nil"/>
              <w:right w:val="nil"/>
            </w:tcBorders>
            <w:shd w:val="clear" w:color="auto" w:fill="auto"/>
            <w:vAlign w:val="center"/>
          </w:tcPr>
          <w:p w14:paraId="7BFA9D6D" w14:textId="4F44D877" w:rsidR="004353DF" w:rsidRPr="001B53A8" w:rsidRDefault="00003F34" w:rsidP="00003F34">
            <w:pPr>
              <w:pStyle w:val="Table"/>
              <w:jc w:val="center"/>
              <w:rPr>
                <w:b/>
                <w:lang w:val="sr-Latn-BA"/>
              </w:rPr>
            </w:pPr>
            <w:r w:rsidRPr="001B53A8">
              <w:rPr>
                <w:b/>
                <w:lang w:val="sr-Latn-BA"/>
              </w:rPr>
              <w:t>Cijena</w:t>
            </w:r>
            <w:r w:rsidR="004353DF" w:rsidRPr="001B53A8">
              <w:rPr>
                <w:b/>
                <w:lang w:val="sr-Latn-BA"/>
              </w:rPr>
              <w:t xml:space="preserve"> </w:t>
            </w:r>
            <w:r w:rsidRPr="001B53A8">
              <w:rPr>
                <w:b/>
                <w:lang w:val="sr-Latn-BA"/>
              </w:rPr>
              <w:t>u</w:t>
            </w:r>
            <w:r w:rsidR="004353DF" w:rsidRPr="001B53A8">
              <w:rPr>
                <w:b/>
                <w:lang w:val="sr-Latn-BA"/>
              </w:rPr>
              <w:t xml:space="preserve"> </w:t>
            </w:r>
            <w:r w:rsidRPr="001B53A8">
              <w:rPr>
                <w:b/>
                <w:lang w:val="sr-Latn-BA"/>
              </w:rPr>
              <w:t>postupku</w:t>
            </w:r>
            <w:r w:rsidR="004353DF" w:rsidRPr="001B53A8">
              <w:rPr>
                <w:b/>
                <w:lang w:val="sr-Latn-BA"/>
              </w:rPr>
              <w:t xml:space="preserve"> </w:t>
            </w:r>
            <w:r w:rsidRPr="001B53A8">
              <w:rPr>
                <w:b/>
                <w:lang w:val="sr-Latn-BA"/>
              </w:rPr>
              <w:t>preuzimanja</w:t>
            </w:r>
            <w:r w:rsidR="004353DF" w:rsidRPr="001B53A8">
              <w:rPr>
                <w:b/>
                <w:lang w:val="sr-Latn-BA"/>
              </w:rPr>
              <w:t xml:space="preserve"> </w:t>
            </w:r>
          </w:p>
          <w:p w14:paraId="58764745" w14:textId="5AF9DBFF" w:rsidR="004353DF" w:rsidRPr="001B53A8" w:rsidRDefault="004353DF" w:rsidP="00003F34">
            <w:pPr>
              <w:pStyle w:val="Table"/>
              <w:jc w:val="center"/>
              <w:rPr>
                <w:b/>
                <w:lang w:val="sr-Latn-BA"/>
              </w:rPr>
            </w:pPr>
            <w:r w:rsidRPr="001B53A8">
              <w:rPr>
                <w:b/>
                <w:lang w:val="sr-Latn-BA"/>
              </w:rPr>
              <w:t>(</w:t>
            </w:r>
            <w:r w:rsidR="00003F34" w:rsidRPr="001B53A8">
              <w:rPr>
                <w:b/>
                <w:lang w:val="sr-Latn-BA"/>
              </w:rPr>
              <w:t>KM</w:t>
            </w:r>
            <w:r w:rsidRPr="001B53A8">
              <w:rPr>
                <w:b/>
                <w:lang w:val="sr-Latn-BA"/>
              </w:rPr>
              <w:t>)</w:t>
            </w:r>
          </w:p>
        </w:tc>
        <w:tc>
          <w:tcPr>
            <w:tcW w:w="1341" w:type="pct"/>
            <w:gridSpan w:val="2"/>
            <w:tcBorders>
              <w:top w:val="single" w:sz="2" w:space="0" w:color="548DD4" w:themeColor="text2" w:themeTint="99"/>
              <w:left w:val="nil"/>
              <w:bottom w:val="nil"/>
              <w:right w:val="single" w:sz="2" w:space="0" w:color="548DD4" w:themeColor="text2" w:themeTint="99"/>
            </w:tcBorders>
            <w:shd w:val="clear" w:color="auto" w:fill="auto"/>
            <w:vAlign w:val="center"/>
          </w:tcPr>
          <w:p w14:paraId="4C9918D4" w14:textId="592C782E" w:rsidR="004353DF" w:rsidRPr="001B53A8" w:rsidRDefault="00003F34" w:rsidP="00003F34">
            <w:pPr>
              <w:pStyle w:val="Table"/>
              <w:jc w:val="center"/>
              <w:rPr>
                <w:b/>
                <w:lang w:val="sr-Latn-BA"/>
              </w:rPr>
            </w:pPr>
            <w:r w:rsidRPr="001B53A8">
              <w:rPr>
                <w:b/>
                <w:lang w:val="sr-Latn-BA"/>
              </w:rPr>
              <w:t>Procenat</w:t>
            </w:r>
            <w:r w:rsidR="004353DF" w:rsidRPr="001B53A8">
              <w:rPr>
                <w:b/>
                <w:lang w:val="sr-Latn-BA"/>
              </w:rPr>
              <w:t xml:space="preserve"> </w:t>
            </w:r>
            <w:r w:rsidRPr="001B53A8">
              <w:rPr>
                <w:b/>
                <w:lang w:val="sr-Latn-BA"/>
              </w:rPr>
              <w:t>akcija</w:t>
            </w:r>
            <w:r w:rsidR="004353DF" w:rsidRPr="001B53A8">
              <w:rPr>
                <w:b/>
                <w:lang w:val="sr-Latn-BA"/>
              </w:rPr>
              <w:t xml:space="preserve"> </w:t>
            </w:r>
            <w:r w:rsidRPr="001B53A8">
              <w:rPr>
                <w:b/>
                <w:lang w:val="sr-Latn-BA"/>
              </w:rPr>
              <w:t>s</w:t>
            </w:r>
            <w:r w:rsidR="004353DF" w:rsidRPr="001B53A8">
              <w:rPr>
                <w:b/>
                <w:lang w:val="sr-Latn-BA"/>
              </w:rPr>
              <w:t xml:space="preserve"> </w:t>
            </w:r>
            <w:r w:rsidRPr="001B53A8">
              <w:rPr>
                <w:b/>
                <w:lang w:val="sr-Latn-BA"/>
              </w:rPr>
              <w:t>pravom</w:t>
            </w:r>
            <w:r w:rsidR="004353DF" w:rsidRPr="001B53A8">
              <w:rPr>
                <w:b/>
                <w:lang w:val="sr-Latn-BA"/>
              </w:rPr>
              <w:t xml:space="preserve"> </w:t>
            </w:r>
            <w:r w:rsidRPr="001B53A8">
              <w:rPr>
                <w:b/>
                <w:lang w:val="sr-Latn-BA"/>
              </w:rPr>
              <w:t>glasa</w:t>
            </w:r>
            <w:r w:rsidR="004353DF" w:rsidRPr="001B53A8">
              <w:rPr>
                <w:b/>
                <w:lang w:val="sr-Latn-BA"/>
              </w:rPr>
              <w:t xml:space="preserve"> </w:t>
            </w:r>
            <w:r w:rsidRPr="001B53A8">
              <w:rPr>
                <w:b/>
                <w:lang w:val="sr-Latn-BA"/>
              </w:rPr>
              <w:t>u</w:t>
            </w:r>
            <w:r w:rsidR="004353DF" w:rsidRPr="001B53A8">
              <w:rPr>
                <w:b/>
                <w:lang w:val="sr-Latn-BA"/>
              </w:rPr>
              <w:t xml:space="preserve"> </w:t>
            </w:r>
            <w:r w:rsidRPr="001B53A8">
              <w:rPr>
                <w:b/>
                <w:lang w:val="sr-Latn-BA"/>
              </w:rPr>
              <w:t>vlasništvu</w:t>
            </w:r>
            <w:r w:rsidR="004353DF" w:rsidRPr="001B53A8">
              <w:rPr>
                <w:b/>
                <w:lang w:val="sr-Latn-BA"/>
              </w:rPr>
              <w:t xml:space="preserve"> </w:t>
            </w:r>
            <w:r w:rsidRPr="001B53A8">
              <w:rPr>
                <w:b/>
                <w:lang w:val="sr-Latn-BA"/>
              </w:rPr>
              <w:t>ponudioca</w:t>
            </w:r>
          </w:p>
        </w:tc>
      </w:tr>
      <w:tr w:rsidR="004353DF" w:rsidRPr="001B53A8" w14:paraId="64C56477" w14:textId="77777777" w:rsidTr="004353DF">
        <w:trPr>
          <w:trHeight w:val="333"/>
          <w:tblHeader/>
        </w:trPr>
        <w:tc>
          <w:tcPr>
            <w:tcW w:w="261" w:type="pct"/>
            <w:vMerge/>
            <w:tcBorders>
              <w:top w:val="nil"/>
              <w:left w:val="single" w:sz="2" w:space="0" w:color="548DD4" w:themeColor="text2" w:themeTint="99"/>
              <w:bottom w:val="single" w:sz="18" w:space="0" w:color="548DD4" w:themeColor="text2" w:themeTint="99"/>
              <w:right w:val="nil"/>
            </w:tcBorders>
            <w:shd w:val="clear" w:color="auto" w:fill="auto"/>
            <w:vAlign w:val="center"/>
          </w:tcPr>
          <w:p w14:paraId="2C3047D4" w14:textId="77777777" w:rsidR="004353DF" w:rsidRPr="001B53A8" w:rsidRDefault="004353DF" w:rsidP="00003F34">
            <w:pPr>
              <w:pStyle w:val="Table"/>
              <w:jc w:val="center"/>
              <w:rPr>
                <w:b/>
                <w:lang w:val="sr-Latn-BA"/>
              </w:rPr>
            </w:pPr>
          </w:p>
        </w:tc>
        <w:tc>
          <w:tcPr>
            <w:tcW w:w="1092" w:type="pct"/>
            <w:vMerge/>
            <w:tcBorders>
              <w:top w:val="nil"/>
              <w:left w:val="nil"/>
              <w:bottom w:val="single" w:sz="18" w:space="0" w:color="548DD4" w:themeColor="text2" w:themeTint="99"/>
              <w:right w:val="nil"/>
            </w:tcBorders>
            <w:shd w:val="clear" w:color="auto" w:fill="auto"/>
            <w:vAlign w:val="center"/>
          </w:tcPr>
          <w:p w14:paraId="53405566" w14:textId="77777777" w:rsidR="004353DF" w:rsidRPr="001B53A8" w:rsidRDefault="004353DF" w:rsidP="00003F34">
            <w:pPr>
              <w:pStyle w:val="Table"/>
              <w:jc w:val="center"/>
              <w:rPr>
                <w:b/>
                <w:lang w:val="sr-Latn-BA"/>
              </w:rPr>
            </w:pPr>
          </w:p>
        </w:tc>
        <w:tc>
          <w:tcPr>
            <w:tcW w:w="602" w:type="pct"/>
            <w:vMerge/>
            <w:tcBorders>
              <w:top w:val="nil"/>
              <w:left w:val="nil"/>
              <w:bottom w:val="single" w:sz="18" w:space="0" w:color="548DD4" w:themeColor="text2" w:themeTint="99"/>
              <w:right w:val="nil"/>
            </w:tcBorders>
            <w:shd w:val="clear" w:color="auto" w:fill="auto"/>
            <w:vAlign w:val="center"/>
          </w:tcPr>
          <w:p w14:paraId="66190B89" w14:textId="77777777" w:rsidR="004353DF" w:rsidRPr="001B53A8" w:rsidRDefault="004353DF" w:rsidP="00003F34">
            <w:pPr>
              <w:pStyle w:val="Table"/>
              <w:jc w:val="center"/>
              <w:rPr>
                <w:b/>
                <w:lang w:val="sr-Latn-BA"/>
              </w:rPr>
            </w:pPr>
          </w:p>
        </w:tc>
        <w:tc>
          <w:tcPr>
            <w:tcW w:w="1053" w:type="pct"/>
            <w:vMerge/>
            <w:tcBorders>
              <w:top w:val="nil"/>
              <w:left w:val="nil"/>
              <w:bottom w:val="single" w:sz="18" w:space="0" w:color="548DD4" w:themeColor="text2" w:themeTint="99"/>
              <w:right w:val="nil"/>
            </w:tcBorders>
            <w:shd w:val="clear" w:color="auto" w:fill="auto"/>
            <w:vAlign w:val="center"/>
          </w:tcPr>
          <w:p w14:paraId="69DC6CAB" w14:textId="77777777" w:rsidR="004353DF" w:rsidRPr="001B53A8" w:rsidRDefault="004353DF" w:rsidP="00003F34">
            <w:pPr>
              <w:pStyle w:val="Table"/>
              <w:jc w:val="center"/>
              <w:rPr>
                <w:b/>
                <w:lang w:val="sr-Latn-BA"/>
              </w:rPr>
            </w:pPr>
          </w:p>
        </w:tc>
        <w:tc>
          <w:tcPr>
            <w:tcW w:w="651" w:type="pct"/>
            <w:vMerge/>
            <w:tcBorders>
              <w:top w:val="nil"/>
              <w:left w:val="nil"/>
              <w:bottom w:val="single" w:sz="18" w:space="0" w:color="548DD4" w:themeColor="text2" w:themeTint="99"/>
              <w:right w:val="nil"/>
            </w:tcBorders>
            <w:shd w:val="clear" w:color="auto" w:fill="auto"/>
            <w:vAlign w:val="center"/>
          </w:tcPr>
          <w:p w14:paraId="4841DD86" w14:textId="77777777" w:rsidR="004353DF" w:rsidRPr="001B53A8" w:rsidRDefault="004353DF" w:rsidP="00003F34">
            <w:pPr>
              <w:pStyle w:val="Table"/>
              <w:jc w:val="center"/>
              <w:rPr>
                <w:b/>
                <w:lang w:val="sr-Latn-BA"/>
              </w:rPr>
            </w:pPr>
          </w:p>
        </w:tc>
        <w:tc>
          <w:tcPr>
            <w:tcW w:w="668" w:type="pct"/>
            <w:tcBorders>
              <w:top w:val="nil"/>
              <w:left w:val="nil"/>
              <w:bottom w:val="single" w:sz="18" w:space="0" w:color="548DD4" w:themeColor="text2" w:themeTint="99"/>
              <w:right w:val="nil"/>
            </w:tcBorders>
            <w:shd w:val="clear" w:color="auto" w:fill="auto"/>
            <w:vAlign w:val="center"/>
          </w:tcPr>
          <w:p w14:paraId="21DC2BC2" w14:textId="25DD48C1" w:rsidR="004353DF" w:rsidRPr="001B53A8" w:rsidRDefault="00003F34" w:rsidP="00003F34">
            <w:pPr>
              <w:pStyle w:val="Table"/>
              <w:jc w:val="center"/>
              <w:rPr>
                <w:b/>
                <w:lang w:val="sr-Latn-BA"/>
              </w:rPr>
            </w:pPr>
            <w:r w:rsidRPr="001B53A8">
              <w:rPr>
                <w:b/>
                <w:lang w:val="sr-Latn-BA"/>
              </w:rPr>
              <w:t>prije</w:t>
            </w:r>
            <w:r w:rsidR="004353DF" w:rsidRPr="001B53A8">
              <w:rPr>
                <w:b/>
                <w:lang w:val="sr-Latn-BA"/>
              </w:rPr>
              <w:t xml:space="preserve"> </w:t>
            </w:r>
            <w:r w:rsidRPr="001B53A8">
              <w:rPr>
                <w:b/>
                <w:lang w:val="sr-Latn-BA"/>
              </w:rPr>
              <w:t>preuzimanja</w:t>
            </w:r>
          </w:p>
        </w:tc>
        <w:tc>
          <w:tcPr>
            <w:tcW w:w="673" w:type="pct"/>
            <w:tcBorders>
              <w:top w:val="nil"/>
              <w:left w:val="nil"/>
              <w:bottom w:val="single" w:sz="18" w:space="0" w:color="548DD4" w:themeColor="text2" w:themeTint="99"/>
              <w:right w:val="single" w:sz="2" w:space="0" w:color="548DD4" w:themeColor="text2" w:themeTint="99"/>
            </w:tcBorders>
            <w:shd w:val="clear" w:color="auto" w:fill="auto"/>
            <w:vAlign w:val="center"/>
          </w:tcPr>
          <w:p w14:paraId="16876F4C" w14:textId="7C67C7FC" w:rsidR="004353DF" w:rsidRPr="001B53A8" w:rsidRDefault="00003F34" w:rsidP="00003F34">
            <w:pPr>
              <w:pStyle w:val="Table"/>
              <w:jc w:val="center"/>
              <w:rPr>
                <w:b/>
                <w:lang w:val="sr-Latn-BA"/>
              </w:rPr>
            </w:pPr>
            <w:r w:rsidRPr="001B53A8">
              <w:rPr>
                <w:b/>
                <w:lang w:val="sr-Latn-BA"/>
              </w:rPr>
              <w:t>nakon</w:t>
            </w:r>
            <w:r w:rsidR="004353DF" w:rsidRPr="001B53A8">
              <w:rPr>
                <w:b/>
                <w:lang w:val="sr-Latn-BA"/>
              </w:rPr>
              <w:t xml:space="preserve"> </w:t>
            </w:r>
            <w:r w:rsidRPr="001B53A8">
              <w:rPr>
                <w:b/>
                <w:lang w:val="sr-Latn-BA"/>
              </w:rPr>
              <w:t>preuzimanja</w:t>
            </w:r>
          </w:p>
        </w:tc>
      </w:tr>
      <w:tr w:rsidR="004353DF" w:rsidRPr="001B53A8" w14:paraId="79F01058" w14:textId="77777777" w:rsidTr="004353DF">
        <w:trPr>
          <w:trHeight w:val="399"/>
        </w:trPr>
        <w:tc>
          <w:tcPr>
            <w:tcW w:w="5000" w:type="pct"/>
            <w:gridSpan w:val="7"/>
            <w:tcBorders>
              <w:top w:val="single" w:sz="18" w:space="0" w:color="548DD4" w:themeColor="text2" w:themeTint="99"/>
            </w:tcBorders>
            <w:shd w:val="clear" w:color="auto" w:fill="auto"/>
            <w:vAlign w:val="center"/>
          </w:tcPr>
          <w:p w14:paraId="03AC095E" w14:textId="3F12BBC2" w:rsidR="004353DF" w:rsidRPr="001B53A8" w:rsidRDefault="00003F34" w:rsidP="00003F34">
            <w:pPr>
              <w:pStyle w:val="Table"/>
              <w:jc w:val="center"/>
              <w:rPr>
                <w:b/>
                <w:lang w:val="sr-Latn-BA"/>
              </w:rPr>
            </w:pPr>
            <w:r w:rsidRPr="001B53A8">
              <w:rPr>
                <w:b/>
                <w:lang w:val="sr-Latn-BA"/>
              </w:rPr>
              <w:t>Ponudilac</w:t>
            </w:r>
            <w:r w:rsidR="004353DF" w:rsidRPr="001B53A8">
              <w:rPr>
                <w:b/>
                <w:lang w:val="sr-Latn-BA"/>
              </w:rPr>
              <w:t xml:space="preserve"> </w:t>
            </w:r>
            <w:r w:rsidRPr="001B53A8">
              <w:rPr>
                <w:b/>
                <w:lang w:val="sr-Latn-BA"/>
              </w:rPr>
              <w:t>stekao</w:t>
            </w:r>
            <w:r w:rsidR="004353DF" w:rsidRPr="001B53A8">
              <w:rPr>
                <w:b/>
                <w:lang w:val="sr-Latn-BA"/>
              </w:rPr>
              <w:t xml:space="preserve"> </w:t>
            </w:r>
            <w:r w:rsidRPr="001B53A8">
              <w:rPr>
                <w:b/>
                <w:lang w:val="sr-Latn-BA"/>
              </w:rPr>
              <w:t>preko</w:t>
            </w:r>
            <w:r w:rsidR="004353DF" w:rsidRPr="001B53A8">
              <w:rPr>
                <w:b/>
                <w:lang w:val="sr-Latn-BA"/>
              </w:rPr>
              <w:t xml:space="preserve"> 75% </w:t>
            </w:r>
            <w:r w:rsidRPr="001B53A8">
              <w:rPr>
                <w:b/>
                <w:lang w:val="sr-Latn-BA"/>
              </w:rPr>
              <w:t>vlasništva</w:t>
            </w:r>
            <w:r w:rsidR="004353DF" w:rsidRPr="001B53A8">
              <w:rPr>
                <w:b/>
                <w:lang w:val="sr-Latn-BA"/>
              </w:rPr>
              <w:t xml:space="preserve"> </w:t>
            </w:r>
            <w:r w:rsidRPr="001B53A8">
              <w:rPr>
                <w:b/>
                <w:lang w:val="sr-Latn-BA"/>
              </w:rPr>
              <w:t>emitenta</w:t>
            </w:r>
          </w:p>
        </w:tc>
      </w:tr>
      <w:tr w:rsidR="004353DF" w:rsidRPr="001B53A8" w14:paraId="27F53056" w14:textId="77777777" w:rsidTr="004353DF">
        <w:trPr>
          <w:trHeight w:val="503"/>
        </w:trPr>
        <w:tc>
          <w:tcPr>
            <w:tcW w:w="261" w:type="pct"/>
            <w:shd w:val="clear" w:color="auto" w:fill="auto"/>
            <w:vAlign w:val="center"/>
          </w:tcPr>
          <w:p w14:paraId="09AFFED3" w14:textId="77777777" w:rsidR="004353DF" w:rsidRPr="001B53A8" w:rsidRDefault="004353DF" w:rsidP="00003F34">
            <w:pPr>
              <w:spacing w:before="0" w:after="0" w:line="240" w:lineRule="auto"/>
              <w:ind w:firstLine="0"/>
              <w:jc w:val="center"/>
              <w:rPr>
                <w:sz w:val="20"/>
                <w:szCs w:val="20"/>
                <w:lang w:val="sr-Latn-BA" w:eastAsia="bs-Latn-BA"/>
              </w:rPr>
            </w:pPr>
            <w:r w:rsidRPr="001B53A8">
              <w:rPr>
                <w:sz w:val="20"/>
                <w:szCs w:val="20"/>
                <w:lang w:val="sr-Latn-BA" w:eastAsia="bs-Latn-BA"/>
              </w:rPr>
              <w:t>1.</w:t>
            </w:r>
          </w:p>
        </w:tc>
        <w:tc>
          <w:tcPr>
            <w:tcW w:w="1092" w:type="pct"/>
            <w:shd w:val="clear" w:color="auto" w:fill="auto"/>
            <w:vAlign w:val="center"/>
          </w:tcPr>
          <w:p w14:paraId="3FCFAC0F" w14:textId="05E58CA2"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w:t>
            </w:r>
            <w:r w:rsidR="00003F34" w:rsidRPr="001B53A8">
              <w:rPr>
                <w:sz w:val="20"/>
                <w:szCs w:val="20"/>
                <w:lang w:val="sr-Latn-BA"/>
              </w:rPr>
              <w:t>Metalno</w:t>
            </w:r>
            <w:r w:rsidRPr="001B53A8">
              <w:rPr>
                <w:sz w:val="20"/>
                <w:szCs w:val="20"/>
                <w:lang w:val="sr-Latn-BA"/>
              </w:rPr>
              <w:t xml:space="preserve">“ </w:t>
            </w:r>
            <w:r w:rsidR="00003F34" w:rsidRPr="001B53A8">
              <w:rPr>
                <w:sz w:val="20"/>
                <w:szCs w:val="20"/>
                <w:lang w:val="sr-Latn-BA"/>
              </w:rPr>
              <w:t>a</w:t>
            </w:r>
            <w:r w:rsidRPr="001B53A8">
              <w:rPr>
                <w:sz w:val="20"/>
                <w:szCs w:val="20"/>
                <w:lang w:val="sr-Latn-BA"/>
              </w:rPr>
              <w:t>.</w:t>
            </w:r>
            <w:r w:rsidR="00003F34" w:rsidRPr="001B53A8">
              <w:rPr>
                <w:sz w:val="20"/>
                <w:szCs w:val="20"/>
                <w:lang w:val="sr-Latn-BA"/>
              </w:rPr>
              <w:t>d</w:t>
            </w:r>
            <w:r w:rsidRPr="001B53A8">
              <w:rPr>
                <w:sz w:val="20"/>
                <w:szCs w:val="20"/>
                <w:lang w:val="sr-Latn-BA"/>
              </w:rPr>
              <w:t xml:space="preserve">. </w:t>
            </w:r>
            <w:r w:rsidR="00003F34" w:rsidRPr="001B53A8">
              <w:rPr>
                <w:sz w:val="20"/>
                <w:szCs w:val="20"/>
                <w:lang w:val="sr-Latn-BA"/>
              </w:rPr>
              <w:t>Zvornik</w:t>
            </w:r>
          </w:p>
        </w:tc>
        <w:tc>
          <w:tcPr>
            <w:tcW w:w="602" w:type="pct"/>
            <w:shd w:val="clear" w:color="auto" w:fill="auto"/>
            <w:vAlign w:val="center"/>
          </w:tcPr>
          <w:p w14:paraId="1D089943"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10.779.609</w:t>
            </w:r>
          </w:p>
        </w:tc>
        <w:tc>
          <w:tcPr>
            <w:tcW w:w="1053" w:type="pct"/>
            <w:shd w:val="clear" w:color="auto" w:fill="auto"/>
            <w:vAlign w:val="bottom"/>
          </w:tcPr>
          <w:p w14:paraId="6DEC62B3" w14:textId="050F859A"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w:t>
            </w:r>
            <w:r w:rsidR="00003F34" w:rsidRPr="001B53A8">
              <w:rPr>
                <w:sz w:val="20"/>
                <w:szCs w:val="20"/>
                <w:lang w:val="sr-Latn-BA"/>
              </w:rPr>
              <w:t>Jokić</w:t>
            </w:r>
            <w:r w:rsidRPr="001B53A8">
              <w:rPr>
                <w:sz w:val="20"/>
                <w:szCs w:val="20"/>
                <w:lang w:val="sr-Latn-BA"/>
              </w:rPr>
              <w:t>-</w:t>
            </w:r>
            <w:r w:rsidR="00003F34" w:rsidRPr="001B53A8">
              <w:rPr>
                <w:sz w:val="20"/>
                <w:szCs w:val="20"/>
                <w:lang w:val="sr-Latn-BA"/>
              </w:rPr>
              <w:t>invest</w:t>
            </w:r>
            <w:r w:rsidRPr="001B53A8">
              <w:rPr>
                <w:sz w:val="20"/>
                <w:szCs w:val="20"/>
                <w:lang w:val="sr-Latn-BA"/>
              </w:rPr>
              <w:t xml:space="preserve">“ </w:t>
            </w:r>
            <w:r w:rsidR="00003F34" w:rsidRPr="001B53A8">
              <w:rPr>
                <w:sz w:val="20"/>
                <w:szCs w:val="20"/>
                <w:lang w:val="sr-Latn-BA"/>
              </w:rPr>
              <w:t>d</w:t>
            </w:r>
            <w:r w:rsidRPr="001B53A8">
              <w:rPr>
                <w:sz w:val="20"/>
                <w:szCs w:val="20"/>
                <w:lang w:val="sr-Latn-BA"/>
              </w:rPr>
              <w:t>.</w:t>
            </w:r>
            <w:r w:rsidR="00003F34" w:rsidRPr="001B53A8">
              <w:rPr>
                <w:sz w:val="20"/>
                <w:szCs w:val="20"/>
                <w:lang w:val="sr-Latn-BA"/>
              </w:rPr>
              <w:t>o</w:t>
            </w:r>
            <w:r w:rsidRPr="001B53A8">
              <w:rPr>
                <w:sz w:val="20"/>
                <w:szCs w:val="20"/>
                <w:lang w:val="sr-Latn-BA"/>
              </w:rPr>
              <w:t>.</w:t>
            </w:r>
            <w:r w:rsidR="00003F34" w:rsidRPr="001B53A8">
              <w:rPr>
                <w:sz w:val="20"/>
                <w:szCs w:val="20"/>
                <w:lang w:val="sr-Latn-BA"/>
              </w:rPr>
              <w:t>o</w:t>
            </w:r>
            <w:r w:rsidRPr="001B53A8">
              <w:rPr>
                <w:sz w:val="20"/>
                <w:szCs w:val="20"/>
                <w:lang w:val="sr-Latn-BA"/>
              </w:rPr>
              <w:t xml:space="preserve">. </w:t>
            </w:r>
            <w:r w:rsidR="00003F34" w:rsidRPr="001B53A8">
              <w:rPr>
                <w:sz w:val="20"/>
                <w:szCs w:val="20"/>
                <w:lang w:val="sr-Latn-BA"/>
              </w:rPr>
              <w:t>Zvornik</w:t>
            </w:r>
          </w:p>
        </w:tc>
        <w:tc>
          <w:tcPr>
            <w:tcW w:w="651" w:type="pct"/>
            <w:shd w:val="clear" w:color="auto" w:fill="auto"/>
            <w:vAlign w:val="bottom"/>
          </w:tcPr>
          <w:p w14:paraId="2093522F" w14:textId="5191C15A"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 xml:space="preserve">0,276 </w:t>
            </w:r>
            <w:r w:rsidR="00003F34" w:rsidRPr="001B53A8">
              <w:rPr>
                <w:sz w:val="20"/>
                <w:szCs w:val="20"/>
                <w:lang w:val="sr-Latn-BA"/>
              </w:rPr>
              <w:t>KM</w:t>
            </w:r>
          </w:p>
        </w:tc>
        <w:tc>
          <w:tcPr>
            <w:tcW w:w="668" w:type="pct"/>
            <w:shd w:val="clear" w:color="auto" w:fill="auto"/>
            <w:noWrap/>
            <w:vAlign w:val="bottom"/>
          </w:tcPr>
          <w:p w14:paraId="4EC490F1"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69,9746%</w:t>
            </w:r>
          </w:p>
        </w:tc>
        <w:tc>
          <w:tcPr>
            <w:tcW w:w="673" w:type="pct"/>
            <w:shd w:val="clear" w:color="auto" w:fill="auto"/>
            <w:noWrap/>
            <w:vAlign w:val="bottom"/>
          </w:tcPr>
          <w:p w14:paraId="65F94C68"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82,4179%</w:t>
            </w:r>
          </w:p>
        </w:tc>
      </w:tr>
      <w:tr w:rsidR="004353DF" w:rsidRPr="001B53A8" w14:paraId="4B4DC318" w14:textId="77777777" w:rsidTr="004353DF">
        <w:trPr>
          <w:trHeight w:val="503"/>
        </w:trPr>
        <w:tc>
          <w:tcPr>
            <w:tcW w:w="261" w:type="pct"/>
            <w:shd w:val="clear" w:color="auto" w:fill="auto"/>
            <w:vAlign w:val="center"/>
          </w:tcPr>
          <w:p w14:paraId="044C2511" w14:textId="77777777" w:rsidR="004353DF" w:rsidRPr="001B53A8" w:rsidRDefault="004353DF" w:rsidP="00003F34">
            <w:pPr>
              <w:spacing w:before="0" w:after="0" w:line="240" w:lineRule="auto"/>
              <w:ind w:firstLine="0"/>
              <w:jc w:val="center"/>
              <w:rPr>
                <w:sz w:val="20"/>
                <w:szCs w:val="20"/>
                <w:lang w:val="sr-Latn-BA" w:eastAsia="bs-Latn-BA"/>
              </w:rPr>
            </w:pPr>
            <w:r w:rsidRPr="001B53A8">
              <w:rPr>
                <w:sz w:val="20"/>
                <w:szCs w:val="20"/>
                <w:lang w:val="sr-Latn-BA" w:eastAsia="bs-Latn-BA"/>
              </w:rPr>
              <w:t>2.</w:t>
            </w:r>
          </w:p>
        </w:tc>
        <w:tc>
          <w:tcPr>
            <w:tcW w:w="1092" w:type="pct"/>
            <w:shd w:val="clear" w:color="auto" w:fill="auto"/>
            <w:vAlign w:val="center"/>
          </w:tcPr>
          <w:p w14:paraId="7836BE23" w14:textId="4C7C3CF4"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w:t>
            </w:r>
            <w:r w:rsidR="00003F34" w:rsidRPr="001B53A8">
              <w:rPr>
                <w:sz w:val="20"/>
                <w:szCs w:val="20"/>
                <w:lang w:val="sr-Latn-BA"/>
              </w:rPr>
              <w:t>Duvan</w:t>
            </w:r>
            <w:r w:rsidRPr="001B53A8">
              <w:rPr>
                <w:sz w:val="20"/>
                <w:szCs w:val="20"/>
                <w:lang w:val="sr-Latn-BA"/>
              </w:rPr>
              <w:t xml:space="preserve">“ </w:t>
            </w:r>
            <w:r w:rsidR="00003F34" w:rsidRPr="001B53A8">
              <w:rPr>
                <w:sz w:val="20"/>
                <w:szCs w:val="20"/>
                <w:lang w:val="sr-Latn-BA"/>
              </w:rPr>
              <w:t>a</w:t>
            </w:r>
            <w:r w:rsidRPr="001B53A8">
              <w:rPr>
                <w:sz w:val="20"/>
                <w:szCs w:val="20"/>
                <w:lang w:val="sr-Latn-BA"/>
              </w:rPr>
              <w:t>.</w:t>
            </w:r>
            <w:r w:rsidR="00003F34" w:rsidRPr="001B53A8">
              <w:rPr>
                <w:sz w:val="20"/>
                <w:szCs w:val="20"/>
                <w:lang w:val="sr-Latn-BA"/>
              </w:rPr>
              <w:t>d</w:t>
            </w:r>
            <w:r w:rsidRPr="001B53A8">
              <w:rPr>
                <w:sz w:val="20"/>
                <w:szCs w:val="20"/>
                <w:lang w:val="sr-Latn-BA"/>
              </w:rPr>
              <w:t xml:space="preserve">. </w:t>
            </w:r>
            <w:r w:rsidR="00003F34" w:rsidRPr="001B53A8">
              <w:rPr>
                <w:sz w:val="20"/>
                <w:szCs w:val="20"/>
                <w:lang w:val="sr-Latn-BA"/>
              </w:rPr>
              <w:t>Bijelјina</w:t>
            </w:r>
          </w:p>
        </w:tc>
        <w:tc>
          <w:tcPr>
            <w:tcW w:w="602" w:type="pct"/>
            <w:shd w:val="clear" w:color="auto" w:fill="auto"/>
            <w:vAlign w:val="center"/>
          </w:tcPr>
          <w:p w14:paraId="6729310F"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1.485.402</w:t>
            </w:r>
          </w:p>
        </w:tc>
        <w:tc>
          <w:tcPr>
            <w:tcW w:w="1053" w:type="pct"/>
            <w:shd w:val="clear" w:color="auto" w:fill="auto"/>
            <w:vAlign w:val="bottom"/>
          </w:tcPr>
          <w:p w14:paraId="324BFF77" w14:textId="31C24507" w:rsidR="004353DF" w:rsidRPr="001B53A8" w:rsidRDefault="00003F34" w:rsidP="00003F34">
            <w:pPr>
              <w:spacing w:before="0" w:after="0" w:line="240" w:lineRule="auto"/>
              <w:ind w:firstLine="0"/>
              <w:jc w:val="center"/>
              <w:rPr>
                <w:sz w:val="20"/>
                <w:szCs w:val="20"/>
                <w:lang w:val="sr-Latn-BA"/>
              </w:rPr>
            </w:pPr>
            <w:r w:rsidRPr="001B53A8">
              <w:rPr>
                <w:sz w:val="20"/>
                <w:szCs w:val="20"/>
                <w:lang w:val="sr-Latn-BA"/>
              </w:rPr>
              <w:t>Mihajlović</w:t>
            </w:r>
            <w:r w:rsidR="004353DF" w:rsidRPr="001B53A8">
              <w:rPr>
                <w:sz w:val="20"/>
                <w:szCs w:val="20"/>
                <w:lang w:val="sr-Latn-BA"/>
              </w:rPr>
              <w:t xml:space="preserve"> </w:t>
            </w:r>
            <w:r w:rsidRPr="001B53A8">
              <w:rPr>
                <w:sz w:val="20"/>
                <w:szCs w:val="20"/>
                <w:lang w:val="sr-Latn-BA"/>
              </w:rPr>
              <w:t>Svetozar</w:t>
            </w:r>
          </w:p>
        </w:tc>
        <w:tc>
          <w:tcPr>
            <w:tcW w:w="651" w:type="pct"/>
            <w:shd w:val="clear" w:color="auto" w:fill="auto"/>
            <w:vAlign w:val="bottom"/>
          </w:tcPr>
          <w:p w14:paraId="28944B1A" w14:textId="4C26B10A"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 xml:space="preserve">0,215 </w:t>
            </w:r>
            <w:r w:rsidR="00003F34" w:rsidRPr="001B53A8">
              <w:rPr>
                <w:sz w:val="20"/>
                <w:szCs w:val="20"/>
                <w:lang w:val="sr-Latn-BA"/>
              </w:rPr>
              <w:t>KM</w:t>
            </w:r>
          </w:p>
        </w:tc>
        <w:tc>
          <w:tcPr>
            <w:tcW w:w="668" w:type="pct"/>
            <w:shd w:val="clear" w:color="auto" w:fill="auto"/>
            <w:noWrap/>
            <w:vAlign w:val="bottom"/>
          </w:tcPr>
          <w:p w14:paraId="5C11FA3D"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29,9981%</w:t>
            </w:r>
          </w:p>
        </w:tc>
        <w:tc>
          <w:tcPr>
            <w:tcW w:w="673" w:type="pct"/>
            <w:shd w:val="clear" w:color="auto" w:fill="auto"/>
            <w:noWrap/>
            <w:vAlign w:val="bottom"/>
          </w:tcPr>
          <w:p w14:paraId="38B9CF2D"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78,5562%</w:t>
            </w:r>
          </w:p>
        </w:tc>
      </w:tr>
      <w:tr w:rsidR="004353DF" w:rsidRPr="001B53A8" w14:paraId="100D92A6" w14:textId="77777777" w:rsidTr="004353DF">
        <w:trPr>
          <w:trHeight w:val="503"/>
        </w:trPr>
        <w:tc>
          <w:tcPr>
            <w:tcW w:w="261" w:type="pct"/>
            <w:shd w:val="clear" w:color="auto" w:fill="auto"/>
            <w:vAlign w:val="center"/>
          </w:tcPr>
          <w:p w14:paraId="01425015" w14:textId="77777777" w:rsidR="004353DF" w:rsidRPr="001B53A8" w:rsidRDefault="004353DF" w:rsidP="00003F34">
            <w:pPr>
              <w:spacing w:before="0" w:after="0" w:line="240" w:lineRule="auto"/>
              <w:ind w:firstLine="0"/>
              <w:jc w:val="center"/>
              <w:rPr>
                <w:sz w:val="20"/>
                <w:szCs w:val="20"/>
                <w:lang w:val="sr-Latn-BA" w:eastAsia="bs-Latn-BA"/>
              </w:rPr>
            </w:pPr>
            <w:r w:rsidRPr="001B53A8">
              <w:rPr>
                <w:sz w:val="20"/>
                <w:szCs w:val="20"/>
                <w:lang w:val="sr-Latn-BA" w:eastAsia="bs-Latn-BA"/>
              </w:rPr>
              <w:t>3.</w:t>
            </w:r>
          </w:p>
        </w:tc>
        <w:tc>
          <w:tcPr>
            <w:tcW w:w="1092" w:type="pct"/>
            <w:shd w:val="clear" w:color="auto" w:fill="auto"/>
            <w:vAlign w:val="center"/>
          </w:tcPr>
          <w:p w14:paraId="6806D95E" w14:textId="558FFB61" w:rsidR="004353DF" w:rsidRPr="001B53A8" w:rsidRDefault="00003F34" w:rsidP="00003F34">
            <w:pPr>
              <w:spacing w:before="0" w:after="0" w:line="240" w:lineRule="auto"/>
              <w:ind w:firstLine="0"/>
              <w:jc w:val="center"/>
              <w:rPr>
                <w:sz w:val="20"/>
                <w:szCs w:val="20"/>
                <w:lang w:val="sr-Latn-BA"/>
              </w:rPr>
            </w:pPr>
            <w:r w:rsidRPr="001B53A8">
              <w:rPr>
                <w:sz w:val="20"/>
                <w:szCs w:val="20"/>
                <w:lang w:val="sr-Latn-BA"/>
              </w:rPr>
              <w:t>RK</w:t>
            </w:r>
            <w:r w:rsidR="004353DF" w:rsidRPr="001B53A8">
              <w:rPr>
                <w:sz w:val="20"/>
                <w:szCs w:val="20"/>
                <w:lang w:val="sr-Latn-BA"/>
              </w:rPr>
              <w:t xml:space="preserve"> „</w:t>
            </w:r>
            <w:r w:rsidRPr="001B53A8">
              <w:rPr>
                <w:sz w:val="20"/>
                <w:szCs w:val="20"/>
                <w:lang w:val="sr-Latn-BA"/>
              </w:rPr>
              <w:t>Boska</w:t>
            </w:r>
            <w:r w:rsidR="004353DF" w:rsidRPr="001B53A8">
              <w:rPr>
                <w:sz w:val="20"/>
                <w:szCs w:val="20"/>
                <w:lang w:val="sr-Latn-BA"/>
              </w:rPr>
              <w:t xml:space="preserve">“ </w:t>
            </w:r>
            <w:r w:rsidRPr="001B53A8">
              <w:rPr>
                <w:sz w:val="20"/>
                <w:szCs w:val="20"/>
                <w:lang w:val="sr-Latn-BA"/>
              </w:rPr>
              <w:t>a</w:t>
            </w:r>
            <w:r w:rsidR="004353DF" w:rsidRPr="001B53A8">
              <w:rPr>
                <w:sz w:val="20"/>
                <w:szCs w:val="20"/>
                <w:lang w:val="sr-Latn-BA"/>
              </w:rPr>
              <w:t>.</w:t>
            </w:r>
            <w:r w:rsidRPr="001B53A8">
              <w:rPr>
                <w:sz w:val="20"/>
                <w:szCs w:val="20"/>
                <w:lang w:val="sr-Latn-BA"/>
              </w:rPr>
              <w:t>d</w:t>
            </w:r>
            <w:r w:rsidR="004353DF" w:rsidRPr="001B53A8">
              <w:rPr>
                <w:sz w:val="20"/>
                <w:szCs w:val="20"/>
                <w:lang w:val="sr-Latn-BA"/>
              </w:rPr>
              <w:t xml:space="preserve">. </w:t>
            </w:r>
            <w:r w:rsidRPr="001B53A8">
              <w:rPr>
                <w:sz w:val="20"/>
                <w:szCs w:val="20"/>
                <w:lang w:val="sr-Latn-BA"/>
              </w:rPr>
              <w:t>Bijelјina</w:t>
            </w:r>
          </w:p>
        </w:tc>
        <w:tc>
          <w:tcPr>
            <w:tcW w:w="602" w:type="pct"/>
            <w:shd w:val="clear" w:color="auto" w:fill="auto"/>
            <w:vAlign w:val="center"/>
          </w:tcPr>
          <w:p w14:paraId="69CDDDA3"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22.886.599</w:t>
            </w:r>
          </w:p>
        </w:tc>
        <w:tc>
          <w:tcPr>
            <w:tcW w:w="1053" w:type="pct"/>
            <w:shd w:val="clear" w:color="auto" w:fill="auto"/>
            <w:vAlign w:val="bottom"/>
          </w:tcPr>
          <w:p w14:paraId="19BCB080" w14:textId="7D1817F2"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 xml:space="preserve">„Kaboss PRO“ </w:t>
            </w:r>
            <w:r w:rsidR="00003F34" w:rsidRPr="001B53A8">
              <w:rPr>
                <w:sz w:val="20"/>
                <w:szCs w:val="20"/>
                <w:lang w:val="sr-Latn-BA"/>
              </w:rPr>
              <w:t>d</w:t>
            </w:r>
            <w:r w:rsidRPr="001B53A8">
              <w:rPr>
                <w:sz w:val="20"/>
                <w:szCs w:val="20"/>
                <w:lang w:val="sr-Latn-BA"/>
              </w:rPr>
              <w:t>.</w:t>
            </w:r>
            <w:r w:rsidR="00003F34" w:rsidRPr="001B53A8">
              <w:rPr>
                <w:sz w:val="20"/>
                <w:szCs w:val="20"/>
                <w:lang w:val="sr-Latn-BA"/>
              </w:rPr>
              <w:t>o</w:t>
            </w:r>
            <w:r w:rsidRPr="001B53A8">
              <w:rPr>
                <w:sz w:val="20"/>
                <w:szCs w:val="20"/>
                <w:lang w:val="sr-Latn-BA"/>
              </w:rPr>
              <w:t>.</w:t>
            </w:r>
            <w:r w:rsidR="00003F34" w:rsidRPr="001B53A8">
              <w:rPr>
                <w:sz w:val="20"/>
                <w:szCs w:val="20"/>
                <w:lang w:val="sr-Latn-BA"/>
              </w:rPr>
              <w:t>o</w:t>
            </w:r>
            <w:r w:rsidRPr="001B53A8">
              <w:rPr>
                <w:sz w:val="20"/>
                <w:szCs w:val="20"/>
                <w:lang w:val="sr-Latn-BA"/>
              </w:rPr>
              <w:t xml:space="preserve">. </w:t>
            </w:r>
            <w:r w:rsidR="00003F34" w:rsidRPr="001B53A8">
              <w:rPr>
                <w:sz w:val="20"/>
                <w:szCs w:val="20"/>
                <w:lang w:val="sr-Latn-BA"/>
              </w:rPr>
              <w:t>Beograd</w:t>
            </w:r>
          </w:p>
        </w:tc>
        <w:tc>
          <w:tcPr>
            <w:tcW w:w="651" w:type="pct"/>
            <w:shd w:val="clear" w:color="auto" w:fill="auto"/>
            <w:vAlign w:val="bottom"/>
          </w:tcPr>
          <w:p w14:paraId="76CBE2C2" w14:textId="7A1227B4"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 xml:space="preserve">0,39 </w:t>
            </w:r>
            <w:r w:rsidR="00003F34" w:rsidRPr="001B53A8">
              <w:rPr>
                <w:sz w:val="20"/>
                <w:szCs w:val="20"/>
                <w:lang w:val="sr-Latn-BA"/>
              </w:rPr>
              <w:t>KM</w:t>
            </w:r>
          </w:p>
        </w:tc>
        <w:tc>
          <w:tcPr>
            <w:tcW w:w="668" w:type="pct"/>
            <w:shd w:val="clear" w:color="auto" w:fill="auto"/>
            <w:noWrap/>
            <w:vAlign w:val="bottom"/>
          </w:tcPr>
          <w:p w14:paraId="06C71887"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28,5792%</w:t>
            </w:r>
          </w:p>
        </w:tc>
        <w:tc>
          <w:tcPr>
            <w:tcW w:w="673" w:type="pct"/>
            <w:shd w:val="clear" w:color="auto" w:fill="auto"/>
            <w:noWrap/>
            <w:vAlign w:val="bottom"/>
          </w:tcPr>
          <w:p w14:paraId="1F04A3D3"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88,0472%</w:t>
            </w:r>
          </w:p>
        </w:tc>
      </w:tr>
      <w:tr w:rsidR="004353DF" w:rsidRPr="001B53A8" w14:paraId="3A697AE9" w14:textId="77777777" w:rsidTr="004353DF">
        <w:trPr>
          <w:trHeight w:val="503"/>
        </w:trPr>
        <w:tc>
          <w:tcPr>
            <w:tcW w:w="261" w:type="pct"/>
            <w:shd w:val="clear" w:color="auto" w:fill="auto"/>
            <w:vAlign w:val="center"/>
          </w:tcPr>
          <w:p w14:paraId="73BF983C" w14:textId="77777777" w:rsidR="004353DF" w:rsidRPr="001B53A8" w:rsidRDefault="004353DF" w:rsidP="00003F34">
            <w:pPr>
              <w:spacing w:before="0" w:after="0" w:line="240" w:lineRule="auto"/>
              <w:ind w:firstLine="0"/>
              <w:jc w:val="center"/>
              <w:rPr>
                <w:sz w:val="20"/>
                <w:szCs w:val="20"/>
                <w:lang w:val="sr-Latn-BA" w:eastAsia="bs-Latn-BA"/>
              </w:rPr>
            </w:pPr>
            <w:r w:rsidRPr="001B53A8">
              <w:rPr>
                <w:sz w:val="20"/>
                <w:szCs w:val="20"/>
                <w:lang w:val="sr-Latn-BA" w:eastAsia="bs-Latn-BA"/>
              </w:rPr>
              <w:t>4.</w:t>
            </w:r>
          </w:p>
        </w:tc>
        <w:tc>
          <w:tcPr>
            <w:tcW w:w="1092" w:type="pct"/>
            <w:shd w:val="clear" w:color="auto" w:fill="auto"/>
            <w:vAlign w:val="center"/>
          </w:tcPr>
          <w:p w14:paraId="18401CE7" w14:textId="40D3711A"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w:t>
            </w:r>
            <w:r w:rsidR="00003F34" w:rsidRPr="001B53A8">
              <w:rPr>
                <w:sz w:val="20"/>
                <w:szCs w:val="20"/>
                <w:lang w:val="sr-Latn-BA"/>
              </w:rPr>
              <w:t>Hercegovinapute</w:t>
            </w:r>
            <w:r w:rsidRPr="001B53A8">
              <w:rPr>
                <w:sz w:val="20"/>
                <w:szCs w:val="20"/>
                <w:lang w:val="sr-Latn-BA"/>
              </w:rPr>
              <w:t>-</w:t>
            </w:r>
            <w:r w:rsidR="00003F34" w:rsidRPr="001B53A8">
              <w:rPr>
                <w:sz w:val="20"/>
                <w:szCs w:val="20"/>
                <w:lang w:val="sr-Latn-BA"/>
              </w:rPr>
              <w:t>vi</w:t>
            </w:r>
            <w:r w:rsidRPr="001B53A8">
              <w:rPr>
                <w:sz w:val="20"/>
                <w:szCs w:val="20"/>
                <w:lang w:val="sr-Latn-BA"/>
              </w:rPr>
              <w:t xml:space="preserve">“ </w:t>
            </w:r>
            <w:r w:rsidR="00003F34" w:rsidRPr="001B53A8">
              <w:rPr>
                <w:sz w:val="20"/>
                <w:szCs w:val="20"/>
                <w:lang w:val="sr-Latn-BA"/>
              </w:rPr>
              <w:t>a</w:t>
            </w:r>
            <w:r w:rsidRPr="001B53A8">
              <w:rPr>
                <w:sz w:val="20"/>
                <w:szCs w:val="20"/>
                <w:lang w:val="sr-Latn-BA"/>
              </w:rPr>
              <w:t>.</w:t>
            </w:r>
            <w:r w:rsidR="00003F34" w:rsidRPr="001B53A8">
              <w:rPr>
                <w:sz w:val="20"/>
                <w:szCs w:val="20"/>
                <w:lang w:val="sr-Latn-BA"/>
              </w:rPr>
              <w:t>d</w:t>
            </w:r>
            <w:r w:rsidRPr="001B53A8">
              <w:rPr>
                <w:sz w:val="20"/>
                <w:szCs w:val="20"/>
                <w:lang w:val="sr-Latn-BA"/>
              </w:rPr>
              <w:t xml:space="preserve">. </w:t>
            </w:r>
            <w:r w:rsidR="00003F34" w:rsidRPr="001B53A8">
              <w:rPr>
                <w:sz w:val="20"/>
                <w:szCs w:val="20"/>
                <w:lang w:val="sr-Latn-BA"/>
              </w:rPr>
              <w:t>Trebinje</w:t>
            </w:r>
          </w:p>
        </w:tc>
        <w:tc>
          <w:tcPr>
            <w:tcW w:w="602" w:type="pct"/>
            <w:shd w:val="clear" w:color="auto" w:fill="auto"/>
            <w:vAlign w:val="center"/>
          </w:tcPr>
          <w:p w14:paraId="6EA17AFE"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2.196.788</w:t>
            </w:r>
          </w:p>
        </w:tc>
        <w:tc>
          <w:tcPr>
            <w:tcW w:w="1053" w:type="pct"/>
            <w:shd w:val="clear" w:color="auto" w:fill="auto"/>
            <w:vAlign w:val="bottom"/>
          </w:tcPr>
          <w:p w14:paraId="43F86180" w14:textId="090FDA1A" w:rsidR="004353DF" w:rsidRPr="001B53A8" w:rsidRDefault="00003F34" w:rsidP="00003F34">
            <w:pPr>
              <w:spacing w:before="0" w:after="0" w:line="240" w:lineRule="auto"/>
              <w:ind w:firstLine="0"/>
              <w:jc w:val="center"/>
              <w:rPr>
                <w:sz w:val="20"/>
                <w:szCs w:val="20"/>
                <w:lang w:val="sr-Latn-BA"/>
              </w:rPr>
            </w:pPr>
            <w:r w:rsidRPr="001B53A8">
              <w:rPr>
                <w:sz w:val="20"/>
                <w:szCs w:val="20"/>
                <w:lang w:val="sr-Latn-BA"/>
              </w:rPr>
              <w:t>Šćepović</w:t>
            </w:r>
            <w:r w:rsidR="004353DF" w:rsidRPr="001B53A8">
              <w:rPr>
                <w:sz w:val="20"/>
                <w:szCs w:val="20"/>
                <w:lang w:val="sr-Latn-BA"/>
              </w:rPr>
              <w:t xml:space="preserve"> </w:t>
            </w:r>
            <w:r w:rsidRPr="001B53A8">
              <w:rPr>
                <w:sz w:val="20"/>
                <w:szCs w:val="20"/>
                <w:lang w:val="sr-Latn-BA"/>
              </w:rPr>
              <w:t>Milodrag</w:t>
            </w:r>
          </w:p>
        </w:tc>
        <w:tc>
          <w:tcPr>
            <w:tcW w:w="651" w:type="pct"/>
            <w:shd w:val="clear" w:color="auto" w:fill="auto"/>
            <w:vAlign w:val="bottom"/>
          </w:tcPr>
          <w:p w14:paraId="2AC155D3" w14:textId="62F57A33"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 xml:space="preserve">1,201 </w:t>
            </w:r>
            <w:r w:rsidR="00003F34" w:rsidRPr="001B53A8">
              <w:rPr>
                <w:sz w:val="20"/>
                <w:szCs w:val="20"/>
                <w:lang w:val="sr-Latn-BA"/>
              </w:rPr>
              <w:t>KM</w:t>
            </w:r>
          </w:p>
        </w:tc>
        <w:tc>
          <w:tcPr>
            <w:tcW w:w="668" w:type="pct"/>
            <w:shd w:val="clear" w:color="auto" w:fill="auto"/>
            <w:noWrap/>
            <w:vAlign w:val="bottom"/>
          </w:tcPr>
          <w:p w14:paraId="56064FD3"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55,7211%</w:t>
            </w:r>
          </w:p>
        </w:tc>
        <w:tc>
          <w:tcPr>
            <w:tcW w:w="673" w:type="pct"/>
            <w:shd w:val="clear" w:color="auto" w:fill="auto"/>
            <w:noWrap/>
            <w:vAlign w:val="bottom"/>
          </w:tcPr>
          <w:p w14:paraId="4B313921"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78,6508%</w:t>
            </w:r>
          </w:p>
        </w:tc>
      </w:tr>
      <w:tr w:rsidR="004353DF" w:rsidRPr="001B53A8" w14:paraId="502453D2" w14:textId="77777777" w:rsidTr="004353DF">
        <w:trPr>
          <w:trHeight w:val="503"/>
        </w:trPr>
        <w:tc>
          <w:tcPr>
            <w:tcW w:w="261" w:type="pct"/>
            <w:shd w:val="clear" w:color="auto" w:fill="auto"/>
            <w:vAlign w:val="center"/>
          </w:tcPr>
          <w:p w14:paraId="7B9D00E7" w14:textId="77777777" w:rsidR="004353DF" w:rsidRPr="001B53A8" w:rsidRDefault="004353DF" w:rsidP="00003F34">
            <w:pPr>
              <w:spacing w:before="0" w:after="0" w:line="240" w:lineRule="auto"/>
              <w:ind w:firstLine="0"/>
              <w:jc w:val="center"/>
              <w:rPr>
                <w:sz w:val="20"/>
                <w:szCs w:val="20"/>
                <w:lang w:val="sr-Latn-BA" w:eastAsia="bs-Latn-BA"/>
              </w:rPr>
            </w:pPr>
            <w:r w:rsidRPr="001B53A8">
              <w:rPr>
                <w:sz w:val="20"/>
                <w:szCs w:val="20"/>
                <w:lang w:val="sr-Latn-BA" w:eastAsia="bs-Latn-BA"/>
              </w:rPr>
              <w:t>5.</w:t>
            </w:r>
          </w:p>
        </w:tc>
        <w:tc>
          <w:tcPr>
            <w:tcW w:w="1092" w:type="pct"/>
            <w:shd w:val="clear" w:color="auto" w:fill="auto"/>
            <w:vAlign w:val="bottom"/>
          </w:tcPr>
          <w:p w14:paraId="513889F7" w14:textId="1130C353"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w:t>
            </w:r>
            <w:r w:rsidR="00003F34" w:rsidRPr="001B53A8">
              <w:rPr>
                <w:sz w:val="20"/>
                <w:szCs w:val="20"/>
                <w:lang w:val="sr-Latn-BA"/>
              </w:rPr>
              <w:t>Veletrgovina</w:t>
            </w:r>
            <w:r w:rsidRPr="001B53A8">
              <w:rPr>
                <w:sz w:val="20"/>
                <w:szCs w:val="20"/>
                <w:lang w:val="sr-Latn-BA"/>
              </w:rPr>
              <w:t xml:space="preserve">“ </w:t>
            </w:r>
            <w:r w:rsidR="00003F34" w:rsidRPr="001B53A8">
              <w:rPr>
                <w:sz w:val="20"/>
                <w:szCs w:val="20"/>
                <w:lang w:val="sr-Latn-BA"/>
              </w:rPr>
              <w:t>a</w:t>
            </w:r>
            <w:r w:rsidRPr="001B53A8">
              <w:rPr>
                <w:sz w:val="20"/>
                <w:szCs w:val="20"/>
                <w:lang w:val="sr-Latn-BA"/>
              </w:rPr>
              <w:t>.</w:t>
            </w:r>
            <w:r w:rsidR="00003F34" w:rsidRPr="001B53A8">
              <w:rPr>
                <w:sz w:val="20"/>
                <w:szCs w:val="20"/>
                <w:lang w:val="sr-Latn-BA"/>
              </w:rPr>
              <w:t>d</w:t>
            </w:r>
            <w:r w:rsidRPr="001B53A8">
              <w:rPr>
                <w:sz w:val="20"/>
                <w:szCs w:val="20"/>
                <w:lang w:val="sr-Latn-BA"/>
              </w:rPr>
              <w:t xml:space="preserve">. </w:t>
            </w:r>
            <w:r w:rsidR="00003F34" w:rsidRPr="001B53A8">
              <w:rPr>
                <w:sz w:val="20"/>
                <w:szCs w:val="20"/>
                <w:lang w:val="sr-Latn-BA"/>
              </w:rPr>
              <w:t>Gradiška</w:t>
            </w:r>
          </w:p>
        </w:tc>
        <w:tc>
          <w:tcPr>
            <w:tcW w:w="602" w:type="pct"/>
            <w:shd w:val="clear" w:color="auto" w:fill="auto"/>
            <w:vAlign w:val="bottom"/>
          </w:tcPr>
          <w:p w14:paraId="01119FE0"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3.365.520</w:t>
            </w:r>
          </w:p>
        </w:tc>
        <w:tc>
          <w:tcPr>
            <w:tcW w:w="1053" w:type="pct"/>
            <w:shd w:val="clear" w:color="auto" w:fill="auto"/>
            <w:vAlign w:val="bottom"/>
          </w:tcPr>
          <w:p w14:paraId="1C2F115F" w14:textId="5D5F7A96" w:rsidR="004353DF" w:rsidRPr="001B53A8" w:rsidRDefault="00003F34" w:rsidP="00003F34">
            <w:pPr>
              <w:spacing w:before="0" w:after="0" w:line="240" w:lineRule="auto"/>
              <w:ind w:firstLine="0"/>
              <w:jc w:val="center"/>
              <w:rPr>
                <w:sz w:val="20"/>
                <w:szCs w:val="20"/>
                <w:lang w:val="sr-Latn-BA"/>
              </w:rPr>
            </w:pPr>
            <w:r w:rsidRPr="001B53A8">
              <w:rPr>
                <w:sz w:val="20"/>
                <w:szCs w:val="20"/>
                <w:lang w:val="sr-Latn-BA"/>
              </w:rPr>
              <w:t>Šlјivar</w:t>
            </w:r>
            <w:r w:rsidR="004353DF" w:rsidRPr="001B53A8">
              <w:rPr>
                <w:sz w:val="20"/>
                <w:szCs w:val="20"/>
                <w:lang w:val="sr-Latn-BA"/>
              </w:rPr>
              <w:t xml:space="preserve"> </w:t>
            </w:r>
            <w:r w:rsidRPr="001B53A8">
              <w:rPr>
                <w:sz w:val="20"/>
                <w:szCs w:val="20"/>
                <w:lang w:val="sr-Latn-BA"/>
              </w:rPr>
              <w:t>Darko</w:t>
            </w:r>
          </w:p>
        </w:tc>
        <w:tc>
          <w:tcPr>
            <w:tcW w:w="651" w:type="pct"/>
            <w:shd w:val="clear" w:color="auto" w:fill="auto"/>
            <w:vAlign w:val="bottom"/>
          </w:tcPr>
          <w:p w14:paraId="54BA1771" w14:textId="75481BAE"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 xml:space="preserve">0,50 </w:t>
            </w:r>
            <w:r w:rsidR="00003F34" w:rsidRPr="001B53A8">
              <w:rPr>
                <w:sz w:val="20"/>
                <w:szCs w:val="20"/>
                <w:lang w:val="sr-Latn-BA"/>
              </w:rPr>
              <w:t>KM</w:t>
            </w:r>
            <w:r w:rsidRPr="001B53A8">
              <w:rPr>
                <w:sz w:val="20"/>
                <w:szCs w:val="20"/>
                <w:lang w:val="sr-Latn-BA"/>
              </w:rPr>
              <w:t xml:space="preserve"> </w:t>
            </w:r>
          </w:p>
        </w:tc>
        <w:tc>
          <w:tcPr>
            <w:tcW w:w="668" w:type="pct"/>
            <w:shd w:val="clear" w:color="auto" w:fill="auto"/>
            <w:noWrap/>
            <w:vAlign w:val="bottom"/>
          </w:tcPr>
          <w:p w14:paraId="02223CA8"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55,9850</w:t>
            </w:r>
          </w:p>
        </w:tc>
        <w:tc>
          <w:tcPr>
            <w:tcW w:w="673" w:type="pct"/>
            <w:shd w:val="clear" w:color="auto" w:fill="auto"/>
            <w:noWrap/>
            <w:vAlign w:val="bottom"/>
          </w:tcPr>
          <w:p w14:paraId="767DB8B8"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77,42%</w:t>
            </w:r>
          </w:p>
        </w:tc>
      </w:tr>
      <w:tr w:rsidR="004353DF" w:rsidRPr="001B53A8" w14:paraId="3996B37D" w14:textId="77777777" w:rsidTr="004353DF">
        <w:trPr>
          <w:trHeight w:val="503"/>
        </w:trPr>
        <w:tc>
          <w:tcPr>
            <w:tcW w:w="5000" w:type="pct"/>
            <w:gridSpan w:val="7"/>
            <w:shd w:val="clear" w:color="auto" w:fill="auto"/>
            <w:vAlign w:val="center"/>
          </w:tcPr>
          <w:p w14:paraId="1CB07C21" w14:textId="2CB2AD66" w:rsidR="004353DF" w:rsidRPr="001B53A8" w:rsidRDefault="00003F34" w:rsidP="00003F34">
            <w:pPr>
              <w:spacing w:before="0" w:after="0" w:line="240" w:lineRule="auto"/>
              <w:ind w:firstLine="0"/>
              <w:jc w:val="center"/>
              <w:rPr>
                <w:sz w:val="20"/>
                <w:szCs w:val="20"/>
                <w:lang w:val="sr-Latn-BA"/>
              </w:rPr>
            </w:pPr>
            <w:r w:rsidRPr="001B53A8">
              <w:rPr>
                <w:b/>
                <w:sz w:val="20"/>
                <w:szCs w:val="20"/>
                <w:lang w:val="sr-Latn-BA"/>
              </w:rPr>
              <w:t>Ponudilac</w:t>
            </w:r>
            <w:r w:rsidR="004353DF" w:rsidRPr="001B53A8">
              <w:rPr>
                <w:b/>
                <w:sz w:val="20"/>
                <w:szCs w:val="20"/>
                <w:lang w:val="sr-Latn-BA"/>
              </w:rPr>
              <w:t xml:space="preserve"> </w:t>
            </w:r>
            <w:r w:rsidRPr="001B53A8">
              <w:rPr>
                <w:b/>
                <w:sz w:val="20"/>
                <w:szCs w:val="20"/>
                <w:lang w:val="sr-Latn-BA"/>
              </w:rPr>
              <w:t>stekao</w:t>
            </w:r>
            <w:r w:rsidR="004353DF" w:rsidRPr="001B53A8">
              <w:rPr>
                <w:b/>
                <w:sz w:val="20"/>
                <w:szCs w:val="20"/>
                <w:lang w:val="sr-Latn-BA"/>
              </w:rPr>
              <w:t xml:space="preserve"> </w:t>
            </w:r>
            <w:r w:rsidRPr="001B53A8">
              <w:rPr>
                <w:b/>
                <w:sz w:val="20"/>
                <w:szCs w:val="20"/>
                <w:lang w:val="sr-Latn-BA"/>
              </w:rPr>
              <w:t>manje</w:t>
            </w:r>
            <w:r w:rsidR="004353DF" w:rsidRPr="001B53A8">
              <w:rPr>
                <w:b/>
                <w:sz w:val="20"/>
                <w:szCs w:val="20"/>
                <w:lang w:val="sr-Latn-BA"/>
              </w:rPr>
              <w:t xml:space="preserve"> </w:t>
            </w:r>
            <w:r w:rsidRPr="001B53A8">
              <w:rPr>
                <w:b/>
                <w:sz w:val="20"/>
                <w:szCs w:val="20"/>
                <w:lang w:val="sr-Latn-BA"/>
              </w:rPr>
              <w:t>od</w:t>
            </w:r>
            <w:r w:rsidR="004353DF" w:rsidRPr="001B53A8">
              <w:rPr>
                <w:b/>
                <w:sz w:val="20"/>
                <w:szCs w:val="20"/>
                <w:lang w:val="sr-Latn-BA"/>
              </w:rPr>
              <w:t xml:space="preserve"> 75% </w:t>
            </w:r>
            <w:r w:rsidRPr="001B53A8">
              <w:rPr>
                <w:b/>
                <w:sz w:val="20"/>
                <w:szCs w:val="20"/>
                <w:lang w:val="sr-Latn-BA"/>
              </w:rPr>
              <w:t>vlasništva</w:t>
            </w:r>
            <w:r w:rsidR="004353DF" w:rsidRPr="001B53A8">
              <w:rPr>
                <w:b/>
                <w:sz w:val="20"/>
                <w:szCs w:val="20"/>
                <w:lang w:val="sr-Latn-BA"/>
              </w:rPr>
              <w:t xml:space="preserve"> </w:t>
            </w:r>
            <w:r w:rsidRPr="001B53A8">
              <w:rPr>
                <w:b/>
                <w:sz w:val="20"/>
                <w:szCs w:val="20"/>
                <w:lang w:val="sr-Latn-BA"/>
              </w:rPr>
              <w:t>emitenta</w:t>
            </w:r>
          </w:p>
        </w:tc>
      </w:tr>
      <w:tr w:rsidR="004353DF" w:rsidRPr="001B53A8" w14:paraId="78B804CD" w14:textId="77777777" w:rsidTr="004353DF">
        <w:trPr>
          <w:trHeight w:val="503"/>
        </w:trPr>
        <w:tc>
          <w:tcPr>
            <w:tcW w:w="261" w:type="pct"/>
            <w:shd w:val="clear" w:color="auto" w:fill="auto"/>
            <w:vAlign w:val="center"/>
          </w:tcPr>
          <w:p w14:paraId="65709069" w14:textId="77777777" w:rsidR="004353DF" w:rsidRPr="001B53A8" w:rsidRDefault="004353DF" w:rsidP="00003F34">
            <w:pPr>
              <w:spacing w:before="0" w:after="0" w:line="240" w:lineRule="auto"/>
              <w:ind w:firstLine="0"/>
              <w:jc w:val="center"/>
              <w:rPr>
                <w:sz w:val="20"/>
                <w:szCs w:val="20"/>
                <w:lang w:val="sr-Latn-BA" w:eastAsia="bs-Latn-BA"/>
              </w:rPr>
            </w:pPr>
            <w:r w:rsidRPr="001B53A8">
              <w:rPr>
                <w:sz w:val="20"/>
                <w:szCs w:val="20"/>
                <w:lang w:val="sr-Latn-BA" w:eastAsia="bs-Latn-BA"/>
              </w:rPr>
              <w:t>6.</w:t>
            </w:r>
          </w:p>
        </w:tc>
        <w:tc>
          <w:tcPr>
            <w:tcW w:w="1092" w:type="pct"/>
            <w:shd w:val="clear" w:color="auto" w:fill="auto"/>
            <w:vAlign w:val="bottom"/>
          </w:tcPr>
          <w:p w14:paraId="2A60E95B" w14:textId="53D05D46"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w:t>
            </w:r>
            <w:r w:rsidR="00003F34" w:rsidRPr="001B53A8">
              <w:rPr>
                <w:sz w:val="20"/>
                <w:szCs w:val="20"/>
                <w:lang w:val="sr-Latn-BA"/>
              </w:rPr>
              <w:t>Energoinvest</w:t>
            </w:r>
            <w:r w:rsidRPr="001B53A8">
              <w:rPr>
                <w:sz w:val="20"/>
                <w:szCs w:val="20"/>
                <w:lang w:val="sr-Latn-BA"/>
              </w:rPr>
              <w:t xml:space="preserve"> </w:t>
            </w:r>
            <w:r w:rsidR="00003F34" w:rsidRPr="001B53A8">
              <w:rPr>
                <w:sz w:val="20"/>
                <w:szCs w:val="20"/>
                <w:lang w:val="sr-Latn-BA"/>
              </w:rPr>
              <w:t>automatika</w:t>
            </w:r>
            <w:r w:rsidRPr="001B53A8">
              <w:rPr>
                <w:sz w:val="20"/>
                <w:szCs w:val="20"/>
                <w:lang w:val="sr-Latn-BA"/>
              </w:rPr>
              <w:t xml:space="preserve">“ </w:t>
            </w:r>
            <w:r w:rsidR="00003F34" w:rsidRPr="001B53A8">
              <w:rPr>
                <w:sz w:val="20"/>
                <w:szCs w:val="20"/>
                <w:lang w:val="sr-Latn-BA"/>
              </w:rPr>
              <w:t>a</w:t>
            </w:r>
            <w:r w:rsidRPr="001B53A8">
              <w:rPr>
                <w:sz w:val="20"/>
                <w:szCs w:val="20"/>
                <w:lang w:val="sr-Latn-BA"/>
              </w:rPr>
              <w:t>.</w:t>
            </w:r>
            <w:r w:rsidR="00003F34" w:rsidRPr="001B53A8">
              <w:rPr>
                <w:sz w:val="20"/>
                <w:szCs w:val="20"/>
                <w:lang w:val="sr-Latn-BA"/>
              </w:rPr>
              <w:t>d</w:t>
            </w:r>
            <w:r w:rsidRPr="001B53A8">
              <w:rPr>
                <w:sz w:val="20"/>
                <w:szCs w:val="20"/>
                <w:lang w:val="sr-Latn-BA"/>
              </w:rPr>
              <w:t xml:space="preserve">. </w:t>
            </w:r>
            <w:r w:rsidR="00003F34" w:rsidRPr="001B53A8">
              <w:rPr>
                <w:sz w:val="20"/>
                <w:szCs w:val="20"/>
                <w:lang w:val="sr-Latn-BA"/>
              </w:rPr>
              <w:t>Istočno</w:t>
            </w:r>
            <w:r w:rsidRPr="001B53A8">
              <w:rPr>
                <w:sz w:val="20"/>
                <w:szCs w:val="20"/>
                <w:lang w:val="sr-Latn-BA"/>
              </w:rPr>
              <w:t xml:space="preserve"> </w:t>
            </w:r>
            <w:r w:rsidR="00003F34" w:rsidRPr="001B53A8">
              <w:rPr>
                <w:sz w:val="20"/>
                <w:szCs w:val="20"/>
                <w:lang w:val="sr-Latn-BA"/>
              </w:rPr>
              <w:t>Sarajevo</w:t>
            </w:r>
          </w:p>
        </w:tc>
        <w:tc>
          <w:tcPr>
            <w:tcW w:w="602" w:type="pct"/>
            <w:shd w:val="clear" w:color="auto" w:fill="auto"/>
            <w:vAlign w:val="bottom"/>
          </w:tcPr>
          <w:p w14:paraId="62E52066"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683.050</w:t>
            </w:r>
          </w:p>
        </w:tc>
        <w:tc>
          <w:tcPr>
            <w:tcW w:w="1053" w:type="pct"/>
            <w:shd w:val="clear" w:color="auto" w:fill="auto"/>
            <w:vAlign w:val="bottom"/>
          </w:tcPr>
          <w:p w14:paraId="0B18C8D1" w14:textId="72F9A37D"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 xml:space="preserve">„N Trade” </w:t>
            </w:r>
            <w:r w:rsidR="00003F34" w:rsidRPr="001B53A8">
              <w:rPr>
                <w:sz w:val="20"/>
                <w:szCs w:val="20"/>
                <w:lang w:val="sr-Latn-BA"/>
              </w:rPr>
              <w:t>d</w:t>
            </w:r>
            <w:r w:rsidRPr="001B53A8">
              <w:rPr>
                <w:sz w:val="20"/>
                <w:szCs w:val="20"/>
                <w:lang w:val="sr-Latn-BA"/>
              </w:rPr>
              <w:t>.</w:t>
            </w:r>
            <w:r w:rsidR="00003F34" w:rsidRPr="001B53A8">
              <w:rPr>
                <w:sz w:val="20"/>
                <w:szCs w:val="20"/>
                <w:lang w:val="sr-Latn-BA"/>
              </w:rPr>
              <w:t>o</w:t>
            </w:r>
            <w:r w:rsidRPr="001B53A8">
              <w:rPr>
                <w:sz w:val="20"/>
                <w:szCs w:val="20"/>
                <w:lang w:val="sr-Latn-BA"/>
              </w:rPr>
              <w:t>.</w:t>
            </w:r>
            <w:r w:rsidR="00003F34" w:rsidRPr="001B53A8">
              <w:rPr>
                <w:sz w:val="20"/>
                <w:szCs w:val="20"/>
                <w:lang w:val="sr-Latn-BA"/>
              </w:rPr>
              <w:t>o</w:t>
            </w:r>
            <w:r w:rsidRPr="001B53A8">
              <w:rPr>
                <w:sz w:val="20"/>
                <w:szCs w:val="20"/>
                <w:lang w:val="sr-Latn-BA"/>
              </w:rPr>
              <w:t xml:space="preserve">. </w:t>
            </w:r>
            <w:r w:rsidR="00003F34" w:rsidRPr="001B53A8">
              <w:rPr>
                <w:sz w:val="20"/>
                <w:szCs w:val="20"/>
                <w:lang w:val="sr-Latn-BA"/>
              </w:rPr>
              <w:t>Istočno</w:t>
            </w:r>
            <w:r w:rsidRPr="001B53A8">
              <w:rPr>
                <w:sz w:val="20"/>
                <w:szCs w:val="20"/>
                <w:lang w:val="sr-Latn-BA"/>
              </w:rPr>
              <w:t xml:space="preserve"> </w:t>
            </w:r>
            <w:r w:rsidR="00003F34" w:rsidRPr="001B53A8">
              <w:rPr>
                <w:sz w:val="20"/>
                <w:szCs w:val="20"/>
                <w:lang w:val="sr-Latn-BA"/>
              </w:rPr>
              <w:t>Sarajevo</w:t>
            </w:r>
          </w:p>
        </w:tc>
        <w:tc>
          <w:tcPr>
            <w:tcW w:w="651" w:type="pct"/>
            <w:shd w:val="clear" w:color="auto" w:fill="auto"/>
            <w:vAlign w:val="bottom"/>
          </w:tcPr>
          <w:p w14:paraId="50DCB2A5"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0,26 KM</w:t>
            </w:r>
          </w:p>
        </w:tc>
        <w:tc>
          <w:tcPr>
            <w:tcW w:w="668" w:type="pct"/>
            <w:shd w:val="clear" w:color="auto" w:fill="auto"/>
            <w:noWrap/>
            <w:vAlign w:val="bottom"/>
          </w:tcPr>
          <w:p w14:paraId="3DBE510A"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36,3907%</w:t>
            </w:r>
          </w:p>
        </w:tc>
        <w:tc>
          <w:tcPr>
            <w:tcW w:w="673" w:type="pct"/>
            <w:shd w:val="clear" w:color="auto" w:fill="auto"/>
            <w:noWrap/>
            <w:vAlign w:val="bottom"/>
          </w:tcPr>
          <w:p w14:paraId="4937B217"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51,8351%</w:t>
            </w:r>
          </w:p>
        </w:tc>
      </w:tr>
      <w:tr w:rsidR="004353DF" w:rsidRPr="001B53A8" w14:paraId="40B0949A" w14:textId="77777777" w:rsidTr="004353DF">
        <w:trPr>
          <w:trHeight w:val="503"/>
        </w:trPr>
        <w:tc>
          <w:tcPr>
            <w:tcW w:w="261" w:type="pct"/>
            <w:shd w:val="clear" w:color="auto" w:fill="auto"/>
            <w:vAlign w:val="center"/>
          </w:tcPr>
          <w:p w14:paraId="469D349E" w14:textId="77777777" w:rsidR="004353DF" w:rsidRPr="001B53A8" w:rsidRDefault="004353DF" w:rsidP="00003F34">
            <w:pPr>
              <w:spacing w:before="0" w:after="0" w:line="240" w:lineRule="auto"/>
              <w:ind w:firstLine="0"/>
              <w:jc w:val="center"/>
              <w:rPr>
                <w:sz w:val="20"/>
                <w:szCs w:val="20"/>
                <w:lang w:val="sr-Latn-BA" w:eastAsia="bs-Latn-BA"/>
              </w:rPr>
            </w:pPr>
            <w:r w:rsidRPr="001B53A8">
              <w:rPr>
                <w:sz w:val="20"/>
                <w:szCs w:val="20"/>
                <w:lang w:val="sr-Latn-BA" w:eastAsia="bs-Latn-BA"/>
              </w:rPr>
              <w:t>7.</w:t>
            </w:r>
          </w:p>
        </w:tc>
        <w:tc>
          <w:tcPr>
            <w:tcW w:w="1092" w:type="pct"/>
            <w:shd w:val="clear" w:color="auto" w:fill="auto"/>
            <w:vAlign w:val="bottom"/>
          </w:tcPr>
          <w:p w14:paraId="17F86CE3" w14:textId="0BF953D1"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w:t>
            </w:r>
            <w:r w:rsidR="00003F34" w:rsidRPr="001B53A8">
              <w:rPr>
                <w:sz w:val="20"/>
                <w:szCs w:val="20"/>
                <w:lang w:val="sr-Latn-BA"/>
              </w:rPr>
              <w:t>Sokočnica</w:t>
            </w:r>
            <w:r w:rsidRPr="001B53A8">
              <w:rPr>
                <w:sz w:val="20"/>
                <w:szCs w:val="20"/>
                <w:lang w:val="sr-Latn-BA"/>
              </w:rPr>
              <w:t xml:space="preserve">“ </w:t>
            </w:r>
            <w:r w:rsidR="00003F34" w:rsidRPr="001B53A8">
              <w:rPr>
                <w:sz w:val="20"/>
                <w:szCs w:val="20"/>
                <w:lang w:val="sr-Latn-BA"/>
              </w:rPr>
              <w:t>a</w:t>
            </w:r>
            <w:r w:rsidRPr="001B53A8">
              <w:rPr>
                <w:sz w:val="20"/>
                <w:szCs w:val="20"/>
                <w:lang w:val="sr-Latn-BA"/>
              </w:rPr>
              <w:t>.</w:t>
            </w:r>
            <w:r w:rsidR="00003F34" w:rsidRPr="001B53A8">
              <w:rPr>
                <w:sz w:val="20"/>
                <w:szCs w:val="20"/>
                <w:lang w:val="sr-Latn-BA"/>
              </w:rPr>
              <w:t>d</w:t>
            </w:r>
            <w:r w:rsidRPr="001B53A8">
              <w:rPr>
                <w:sz w:val="20"/>
                <w:szCs w:val="20"/>
                <w:lang w:val="sr-Latn-BA"/>
              </w:rPr>
              <w:t xml:space="preserve">. </w:t>
            </w:r>
            <w:r w:rsidR="00003F34" w:rsidRPr="001B53A8">
              <w:rPr>
                <w:sz w:val="20"/>
                <w:szCs w:val="20"/>
                <w:lang w:val="sr-Latn-BA"/>
              </w:rPr>
              <w:t>Šipovo</w:t>
            </w:r>
          </w:p>
        </w:tc>
        <w:tc>
          <w:tcPr>
            <w:tcW w:w="602" w:type="pct"/>
            <w:shd w:val="clear" w:color="auto" w:fill="auto"/>
            <w:vAlign w:val="bottom"/>
          </w:tcPr>
          <w:p w14:paraId="307611FD"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2.970.795</w:t>
            </w:r>
          </w:p>
        </w:tc>
        <w:tc>
          <w:tcPr>
            <w:tcW w:w="1053" w:type="pct"/>
            <w:shd w:val="clear" w:color="auto" w:fill="auto"/>
            <w:vAlign w:val="bottom"/>
          </w:tcPr>
          <w:p w14:paraId="3C9CE25D" w14:textId="1434872F" w:rsidR="004353DF" w:rsidRPr="001B53A8" w:rsidRDefault="00003F34" w:rsidP="00003F34">
            <w:pPr>
              <w:spacing w:before="0" w:after="0" w:line="240" w:lineRule="auto"/>
              <w:ind w:firstLine="0"/>
              <w:jc w:val="center"/>
              <w:rPr>
                <w:sz w:val="20"/>
                <w:szCs w:val="20"/>
                <w:lang w:val="sr-Latn-BA"/>
              </w:rPr>
            </w:pPr>
            <w:r w:rsidRPr="001B53A8">
              <w:rPr>
                <w:sz w:val="20"/>
                <w:szCs w:val="20"/>
                <w:lang w:val="sr-Latn-BA"/>
              </w:rPr>
              <w:t>Marko</w:t>
            </w:r>
            <w:r w:rsidR="004353DF" w:rsidRPr="001B53A8">
              <w:rPr>
                <w:sz w:val="20"/>
                <w:szCs w:val="20"/>
                <w:lang w:val="sr-Latn-BA"/>
              </w:rPr>
              <w:t xml:space="preserve"> </w:t>
            </w:r>
            <w:r w:rsidRPr="001B53A8">
              <w:rPr>
                <w:sz w:val="20"/>
                <w:szCs w:val="20"/>
                <w:lang w:val="sr-Latn-BA"/>
              </w:rPr>
              <w:t>Savović</w:t>
            </w:r>
          </w:p>
        </w:tc>
        <w:tc>
          <w:tcPr>
            <w:tcW w:w="651" w:type="pct"/>
            <w:shd w:val="clear" w:color="auto" w:fill="auto"/>
            <w:vAlign w:val="bottom"/>
          </w:tcPr>
          <w:p w14:paraId="69A4E040" w14:textId="3071259E"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 xml:space="preserve">0,916 </w:t>
            </w:r>
            <w:r w:rsidR="00003F34" w:rsidRPr="001B53A8">
              <w:rPr>
                <w:sz w:val="20"/>
                <w:szCs w:val="20"/>
                <w:lang w:val="sr-Latn-BA"/>
              </w:rPr>
              <w:t>KM</w:t>
            </w:r>
          </w:p>
        </w:tc>
        <w:tc>
          <w:tcPr>
            <w:tcW w:w="668" w:type="pct"/>
            <w:shd w:val="clear" w:color="auto" w:fill="auto"/>
            <w:noWrap/>
            <w:vAlign w:val="bottom"/>
          </w:tcPr>
          <w:p w14:paraId="753BE89D"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53,9803%</w:t>
            </w:r>
          </w:p>
        </w:tc>
        <w:tc>
          <w:tcPr>
            <w:tcW w:w="673" w:type="pct"/>
            <w:shd w:val="clear" w:color="auto" w:fill="auto"/>
            <w:noWrap/>
            <w:vAlign w:val="bottom"/>
          </w:tcPr>
          <w:p w14:paraId="1657C86C"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55,6635%</w:t>
            </w:r>
          </w:p>
        </w:tc>
      </w:tr>
      <w:tr w:rsidR="004353DF" w:rsidRPr="001B53A8" w14:paraId="65480E32" w14:textId="77777777" w:rsidTr="004353DF">
        <w:trPr>
          <w:trHeight w:val="503"/>
        </w:trPr>
        <w:tc>
          <w:tcPr>
            <w:tcW w:w="261" w:type="pct"/>
            <w:shd w:val="clear" w:color="auto" w:fill="auto"/>
            <w:vAlign w:val="center"/>
          </w:tcPr>
          <w:p w14:paraId="5141A8B8" w14:textId="77777777" w:rsidR="004353DF" w:rsidRPr="001B53A8" w:rsidRDefault="004353DF" w:rsidP="00003F34">
            <w:pPr>
              <w:spacing w:before="0" w:after="0" w:line="240" w:lineRule="auto"/>
              <w:ind w:firstLine="0"/>
              <w:jc w:val="center"/>
              <w:rPr>
                <w:sz w:val="20"/>
                <w:szCs w:val="20"/>
                <w:lang w:val="sr-Latn-BA" w:eastAsia="bs-Latn-BA"/>
              </w:rPr>
            </w:pPr>
            <w:r w:rsidRPr="001B53A8">
              <w:rPr>
                <w:sz w:val="20"/>
                <w:szCs w:val="20"/>
                <w:lang w:val="sr-Latn-BA" w:eastAsia="bs-Latn-BA"/>
              </w:rPr>
              <w:t>8.</w:t>
            </w:r>
          </w:p>
        </w:tc>
        <w:tc>
          <w:tcPr>
            <w:tcW w:w="1092" w:type="pct"/>
            <w:shd w:val="clear" w:color="auto" w:fill="auto"/>
            <w:vAlign w:val="bottom"/>
          </w:tcPr>
          <w:p w14:paraId="5EF26D57" w14:textId="515BE618"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w:t>
            </w:r>
            <w:r w:rsidR="00003F34" w:rsidRPr="001B53A8">
              <w:rPr>
                <w:sz w:val="20"/>
                <w:szCs w:val="20"/>
                <w:lang w:val="sr-Latn-BA"/>
              </w:rPr>
              <w:t>Krajina</w:t>
            </w:r>
            <w:r w:rsidRPr="001B53A8">
              <w:rPr>
                <w:sz w:val="20"/>
                <w:szCs w:val="20"/>
                <w:lang w:val="sr-Latn-BA"/>
              </w:rPr>
              <w:t xml:space="preserve"> </w:t>
            </w:r>
            <w:r w:rsidR="00003F34" w:rsidRPr="001B53A8">
              <w:rPr>
                <w:sz w:val="20"/>
                <w:szCs w:val="20"/>
                <w:lang w:val="sr-Latn-BA"/>
              </w:rPr>
              <w:t>osiguranje</w:t>
            </w:r>
            <w:r w:rsidRPr="001B53A8">
              <w:rPr>
                <w:sz w:val="20"/>
                <w:szCs w:val="20"/>
                <w:lang w:val="sr-Latn-BA"/>
              </w:rPr>
              <w:t xml:space="preserve">“ </w:t>
            </w:r>
            <w:r w:rsidR="00003F34" w:rsidRPr="001B53A8">
              <w:rPr>
                <w:sz w:val="20"/>
                <w:szCs w:val="20"/>
                <w:lang w:val="sr-Latn-BA"/>
              </w:rPr>
              <w:t>a</w:t>
            </w:r>
            <w:r w:rsidRPr="001B53A8">
              <w:rPr>
                <w:sz w:val="20"/>
                <w:szCs w:val="20"/>
                <w:lang w:val="sr-Latn-BA"/>
              </w:rPr>
              <w:t>.</w:t>
            </w:r>
            <w:r w:rsidR="00003F34" w:rsidRPr="001B53A8">
              <w:rPr>
                <w:sz w:val="20"/>
                <w:szCs w:val="20"/>
                <w:lang w:val="sr-Latn-BA"/>
              </w:rPr>
              <w:t>d</w:t>
            </w:r>
            <w:r w:rsidRPr="001B53A8">
              <w:rPr>
                <w:sz w:val="20"/>
                <w:szCs w:val="20"/>
                <w:lang w:val="sr-Latn-BA"/>
              </w:rPr>
              <w:t xml:space="preserve">. </w:t>
            </w:r>
            <w:r w:rsidR="00003F34" w:rsidRPr="001B53A8">
              <w:rPr>
                <w:sz w:val="20"/>
                <w:szCs w:val="20"/>
                <w:lang w:val="sr-Latn-BA"/>
              </w:rPr>
              <w:t>Banja</w:t>
            </w:r>
            <w:r w:rsidRPr="001B53A8">
              <w:rPr>
                <w:sz w:val="20"/>
                <w:szCs w:val="20"/>
                <w:lang w:val="sr-Latn-BA"/>
              </w:rPr>
              <w:t xml:space="preserve"> </w:t>
            </w:r>
            <w:r w:rsidR="00003F34" w:rsidRPr="001B53A8">
              <w:rPr>
                <w:sz w:val="20"/>
                <w:szCs w:val="20"/>
                <w:lang w:val="sr-Latn-BA"/>
              </w:rPr>
              <w:t>Luka</w:t>
            </w:r>
          </w:p>
        </w:tc>
        <w:tc>
          <w:tcPr>
            <w:tcW w:w="602" w:type="pct"/>
            <w:shd w:val="clear" w:color="auto" w:fill="auto"/>
            <w:vAlign w:val="bottom"/>
          </w:tcPr>
          <w:p w14:paraId="15597BEC"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 xml:space="preserve">8.730.000 </w:t>
            </w:r>
          </w:p>
        </w:tc>
        <w:tc>
          <w:tcPr>
            <w:tcW w:w="1053" w:type="pct"/>
            <w:shd w:val="clear" w:color="auto" w:fill="auto"/>
            <w:vAlign w:val="bottom"/>
          </w:tcPr>
          <w:p w14:paraId="24F3D3FE" w14:textId="3716C770"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w:t>
            </w:r>
            <w:r w:rsidR="00003F34" w:rsidRPr="001B53A8">
              <w:rPr>
                <w:sz w:val="20"/>
                <w:szCs w:val="20"/>
                <w:lang w:val="sr-Latn-BA"/>
              </w:rPr>
              <w:t>Prijedorputevi</w:t>
            </w:r>
            <w:r w:rsidRPr="001B53A8">
              <w:rPr>
                <w:sz w:val="20"/>
                <w:szCs w:val="20"/>
                <w:lang w:val="sr-Latn-BA"/>
              </w:rPr>
              <w:t xml:space="preserve">“ </w:t>
            </w:r>
            <w:r w:rsidR="00003F34" w:rsidRPr="001B53A8">
              <w:rPr>
                <w:sz w:val="20"/>
                <w:szCs w:val="20"/>
                <w:lang w:val="sr-Latn-BA"/>
              </w:rPr>
              <w:t>a</w:t>
            </w:r>
            <w:r w:rsidRPr="001B53A8">
              <w:rPr>
                <w:sz w:val="20"/>
                <w:szCs w:val="20"/>
                <w:lang w:val="sr-Latn-BA"/>
              </w:rPr>
              <w:t>.</w:t>
            </w:r>
            <w:r w:rsidR="00003F34" w:rsidRPr="001B53A8">
              <w:rPr>
                <w:sz w:val="20"/>
                <w:szCs w:val="20"/>
                <w:lang w:val="sr-Latn-BA"/>
              </w:rPr>
              <w:t>d</w:t>
            </w:r>
            <w:r w:rsidRPr="001B53A8">
              <w:rPr>
                <w:sz w:val="20"/>
                <w:szCs w:val="20"/>
                <w:lang w:val="sr-Latn-BA"/>
              </w:rPr>
              <w:t xml:space="preserve">. </w:t>
            </w:r>
            <w:r w:rsidR="00003F34" w:rsidRPr="001B53A8">
              <w:rPr>
                <w:sz w:val="20"/>
                <w:szCs w:val="20"/>
                <w:lang w:val="sr-Latn-BA"/>
              </w:rPr>
              <w:t>Prijedor</w:t>
            </w:r>
          </w:p>
        </w:tc>
        <w:tc>
          <w:tcPr>
            <w:tcW w:w="651" w:type="pct"/>
            <w:shd w:val="clear" w:color="auto" w:fill="auto"/>
            <w:vAlign w:val="bottom"/>
          </w:tcPr>
          <w:p w14:paraId="39188726" w14:textId="1D3611E0"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 xml:space="preserve">0,414 </w:t>
            </w:r>
            <w:r w:rsidR="00003F34" w:rsidRPr="001B53A8">
              <w:rPr>
                <w:sz w:val="20"/>
                <w:szCs w:val="20"/>
                <w:lang w:val="sr-Latn-BA"/>
              </w:rPr>
              <w:t>km</w:t>
            </w:r>
          </w:p>
        </w:tc>
        <w:tc>
          <w:tcPr>
            <w:tcW w:w="668" w:type="pct"/>
            <w:shd w:val="clear" w:color="auto" w:fill="auto"/>
            <w:noWrap/>
            <w:vAlign w:val="bottom"/>
          </w:tcPr>
          <w:p w14:paraId="7D058867"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68,2227%</w:t>
            </w:r>
          </w:p>
        </w:tc>
        <w:tc>
          <w:tcPr>
            <w:tcW w:w="673" w:type="pct"/>
            <w:shd w:val="clear" w:color="auto" w:fill="auto"/>
            <w:noWrap/>
            <w:vAlign w:val="bottom"/>
          </w:tcPr>
          <w:p w14:paraId="584EE22F"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68,25%</w:t>
            </w:r>
          </w:p>
        </w:tc>
      </w:tr>
      <w:tr w:rsidR="004353DF" w:rsidRPr="001B53A8" w14:paraId="2540D64C" w14:textId="77777777" w:rsidTr="004353DF">
        <w:trPr>
          <w:trHeight w:val="503"/>
        </w:trPr>
        <w:tc>
          <w:tcPr>
            <w:tcW w:w="5000" w:type="pct"/>
            <w:gridSpan w:val="7"/>
            <w:shd w:val="clear" w:color="auto" w:fill="auto"/>
            <w:vAlign w:val="center"/>
          </w:tcPr>
          <w:p w14:paraId="18558E4D" w14:textId="63BB3796" w:rsidR="004353DF" w:rsidRPr="001B53A8" w:rsidRDefault="00003F34" w:rsidP="00003F34">
            <w:pPr>
              <w:pStyle w:val="Table"/>
              <w:jc w:val="center"/>
              <w:rPr>
                <w:b/>
                <w:lang w:val="sr-Latn-BA"/>
              </w:rPr>
            </w:pPr>
            <w:r w:rsidRPr="001B53A8">
              <w:rPr>
                <w:b/>
                <w:lang w:val="sr-Latn-BA"/>
              </w:rPr>
              <w:t>Ponudilac</w:t>
            </w:r>
            <w:r w:rsidR="004353DF" w:rsidRPr="001B53A8">
              <w:rPr>
                <w:b/>
                <w:lang w:val="sr-Latn-BA"/>
              </w:rPr>
              <w:t xml:space="preserve"> </w:t>
            </w:r>
            <w:r w:rsidRPr="001B53A8">
              <w:rPr>
                <w:b/>
                <w:lang w:val="sr-Latn-BA"/>
              </w:rPr>
              <w:t>i</w:t>
            </w:r>
            <w:r w:rsidR="004353DF" w:rsidRPr="001B53A8">
              <w:rPr>
                <w:b/>
                <w:lang w:val="sr-Latn-BA"/>
              </w:rPr>
              <w:t xml:space="preserve"> </w:t>
            </w:r>
            <w:r w:rsidRPr="001B53A8">
              <w:rPr>
                <w:b/>
                <w:lang w:val="sr-Latn-BA"/>
              </w:rPr>
              <w:t>lica</w:t>
            </w:r>
            <w:r w:rsidR="004353DF" w:rsidRPr="001B53A8">
              <w:rPr>
                <w:b/>
                <w:lang w:val="sr-Latn-BA"/>
              </w:rPr>
              <w:t xml:space="preserve"> </w:t>
            </w:r>
            <w:r w:rsidRPr="001B53A8">
              <w:rPr>
                <w:b/>
                <w:lang w:val="sr-Latn-BA"/>
              </w:rPr>
              <w:t>koja</w:t>
            </w:r>
            <w:r w:rsidR="004353DF" w:rsidRPr="001B53A8">
              <w:rPr>
                <w:b/>
                <w:lang w:val="sr-Latn-BA"/>
              </w:rPr>
              <w:t xml:space="preserve"> </w:t>
            </w:r>
            <w:r w:rsidRPr="001B53A8">
              <w:rPr>
                <w:b/>
                <w:lang w:val="sr-Latn-BA"/>
              </w:rPr>
              <w:t>zajednički</w:t>
            </w:r>
            <w:r w:rsidR="004353DF" w:rsidRPr="001B53A8">
              <w:rPr>
                <w:b/>
                <w:lang w:val="sr-Latn-BA"/>
              </w:rPr>
              <w:t xml:space="preserve"> </w:t>
            </w:r>
            <w:r w:rsidRPr="001B53A8">
              <w:rPr>
                <w:b/>
                <w:lang w:val="sr-Latn-BA"/>
              </w:rPr>
              <w:t>djeluju</w:t>
            </w:r>
            <w:r w:rsidR="004353DF" w:rsidRPr="001B53A8">
              <w:rPr>
                <w:b/>
                <w:lang w:val="sr-Latn-BA"/>
              </w:rPr>
              <w:t xml:space="preserve"> </w:t>
            </w:r>
            <w:r w:rsidRPr="001B53A8">
              <w:rPr>
                <w:b/>
                <w:lang w:val="sr-Latn-BA"/>
              </w:rPr>
              <w:t>sa</w:t>
            </w:r>
            <w:r w:rsidR="004353DF" w:rsidRPr="001B53A8">
              <w:rPr>
                <w:b/>
                <w:lang w:val="sr-Latn-BA"/>
              </w:rPr>
              <w:t xml:space="preserve"> </w:t>
            </w:r>
            <w:r w:rsidRPr="001B53A8">
              <w:rPr>
                <w:b/>
                <w:lang w:val="sr-Latn-BA"/>
              </w:rPr>
              <w:t>ponudiocem</w:t>
            </w:r>
            <w:r w:rsidR="004353DF" w:rsidRPr="001B53A8">
              <w:rPr>
                <w:b/>
                <w:lang w:val="sr-Latn-BA"/>
              </w:rPr>
              <w:t xml:space="preserve">, </w:t>
            </w:r>
            <w:r w:rsidRPr="001B53A8">
              <w:rPr>
                <w:b/>
                <w:lang w:val="sr-Latn-BA"/>
              </w:rPr>
              <w:t>stekli</w:t>
            </w:r>
            <w:r w:rsidR="004353DF" w:rsidRPr="001B53A8">
              <w:rPr>
                <w:b/>
                <w:lang w:val="sr-Latn-BA"/>
              </w:rPr>
              <w:t xml:space="preserve"> </w:t>
            </w:r>
            <w:r w:rsidRPr="001B53A8">
              <w:rPr>
                <w:b/>
                <w:lang w:val="sr-Latn-BA"/>
              </w:rPr>
              <w:t>više</w:t>
            </w:r>
            <w:r w:rsidR="004353DF" w:rsidRPr="001B53A8">
              <w:rPr>
                <w:b/>
                <w:lang w:val="sr-Latn-BA"/>
              </w:rPr>
              <w:t xml:space="preserve"> </w:t>
            </w:r>
            <w:r w:rsidRPr="001B53A8">
              <w:rPr>
                <w:b/>
                <w:lang w:val="sr-Latn-BA"/>
              </w:rPr>
              <w:t>od</w:t>
            </w:r>
            <w:r w:rsidR="004353DF" w:rsidRPr="001B53A8">
              <w:rPr>
                <w:b/>
                <w:lang w:val="sr-Latn-BA"/>
              </w:rPr>
              <w:t xml:space="preserve"> 75 % </w:t>
            </w:r>
            <w:r w:rsidRPr="001B53A8">
              <w:rPr>
                <w:b/>
                <w:lang w:val="sr-Latn-BA"/>
              </w:rPr>
              <w:t>vlasništva</w:t>
            </w:r>
            <w:r w:rsidR="004353DF" w:rsidRPr="001B53A8">
              <w:rPr>
                <w:b/>
                <w:lang w:val="sr-Latn-BA"/>
              </w:rPr>
              <w:t xml:space="preserve"> </w:t>
            </w:r>
            <w:r w:rsidRPr="001B53A8">
              <w:rPr>
                <w:b/>
                <w:lang w:val="sr-Latn-BA"/>
              </w:rPr>
              <w:t>emitenta</w:t>
            </w:r>
          </w:p>
        </w:tc>
      </w:tr>
      <w:tr w:rsidR="004353DF" w:rsidRPr="001B53A8" w14:paraId="762335E4" w14:textId="77777777" w:rsidTr="004353DF">
        <w:trPr>
          <w:trHeight w:val="180"/>
        </w:trPr>
        <w:tc>
          <w:tcPr>
            <w:tcW w:w="261" w:type="pct"/>
            <w:vMerge w:val="restart"/>
            <w:shd w:val="clear" w:color="auto" w:fill="auto"/>
            <w:vAlign w:val="center"/>
          </w:tcPr>
          <w:p w14:paraId="4369EF89" w14:textId="77777777" w:rsidR="004353DF" w:rsidRPr="001B53A8" w:rsidRDefault="004353DF" w:rsidP="00003F34">
            <w:pPr>
              <w:spacing w:before="0" w:after="0" w:line="240" w:lineRule="auto"/>
              <w:jc w:val="center"/>
              <w:rPr>
                <w:sz w:val="20"/>
                <w:szCs w:val="20"/>
                <w:lang w:val="sr-Latn-BA" w:eastAsia="bs-Latn-BA"/>
              </w:rPr>
            </w:pPr>
            <w:r w:rsidRPr="001B53A8">
              <w:rPr>
                <w:sz w:val="20"/>
                <w:szCs w:val="20"/>
                <w:lang w:val="sr-Latn-BA" w:eastAsia="bs-Latn-BA"/>
              </w:rPr>
              <w:t>79.</w:t>
            </w:r>
          </w:p>
        </w:tc>
        <w:tc>
          <w:tcPr>
            <w:tcW w:w="1092" w:type="pct"/>
            <w:vMerge w:val="restart"/>
            <w:shd w:val="clear" w:color="auto" w:fill="auto"/>
            <w:vAlign w:val="center"/>
          </w:tcPr>
          <w:p w14:paraId="52173103" w14:textId="2DED7F56"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w:t>
            </w:r>
            <w:r w:rsidR="00003F34" w:rsidRPr="001B53A8">
              <w:rPr>
                <w:sz w:val="20"/>
                <w:szCs w:val="20"/>
                <w:lang w:val="sr-Latn-BA"/>
              </w:rPr>
              <w:t>Japra</w:t>
            </w:r>
            <w:r w:rsidRPr="001B53A8">
              <w:rPr>
                <w:sz w:val="20"/>
                <w:szCs w:val="20"/>
                <w:lang w:val="sr-Latn-BA"/>
              </w:rPr>
              <w:t xml:space="preserve">“ </w:t>
            </w:r>
            <w:r w:rsidR="00003F34" w:rsidRPr="001B53A8">
              <w:rPr>
                <w:sz w:val="20"/>
                <w:szCs w:val="20"/>
                <w:lang w:val="sr-Latn-BA"/>
              </w:rPr>
              <w:t>a</w:t>
            </w:r>
            <w:r w:rsidRPr="001B53A8">
              <w:rPr>
                <w:sz w:val="20"/>
                <w:szCs w:val="20"/>
                <w:lang w:val="sr-Latn-BA"/>
              </w:rPr>
              <w:t>.</w:t>
            </w:r>
            <w:r w:rsidR="00003F34" w:rsidRPr="001B53A8">
              <w:rPr>
                <w:sz w:val="20"/>
                <w:szCs w:val="20"/>
                <w:lang w:val="sr-Latn-BA"/>
              </w:rPr>
              <w:t>d</w:t>
            </w:r>
            <w:r w:rsidRPr="001B53A8">
              <w:rPr>
                <w:sz w:val="20"/>
                <w:szCs w:val="20"/>
                <w:lang w:val="sr-Latn-BA"/>
              </w:rPr>
              <w:t xml:space="preserve">. </w:t>
            </w:r>
            <w:r w:rsidR="00003F34" w:rsidRPr="001B53A8">
              <w:rPr>
                <w:sz w:val="20"/>
                <w:szCs w:val="20"/>
                <w:lang w:val="sr-Latn-BA"/>
              </w:rPr>
              <w:t>Novi</w:t>
            </w:r>
            <w:r w:rsidRPr="001B53A8">
              <w:rPr>
                <w:sz w:val="20"/>
                <w:szCs w:val="20"/>
                <w:lang w:val="sr-Latn-BA"/>
              </w:rPr>
              <w:t xml:space="preserve"> </w:t>
            </w:r>
            <w:r w:rsidR="00003F34" w:rsidRPr="001B53A8">
              <w:rPr>
                <w:sz w:val="20"/>
                <w:szCs w:val="20"/>
                <w:lang w:val="sr-Latn-BA"/>
              </w:rPr>
              <w:t>Grad</w:t>
            </w:r>
            <w:r w:rsidRPr="001B53A8">
              <w:rPr>
                <w:sz w:val="20"/>
                <w:szCs w:val="20"/>
                <w:lang w:val="sr-Latn-BA"/>
              </w:rPr>
              <w:t xml:space="preserve">   </w:t>
            </w:r>
          </w:p>
        </w:tc>
        <w:tc>
          <w:tcPr>
            <w:tcW w:w="602" w:type="pct"/>
            <w:vMerge w:val="restart"/>
            <w:shd w:val="clear" w:color="auto" w:fill="auto"/>
            <w:vAlign w:val="center"/>
          </w:tcPr>
          <w:p w14:paraId="5EC01C8D"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8.298.749</w:t>
            </w:r>
          </w:p>
        </w:tc>
        <w:tc>
          <w:tcPr>
            <w:tcW w:w="1053" w:type="pct"/>
            <w:shd w:val="clear" w:color="auto" w:fill="auto"/>
          </w:tcPr>
          <w:p w14:paraId="0B142C9C" w14:textId="79AC2816"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w:t>
            </w:r>
            <w:r w:rsidR="00003F34" w:rsidRPr="001B53A8">
              <w:rPr>
                <w:sz w:val="20"/>
                <w:szCs w:val="20"/>
                <w:lang w:val="sr-Latn-BA"/>
              </w:rPr>
              <w:t>Prijedorputevi</w:t>
            </w:r>
            <w:r w:rsidRPr="001B53A8">
              <w:rPr>
                <w:sz w:val="20"/>
                <w:szCs w:val="20"/>
                <w:lang w:val="sr-Latn-BA"/>
              </w:rPr>
              <w:t xml:space="preserve">“ </w:t>
            </w:r>
            <w:r w:rsidR="00003F34" w:rsidRPr="001B53A8">
              <w:rPr>
                <w:sz w:val="20"/>
                <w:szCs w:val="20"/>
                <w:lang w:val="sr-Latn-BA"/>
              </w:rPr>
              <w:t>a</w:t>
            </w:r>
            <w:r w:rsidRPr="001B53A8">
              <w:rPr>
                <w:sz w:val="20"/>
                <w:szCs w:val="20"/>
                <w:lang w:val="sr-Latn-BA"/>
              </w:rPr>
              <w:t>.</w:t>
            </w:r>
            <w:r w:rsidR="00003F34" w:rsidRPr="001B53A8">
              <w:rPr>
                <w:sz w:val="20"/>
                <w:szCs w:val="20"/>
                <w:lang w:val="sr-Latn-BA"/>
              </w:rPr>
              <w:t>d</w:t>
            </w:r>
            <w:r w:rsidRPr="001B53A8">
              <w:rPr>
                <w:sz w:val="20"/>
                <w:szCs w:val="20"/>
                <w:lang w:val="sr-Latn-BA"/>
              </w:rPr>
              <w:t xml:space="preserve">. </w:t>
            </w:r>
            <w:r w:rsidR="00003F34" w:rsidRPr="001B53A8">
              <w:rPr>
                <w:sz w:val="20"/>
                <w:szCs w:val="20"/>
                <w:lang w:val="sr-Latn-BA"/>
              </w:rPr>
              <w:t>Prijedor</w:t>
            </w:r>
          </w:p>
        </w:tc>
        <w:tc>
          <w:tcPr>
            <w:tcW w:w="651" w:type="pct"/>
            <w:vMerge w:val="restart"/>
            <w:shd w:val="clear" w:color="auto" w:fill="auto"/>
            <w:vAlign w:val="center"/>
          </w:tcPr>
          <w:p w14:paraId="200018EB"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0,309 KM</w:t>
            </w:r>
          </w:p>
          <w:p w14:paraId="3EC8A459" w14:textId="77777777" w:rsidR="004353DF" w:rsidRPr="001B53A8" w:rsidRDefault="004353DF" w:rsidP="00003F34">
            <w:pPr>
              <w:spacing w:before="0" w:after="0" w:line="240" w:lineRule="auto"/>
              <w:ind w:firstLine="0"/>
              <w:jc w:val="center"/>
              <w:rPr>
                <w:sz w:val="20"/>
                <w:szCs w:val="20"/>
                <w:lang w:val="sr-Latn-BA"/>
              </w:rPr>
            </w:pPr>
          </w:p>
        </w:tc>
        <w:tc>
          <w:tcPr>
            <w:tcW w:w="668" w:type="pct"/>
            <w:shd w:val="clear" w:color="auto" w:fill="auto"/>
            <w:noWrap/>
            <w:vAlign w:val="bottom"/>
          </w:tcPr>
          <w:p w14:paraId="3255ADEB"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30,4987%</w:t>
            </w:r>
          </w:p>
        </w:tc>
        <w:tc>
          <w:tcPr>
            <w:tcW w:w="673" w:type="pct"/>
            <w:shd w:val="clear" w:color="auto" w:fill="auto"/>
            <w:noWrap/>
            <w:vAlign w:val="bottom"/>
          </w:tcPr>
          <w:p w14:paraId="1BFDE412"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30,4987%</w:t>
            </w:r>
          </w:p>
        </w:tc>
      </w:tr>
      <w:tr w:rsidR="004353DF" w:rsidRPr="001B53A8" w14:paraId="5CF5696B" w14:textId="77777777" w:rsidTr="004353DF">
        <w:trPr>
          <w:trHeight w:val="180"/>
        </w:trPr>
        <w:tc>
          <w:tcPr>
            <w:tcW w:w="261" w:type="pct"/>
            <w:vMerge/>
            <w:shd w:val="clear" w:color="auto" w:fill="auto"/>
            <w:vAlign w:val="center"/>
          </w:tcPr>
          <w:p w14:paraId="3FD7643D" w14:textId="77777777" w:rsidR="004353DF" w:rsidRPr="001B53A8" w:rsidRDefault="004353DF" w:rsidP="00003F34">
            <w:pPr>
              <w:spacing w:before="0" w:after="0" w:line="240" w:lineRule="auto"/>
              <w:jc w:val="center"/>
              <w:rPr>
                <w:sz w:val="20"/>
                <w:szCs w:val="20"/>
                <w:lang w:val="sr-Latn-BA" w:eastAsia="bs-Latn-BA"/>
              </w:rPr>
            </w:pPr>
          </w:p>
        </w:tc>
        <w:tc>
          <w:tcPr>
            <w:tcW w:w="1092" w:type="pct"/>
            <w:vMerge/>
            <w:shd w:val="clear" w:color="auto" w:fill="auto"/>
            <w:vAlign w:val="center"/>
          </w:tcPr>
          <w:p w14:paraId="452D4E1A" w14:textId="77777777" w:rsidR="004353DF" w:rsidRPr="001B53A8" w:rsidRDefault="004353DF" w:rsidP="00003F34">
            <w:pPr>
              <w:spacing w:before="0" w:after="0" w:line="240" w:lineRule="auto"/>
              <w:ind w:firstLine="0"/>
              <w:jc w:val="center"/>
              <w:rPr>
                <w:sz w:val="20"/>
                <w:szCs w:val="20"/>
                <w:lang w:val="sr-Latn-BA"/>
              </w:rPr>
            </w:pPr>
          </w:p>
        </w:tc>
        <w:tc>
          <w:tcPr>
            <w:tcW w:w="602" w:type="pct"/>
            <w:vMerge/>
            <w:shd w:val="clear" w:color="auto" w:fill="auto"/>
            <w:vAlign w:val="center"/>
          </w:tcPr>
          <w:p w14:paraId="761A2265" w14:textId="77777777" w:rsidR="004353DF" w:rsidRPr="001B53A8" w:rsidRDefault="004353DF" w:rsidP="00003F34">
            <w:pPr>
              <w:spacing w:before="0" w:after="0" w:line="240" w:lineRule="auto"/>
              <w:ind w:firstLine="0"/>
              <w:jc w:val="center"/>
              <w:rPr>
                <w:sz w:val="20"/>
                <w:szCs w:val="20"/>
                <w:lang w:val="sr-Latn-BA"/>
              </w:rPr>
            </w:pPr>
          </w:p>
        </w:tc>
        <w:tc>
          <w:tcPr>
            <w:tcW w:w="1053" w:type="pct"/>
            <w:shd w:val="clear" w:color="auto" w:fill="auto"/>
            <w:vAlign w:val="bottom"/>
          </w:tcPr>
          <w:p w14:paraId="63A66C8F" w14:textId="2F76B905" w:rsidR="004353DF" w:rsidRPr="001B53A8" w:rsidRDefault="00003F34" w:rsidP="00003F34">
            <w:pPr>
              <w:spacing w:before="0" w:after="0" w:line="240" w:lineRule="auto"/>
              <w:ind w:firstLine="0"/>
              <w:jc w:val="center"/>
              <w:rPr>
                <w:sz w:val="20"/>
                <w:szCs w:val="20"/>
                <w:lang w:val="sr-Latn-BA"/>
              </w:rPr>
            </w:pPr>
            <w:r w:rsidRPr="001B53A8">
              <w:rPr>
                <w:sz w:val="20"/>
                <w:szCs w:val="20"/>
                <w:lang w:val="sr-Latn-BA"/>
              </w:rPr>
              <w:t>Čorokalo</w:t>
            </w:r>
            <w:r w:rsidR="004353DF" w:rsidRPr="001B53A8">
              <w:rPr>
                <w:sz w:val="20"/>
                <w:szCs w:val="20"/>
                <w:lang w:val="sr-Latn-BA"/>
              </w:rPr>
              <w:t xml:space="preserve"> </w:t>
            </w:r>
            <w:r w:rsidRPr="001B53A8">
              <w:rPr>
                <w:sz w:val="20"/>
                <w:szCs w:val="20"/>
                <w:lang w:val="sr-Latn-BA"/>
              </w:rPr>
              <w:t>Dragan</w:t>
            </w:r>
          </w:p>
        </w:tc>
        <w:tc>
          <w:tcPr>
            <w:tcW w:w="651" w:type="pct"/>
            <w:vMerge/>
            <w:shd w:val="clear" w:color="auto" w:fill="auto"/>
            <w:vAlign w:val="center"/>
          </w:tcPr>
          <w:p w14:paraId="029F8B23" w14:textId="77777777" w:rsidR="004353DF" w:rsidRPr="001B53A8" w:rsidRDefault="004353DF" w:rsidP="00003F34">
            <w:pPr>
              <w:spacing w:before="0" w:after="0" w:line="240" w:lineRule="auto"/>
              <w:ind w:firstLine="0"/>
              <w:jc w:val="center"/>
              <w:rPr>
                <w:sz w:val="20"/>
                <w:szCs w:val="20"/>
                <w:lang w:val="sr-Latn-BA"/>
              </w:rPr>
            </w:pPr>
          </w:p>
        </w:tc>
        <w:tc>
          <w:tcPr>
            <w:tcW w:w="668" w:type="pct"/>
            <w:shd w:val="clear" w:color="auto" w:fill="auto"/>
            <w:noWrap/>
            <w:vAlign w:val="bottom"/>
          </w:tcPr>
          <w:p w14:paraId="3DA96162"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29,8267%</w:t>
            </w:r>
          </w:p>
        </w:tc>
        <w:tc>
          <w:tcPr>
            <w:tcW w:w="673" w:type="pct"/>
            <w:shd w:val="clear" w:color="auto" w:fill="auto"/>
            <w:noWrap/>
            <w:vAlign w:val="bottom"/>
          </w:tcPr>
          <w:p w14:paraId="2609B1C4"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36,3256%</w:t>
            </w:r>
          </w:p>
        </w:tc>
      </w:tr>
      <w:tr w:rsidR="004353DF" w:rsidRPr="001B53A8" w14:paraId="21C172B9" w14:textId="77777777" w:rsidTr="004353DF">
        <w:trPr>
          <w:trHeight w:val="180"/>
        </w:trPr>
        <w:tc>
          <w:tcPr>
            <w:tcW w:w="261" w:type="pct"/>
            <w:vMerge/>
            <w:shd w:val="clear" w:color="auto" w:fill="auto"/>
            <w:vAlign w:val="center"/>
          </w:tcPr>
          <w:p w14:paraId="4DDA1712" w14:textId="77777777" w:rsidR="004353DF" w:rsidRPr="001B53A8" w:rsidRDefault="004353DF" w:rsidP="00003F34">
            <w:pPr>
              <w:spacing w:before="0" w:after="0" w:line="240" w:lineRule="auto"/>
              <w:jc w:val="center"/>
              <w:rPr>
                <w:sz w:val="20"/>
                <w:szCs w:val="20"/>
                <w:lang w:val="sr-Latn-BA" w:eastAsia="bs-Latn-BA"/>
              </w:rPr>
            </w:pPr>
          </w:p>
        </w:tc>
        <w:tc>
          <w:tcPr>
            <w:tcW w:w="1092" w:type="pct"/>
            <w:vMerge/>
            <w:shd w:val="clear" w:color="auto" w:fill="auto"/>
            <w:vAlign w:val="center"/>
          </w:tcPr>
          <w:p w14:paraId="42B3E847" w14:textId="77777777" w:rsidR="004353DF" w:rsidRPr="001B53A8" w:rsidRDefault="004353DF" w:rsidP="00003F34">
            <w:pPr>
              <w:spacing w:before="0" w:after="0" w:line="240" w:lineRule="auto"/>
              <w:ind w:firstLine="0"/>
              <w:jc w:val="center"/>
              <w:rPr>
                <w:sz w:val="20"/>
                <w:szCs w:val="20"/>
                <w:lang w:val="sr-Latn-BA"/>
              </w:rPr>
            </w:pPr>
          </w:p>
        </w:tc>
        <w:tc>
          <w:tcPr>
            <w:tcW w:w="602" w:type="pct"/>
            <w:vMerge/>
            <w:shd w:val="clear" w:color="auto" w:fill="auto"/>
            <w:vAlign w:val="center"/>
          </w:tcPr>
          <w:p w14:paraId="0AE2C45D" w14:textId="77777777" w:rsidR="004353DF" w:rsidRPr="001B53A8" w:rsidRDefault="004353DF" w:rsidP="00003F34">
            <w:pPr>
              <w:spacing w:before="0" w:after="0" w:line="240" w:lineRule="auto"/>
              <w:ind w:firstLine="0"/>
              <w:jc w:val="center"/>
              <w:rPr>
                <w:sz w:val="20"/>
                <w:szCs w:val="20"/>
                <w:lang w:val="sr-Latn-BA"/>
              </w:rPr>
            </w:pPr>
          </w:p>
        </w:tc>
        <w:tc>
          <w:tcPr>
            <w:tcW w:w="1053" w:type="pct"/>
            <w:shd w:val="clear" w:color="auto" w:fill="auto"/>
            <w:vAlign w:val="bottom"/>
          </w:tcPr>
          <w:p w14:paraId="3893CBB9" w14:textId="511BA09A" w:rsidR="004353DF" w:rsidRPr="001B53A8" w:rsidRDefault="00003F34" w:rsidP="00003F34">
            <w:pPr>
              <w:spacing w:before="0" w:after="0" w:line="240" w:lineRule="auto"/>
              <w:ind w:firstLine="0"/>
              <w:jc w:val="center"/>
              <w:rPr>
                <w:sz w:val="20"/>
                <w:szCs w:val="20"/>
                <w:lang w:val="sr-Latn-BA"/>
              </w:rPr>
            </w:pPr>
            <w:r w:rsidRPr="001B53A8">
              <w:rPr>
                <w:sz w:val="20"/>
                <w:szCs w:val="20"/>
                <w:lang w:val="sr-Latn-BA"/>
              </w:rPr>
              <w:t>Industroprojekt</w:t>
            </w:r>
            <w:r w:rsidR="004353DF" w:rsidRPr="001B53A8">
              <w:rPr>
                <w:sz w:val="20"/>
                <w:szCs w:val="20"/>
                <w:lang w:val="sr-Latn-BA"/>
              </w:rPr>
              <w:t xml:space="preserve"> </w:t>
            </w:r>
            <w:r w:rsidRPr="001B53A8">
              <w:rPr>
                <w:sz w:val="20"/>
                <w:szCs w:val="20"/>
                <w:lang w:val="sr-Latn-BA"/>
              </w:rPr>
              <w:t>a</w:t>
            </w:r>
            <w:r w:rsidR="004353DF" w:rsidRPr="001B53A8">
              <w:rPr>
                <w:sz w:val="20"/>
                <w:szCs w:val="20"/>
                <w:lang w:val="sr-Latn-BA"/>
              </w:rPr>
              <w:t>.</w:t>
            </w:r>
            <w:r w:rsidRPr="001B53A8">
              <w:rPr>
                <w:sz w:val="20"/>
                <w:szCs w:val="20"/>
                <w:lang w:val="sr-Latn-BA"/>
              </w:rPr>
              <w:t>d</w:t>
            </w:r>
            <w:r w:rsidR="004353DF" w:rsidRPr="001B53A8">
              <w:rPr>
                <w:sz w:val="20"/>
                <w:szCs w:val="20"/>
                <w:lang w:val="sr-Latn-BA"/>
              </w:rPr>
              <w:t xml:space="preserve">. </w:t>
            </w:r>
            <w:r w:rsidRPr="001B53A8">
              <w:rPr>
                <w:sz w:val="20"/>
                <w:szCs w:val="20"/>
                <w:lang w:val="sr-Latn-BA"/>
              </w:rPr>
              <w:t>Prijedor</w:t>
            </w:r>
          </w:p>
        </w:tc>
        <w:tc>
          <w:tcPr>
            <w:tcW w:w="651" w:type="pct"/>
            <w:vMerge/>
            <w:shd w:val="clear" w:color="auto" w:fill="auto"/>
            <w:vAlign w:val="center"/>
          </w:tcPr>
          <w:p w14:paraId="18FB4AEE" w14:textId="77777777" w:rsidR="004353DF" w:rsidRPr="001B53A8" w:rsidRDefault="004353DF" w:rsidP="00003F34">
            <w:pPr>
              <w:spacing w:before="0" w:after="0" w:line="240" w:lineRule="auto"/>
              <w:ind w:firstLine="0"/>
              <w:jc w:val="center"/>
              <w:rPr>
                <w:sz w:val="20"/>
                <w:szCs w:val="20"/>
                <w:lang w:val="sr-Latn-BA"/>
              </w:rPr>
            </w:pPr>
          </w:p>
        </w:tc>
        <w:tc>
          <w:tcPr>
            <w:tcW w:w="668" w:type="pct"/>
            <w:shd w:val="clear" w:color="auto" w:fill="auto"/>
            <w:noWrap/>
            <w:vAlign w:val="bottom"/>
          </w:tcPr>
          <w:p w14:paraId="7B765450"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29,0358%</w:t>
            </w:r>
          </w:p>
        </w:tc>
        <w:tc>
          <w:tcPr>
            <w:tcW w:w="673" w:type="pct"/>
            <w:shd w:val="clear" w:color="auto" w:fill="auto"/>
            <w:noWrap/>
            <w:vAlign w:val="bottom"/>
          </w:tcPr>
          <w:p w14:paraId="058D88B0"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29,0358%</w:t>
            </w:r>
          </w:p>
        </w:tc>
      </w:tr>
      <w:tr w:rsidR="004353DF" w:rsidRPr="001B53A8" w14:paraId="1C9CB18B" w14:textId="77777777" w:rsidTr="004353DF">
        <w:trPr>
          <w:trHeight w:val="180"/>
        </w:trPr>
        <w:tc>
          <w:tcPr>
            <w:tcW w:w="261" w:type="pct"/>
            <w:vMerge w:val="restart"/>
            <w:shd w:val="clear" w:color="auto" w:fill="auto"/>
            <w:vAlign w:val="center"/>
          </w:tcPr>
          <w:p w14:paraId="155AF22F" w14:textId="77777777" w:rsidR="004353DF" w:rsidRPr="001B53A8" w:rsidRDefault="004353DF" w:rsidP="00003F34">
            <w:pPr>
              <w:spacing w:before="0" w:after="0" w:line="240" w:lineRule="auto"/>
              <w:ind w:firstLine="0"/>
              <w:rPr>
                <w:sz w:val="20"/>
                <w:szCs w:val="20"/>
                <w:lang w:val="sr-Latn-BA" w:eastAsia="bs-Latn-BA"/>
              </w:rPr>
            </w:pPr>
            <w:r w:rsidRPr="001B53A8">
              <w:rPr>
                <w:sz w:val="20"/>
                <w:szCs w:val="20"/>
                <w:lang w:val="sr-Latn-BA" w:eastAsia="bs-Latn-BA"/>
              </w:rPr>
              <w:t>10.</w:t>
            </w:r>
          </w:p>
        </w:tc>
        <w:tc>
          <w:tcPr>
            <w:tcW w:w="1092" w:type="pct"/>
            <w:vMerge w:val="restart"/>
            <w:shd w:val="clear" w:color="auto" w:fill="auto"/>
            <w:vAlign w:val="center"/>
          </w:tcPr>
          <w:p w14:paraId="5D09B9C8" w14:textId="01C99223"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w:t>
            </w:r>
            <w:r w:rsidR="00003F34" w:rsidRPr="001B53A8">
              <w:rPr>
                <w:sz w:val="20"/>
                <w:szCs w:val="20"/>
                <w:lang w:val="sr-Latn-BA"/>
              </w:rPr>
              <w:t>Nematali</w:t>
            </w:r>
            <w:r w:rsidRPr="001B53A8">
              <w:rPr>
                <w:sz w:val="20"/>
                <w:szCs w:val="20"/>
                <w:lang w:val="sr-Latn-BA"/>
              </w:rPr>
              <w:t xml:space="preserve">“ </w:t>
            </w:r>
            <w:r w:rsidR="00003F34" w:rsidRPr="001B53A8">
              <w:rPr>
                <w:sz w:val="20"/>
                <w:szCs w:val="20"/>
                <w:lang w:val="sr-Latn-BA"/>
              </w:rPr>
              <w:t>a</w:t>
            </w:r>
            <w:r w:rsidRPr="001B53A8">
              <w:rPr>
                <w:sz w:val="20"/>
                <w:szCs w:val="20"/>
                <w:lang w:val="sr-Latn-BA"/>
              </w:rPr>
              <w:t>.</w:t>
            </w:r>
            <w:r w:rsidR="00003F34" w:rsidRPr="001B53A8">
              <w:rPr>
                <w:sz w:val="20"/>
                <w:szCs w:val="20"/>
                <w:lang w:val="sr-Latn-BA"/>
              </w:rPr>
              <w:t>d</w:t>
            </w:r>
            <w:r w:rsidRPr="001B53A8">
              <w:rPr>
                <w:sz w:val="20"/>
                <w:szCs w:val="20"/>
                <w:lang w:val="sr-Latn-BA"/>
              </w:rPr>
              <w:t xml:space="preserve">. </w:t>
            </w:r>
            <w:r w:rsidR="00003F34" w:rsidRPr="001B53A8">
              <w:rPr>
                <w:sz w:val="20"/>
                <w:szCs w:val="20"/>
                <w:lang w:val="sr-Latn-BA"/>
              </w:rPr>
              <w:t>Prijedor</w:t>
            </w:r>
          </w:p>
        </w:tc>
        <w:tc>
          <w:tcPr>
            <w:tcW w:w="602" w:type="pct"/>
            <w:vMerge w:val="restart"/>
            <w:shd w:val="clear" w:color="auto" w:fill="auto"/>
            <w:vAlign w:val="center"/>
          </w:tcPr>
          <w:p w14:paraId="59291D26"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803.927</w:t>
            </w:r>
          </w:p>
        </w:tc>
        <w:tc>
          <w:tcPr>
            <w:tcW w:w="1053" w:type="pct"/>
            <w:shd w:val="clear" w:color="auto" w:fill="auto"/>
            <w:vAlign w:val="bottom"/>
          </w:tcPr>
          <w:p w14:paraId="19501F70" w14:textId="69BE9321"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 xml:space="preserve">„Bentoproduct“ </w:t>
            </w:r>
            <w:r w:rsidR="00003F34" w:rsidRPr="001B53A8">
              <w:rPr>
                <w:sz w:val="20"/>
                <w:szCs w:val="20"/>
                <w:lang w:val="sr-Latn-BA"/>
              </w:rPr>
              <w:t>d</w:t>
            </w:r>
            <w:r w:rsidRPr="001B53A8">
              <w:rPr>
                <w:sz w:val="20"/>
                <w:szCs w:val="20"/>
                <w:lang w:val="sr-Latn-BA"/>
              </w:rPr>
              <w:t>.</w:t>
            </w:r>
            <w:r w:rsidR="00003F34" w:rsidRPr="001B53A8">
              <w:rPr>
                <w:sz w:val="20"/>
                <w:szCs w:val="20"/>
                <w:lang w:val="sr-Latn-BA"/>
              </w:rPr>
              <w:t>o</w:t>
            </w:r>
            <w:r w:rsidRPr="001B53A8">
              <w:rPr>
                <w:sz w:val="20"/>
                <w:szCs w:val="20"/>
                <w:lang w:val="sr-Latn-BA"/>
              </w:rPr>
              <w:t>.</w:t>
            </w:r>
            <w:r w:rsidR="00003F34" w:rsidRPr="001B53A8">
              <w:rPr>
                <w:sz w:val="20"/>
                <w:szCs w:val="20"/>
                <w:lang w:val="sr-Latn-BA"/>
              </w:rPr>
              <w:t>o</w:t>
            </w:r>
            <w:r w:rsidRPr="001B53A8">
              <w:rPr>
                <w:sz w:val="20"/>
                <w:szCs w:val="20"/>
                <w:lang w:val="sr-Latn-BA"/>
              </w:rPr>
              <w:t xml:space="preserve">. </w:t>
            </w:r>
            <w:r w:rsidR="00003F34" w:rsidRPr="001B53A8">
              <w:rPr>
                <w:sz w:val="20"/>
                <w:szCs w:val="20"/>
                <w:lang w:val="sr-Latn-BA"/>
              </w:rPr>
              <w:t>Šipovo</w:t>
            </w:r>
          </w:p>
        </w:tc>
        <w:tc>
          <w:tcPr>
            <w:tcW w:w="651" w:type="pct"/>
            <w:vMerge w:val="restart"/>
            <w:shd w:val="clear" w:color="auto" w:fill="auto"/>
            <w:vAlign w:val="center"/>
          </w:tcPr>
          <w:p w14:paraId="31D2BCFE" w14:textId="0E6F7AA3"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 xml:space="preserve">0,32 </w:t>
            </w:r>
            <w:r w:rsidR="00003F34" w:rsidRPr="001B53A8">
              <w:rPr>
                <w:sz w:val="20"/>
                <w:szCs w:val="20"/>
                <w:lang w:val="sr-Latn-BA"/>
              </w:rPr>
              <w:t>KM</w:t>
            </w:r>
          </w:p>
        </w:tc>
        <w:tc>
          <w:tcPr>
            <w:tcW w:w="668" w:type="pct"/>
            <w:shd w:val="clear" w:color="auto" w:fill="auto"/>
            <w:noWrap/>
            <w:vAlign w:val="bottom"/>
          </w:tcPr>
          <w:p w14:paraId="7CA923AD"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0,00%</w:t>
            </w:r>
          </w:p>
        </w:tc>
        <w:tc>
          <w:tcPr>
            <w:tcW w:w="673" w:type="pct"/>
            <w:shd w:val="clear" w:color="auto" w:fill="auto"/>
            <w:noWrap/>
            <w:vAlign w:val="bottom"/>
          </w:tcPr>
          <w:p w14:paraId="7FCAA805"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0,0%</w:t>
            </w:r>
          </w:p>
        </w:tc>
      </w:tr>
      <w:tr w:rsidR="004353DF" w:rsidRPr="001B53A8" w14:paraId="18582925" w14:textId="77777777" w:rsidTr="004353DF">
        <w:trPr>
          <w:trHeight w:val="180"/>
        </w:trPr>
        <w:tc>
          <w:tcPr>
            <w:tcW w:w="261" w:type="pct"/>
            <w:vMerge/>
            <w:shd w:val="clear" w:color="auto" w:fill="auto"/>
            <w:vAlign w:val="center"/>
          </w:tcPr>
          <w:p w14:paraId="4253E05C" w14:textId="77777777" w:rsidR="004353DF" w:rsidRPr="001B53A8" w:rsidRDefault="004353DF" w:rsidP="00003F34">
            <w:pPr>
              <w:spacing w:before="0" w:after="0" w:line="240" w:lineRule="auto"/>
              <w:jc w:val="center"/>
              <w:rPr>
                <w:sz w:val="20"/>
                <w:szCs w:val="20"/>
                <w:lang w:val="sr-Latn-BA" w:eastAsia="bs-Latn-BA"/>
              </w:rPr>
            </w:pPr>
          </w:p>
        </w:tc>
        <w:tc>
          <w:tcPr>
            <w:tcW w:w="1092" w:type="pct"/>
            <w:vMerge/>
            <w:shd w:val="clear" w:color="auto" w:fill="auto"/>
            <w:vAlign w:val="center"/>
          </w:tcPr>
          <w:p w14:paraId="26D31279" w14:textId="77777777" w:rsidR="004353DF" w:rsidRPr="001B53A8" w:rsidRDefault="004353DF" w:rsidP="00003F34">
            <w:pPr>
              <w:spacing w:line="240" w:lineRule="auto"/>
              <w:rPr>
                <w:sz w:val="20"/>
                <w:szCs w:val="20"/>
                <w:lang w:val="sr-Latn-BA"/>
              </w:rPr>
            </w:pPr>
          </w:p>
        </w:tc>
        <w:tc>
          <w:tcPr>
            <w:tcW w:w="602" w:type="pct"/>
            <w:vMerge/>
            <w:shd w:val="clear" w:color="auto" w:fill="auto"/>
            <w:vAlign w:val="center"/>
          </w:tcPr>
          <w:p w14:paraId="0A7878C3" w14:textId="77777777" w:rsidR="004353DF" w:rsidRPr="001B53A8" w:rsidRDefault="004353DF" w:rsidP="00003F34">
            <w:pPr>
              <w:spacing w:before="0" w:after="0" w:line="240" w:lineRule="auto"/>
              <w:ind w:firstLine="0"/>
              <w:jc w:val="center"/>
              <w:rPr>
                <w:sz w:val="20"/>
                <w:szCs w:val="20"/>
                <w:lang w:val="sr-Latn-BA"/>
              </w:rPr>
            </w:pPr>
          </w:p>
        </w:tc>
        <w:tc>
          <w:tcPr>
            <w:tcW w:w="1053" w:type="pct"/>
            <w:shd w:val="clear" w:color="auto" w:fill="auto"/>
            <w:vAlign w:val="bottom"/>
          </w:tcPr>
          <w:p w14:paraId="4ABD8B49" w14:textId="406D5728" w:rsidR="004353DF" w:rsidRPr="001B53A8" w:rsidRDefault="00003F34" w:rsidP="00003F34">
            <w:pPr>
              <w:spacing w:before="0" w:after="0" w:line="240" w:lineRule="auto"/>
              <w:ind w:firstLine="0"/>
              <w:jc w:val="center"/>
              <w:rPr>
                <w:sz w:val="20"/>
                <w:szCs w:val="20"/>
                <w:lang w:val="sr-Latn-BA"/>
              </w:rPr>
            </w:pPr>
            <w:r w:rsidRPr="001B53A8">
              <w:rPr>
                <w:sz w:val="20"/>
                <w:szCs w:val="20"/>
                <w:lang w:val="sr-Latn-BA"/>
              </w:rPr>
              <w:t>Adam</w:t>
            </w:r>
            <w:r w:rsidR="004353DF" w:rsidRPr="001B53A8">
              <w:rPr>
                <w:sz w:val="20"/>
                <w:szCs w:val="20"/>
                <w:lang w:val="sr-Latn-BA"/>
              </w:rPr>
              <w:t xml:space="preserve"> </w:t>
            </w:r>
            <w:r w:rsidRPr="001B53A8">
              <w:rPr>
                <w:sz w:val="20"/>
                <w:szCs w:val="20"/>
                <w:lang w:val="sr-Latn-BA"/>
              </w:rPr>
              <w:t>Vitarigov</w:t>
            </w:r>
          </w:p>
        </w:tc>
        <w:tc>
          <w:tcPr>
            <w:tcW w:w="651" w:type="pct"/>
            <w:vMerge/>
            <w:shd w:val="clear" w:color="auto" w:fill="auto"/>
            <w:vAlign w:val="center"/>
          </w:tcPr>
          <w:p w14:paraId="64953D12" w14:textId="77777777" w:rsidR="004353DF" w:rsidRPr="001B53A8" w:rsidRDefault="004353DF" w:rsidP="00003F34">
            <w:pPr>
              <w:spacing w:before="0" w:after="0" w:line="240" w:lineRule="auto"/>
              <w:ind w:firstLine="0"/>
              <w:jc w:val="center"/>
              <w:rPr>
                <w:sz w:val="20"/>
                <w:szCs w:val="20"/>
                <w:lang w:val="sr-Latn-BA"/>
              </w:rPr>
            </w:pPr>
          </w:p>
        </w:tc>
        <w:tc>
          <w:tcPr>
            <w:tcW w:w="668" w:type="pct"/>
            <w:shd w:val="clear" w:color="auto" w:fill="auto"/>
            <w:noWrap/>
            <w:vAlign w:val="bottom"/>
          </w:tcPr>
          <w:p w14:paraId="4C54B54D"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62,1825%</w:t>
            </w:r>
          </w:p>
        </w:tc>
        <w:tc>
          <w:tcPr>
            <w:tcW w:w="673" w:type="pct"/>
            <w:shd w:val="clear" w:color="auto" w:fill="auto"/>
            <w:noWrap/>
            <w:vAlign w:val="bottom"/>
          </w:tcPr>
          <w:p w14:paraId="68BC3C0A"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93,0098%</w:t>
            </w:r>
          </w:p>
        </w:tc>
      </w:tr>
      <w:tr w:rsidR="004353DF" w:rsidRPr="001B53A8" w14:paraId="7B9240FB" w14:textId="77777777" w:rsidTr="004353DF">
        <w:trPr>
          <w:trHeight w:val="127"/>
        </w:trPr>
        <w:tc>
          <w:tcPr>
            <w:tcW w:w="261" w:type="pct"/>
            <w:vMerge w:val="restart"/>
            <w:shd w:val="clear" w:color="auto" w:fill="auto"/>
            <w:vAlign w:val="center"/>
          </w:tcPr>
          <w:p w14:paraId="092F3E4C" w14:textId="77777777" w:rsidR="004353DF" w:rsidRPr="001B53A8" w:rsidRDefault="004353DF" w:rsidP="00003F34">
            <w:pPr>
              <w:spacing w:before="0" w:after="0" w:line="240" w:lineRule="auto"/>
              <w:ind w:left="-719"/>
              <w:jc w:val="center"/>
              <w:rPr>
                <w:sz w:val="20"/>
                <w:szCs w:val="20"/>
                <w:lang w:val="sr-Latn-BA" w:eastAsia="bs-Latn-BA"/>
              </w:rPr>
            </w:pPr>
            <w:r w:rsidRPr="001B53A8">
              <w:rPr>
                <w:sz w:val="20"/>
                <w:szCs w:val="20"/>
                <w:lang w:val="sr-Latn-BA" w:eastAsia="bs-Latn-BA"/>
              </w:rPr>
              <w:t>11.</w:t>
            </w:r>
          </w:p>
        </w:tc>
        <w:tc>
          <w:tcPr>
            <w:tcW w:w="1092" w:type="pct"/>
            <w:vMerge w:val="restart"/>
            <w:shd w:val="clear" w:color="auto" w:fill="auto"/>
            <w:vAlign w:val="center"/>
          </w:tcPr>
          <w:p w14:paraId="74759284" w14:textId="48784E14"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w:t>
            </w:r>
            <w:r w:rsidR="00003F34" w:rsidRPr="001B53A8">
              <w:rPr>
                <w:sz w:val="20"/>
                <w:szCs w:val="20"/>
                <w:lang w:val="sr-Latn-BA"/>
              </w:rPr>
              <w:t>Naša</w:t>
            </w:r>
            <w:r w:rsidRPr="001B53A8">
              <w:rPr>
                <w:sz w:val="20"/>
                <w:szCs w:val="20"/>
                <w:lang w:val="sr-Latn-BA"/>
              </w:rPr>
              <w:t xml:space="preserve"> </w:t>
            </w:r>
            <w:r w:rsidR="00003F34" w:rsidRPr="001B53A8">
              <w:rPr>
                <w:sz w:val="20"/>
                <w:szCs w:val="20"/>
                <w:lang w:val="sr-Latn-BA"/>
              </w:rPr>
              <w:t>banka</w:t>
            </w:r>
            <w:r w:rsidRPr="001B53A8">
              <w:rPr>
                <w:sz w:val="20"/>
                <w:szCs w:val="20"/>
                <w:lang w:val="sr-Latn-BA"/>
              </w:rPr>
              <w:t xml:space="preserve">“ </w:t>
            </w:r>
            <w:r w:rsidR="00003F34" w:rsidRPr="001B53A8">
              <w:rPr>
                <w:sz w:val="20"/>
                <w:szCs w:val="20"/>
                <w:lang w:val="sr-Latn-BA"/>
              </w:rPr>
              <w:t>a</w:t>
            </w:r>
            <w:r w:rsidRPr="001B53A8">
              <w:rPr>
                <w:sz w:val="20"/>
                <w:szCs w:val="20"/>
                <w:lang w:val="sr-Latn-BA"/>
              </w:rPr>
              <w:t>.</w:t>
            </w:r>
            <w:r w:rsidR="00003F34" w:rsidRPr="001B53A8">
              <w:rPr>
                <w:sz w:val="20"/>
                <w:szCs w:val="20"/>
                <w:lang w:val="sr-Latn-BA"/>
              </w:rPr>
              <w:t>d</w:t>
            </w:r>
            <w:r w:rsidRPr="001B53A8">
              <w:rPr>
                <w:sz w:val="20"/>
                <w:szCs w:val="20"/>
                <w:lang w:val="sr-Latn-BA"/>
              </w:rPr>
              <w:t xml:space="preserve">. </w:t>
            </w:r>
            <w:r w:rsidR="00003F34" w:rsidRPr="001B53A8">
              <w:rPr>
                <w:sz w:val="20"/>
                <w:szCs w:val="20"/>
                <w:lang w:val="sr-Latn-BA"/>
              </w:rPr>
              <w:t>Banja</w:t>
            </w:r>
            <w:r w:rsidRPr="001B53A8">
              <w:rPr>
                <w:sz w:val="20"/>
                <w:szCs w:val="20"/>
                <w:lang w:val="sr-Latn-BA"/>
              </w:rPr>
              <w:t xml:space="preserve"> </w:t>
            </w:r>
            <w:r w:rsidR="00003F34" w:rsidRPr="001B53A8">
              <w:rPr>
                <w:sz w:val="20"/>
                <w:szCs w:val="20"/>
                <w:lang w:val="sr-Latn-BA"/>
              </w:rPr>
              <w:t>Luka</w:t>
            </w:r>
            <w:r w:rsidRPr="001B53A8">
              <w:rPr>
                <w:sz w:val="20"/>
                <w:szCs w:val="20"/>
                <w:lang w:val="sr-Latn-BA"/>
              </w:rPr>
              <w:t xml:space="preserve"> (II)</w:t>
            </w:r>
          </w:p>
        </w:tc>
        <w:tc>
          <w:tcPr>
            <w:tcW w:w="602" w:type="pct"/>
            <w:vMerge w:val="restart"/>
            <w:shd w:val="clear" w:color="auto" w:fill="auto"/>
            <w:vAlign w:val="center"/>
          </w:tcPr>
          <w:p w14:paraId="5D82D8E6"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33.182.313</w:t>
            </w:r>
          </w:p>
        </w:tc>
        <w:tc>
          <w:tcPr>
            <w:tcW w:w="1053" w:type="pct"/>
            <w:shd w:val="clear" w:color="auto" w:fill="auto"/>
            <w:vAlign w:val="bottom"/>
          </w:tcPr>
          <w:p w14:paraId="7FC7CEA3" w14:textId="0B3746A0"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 xml:space="preserve">„GI Finance“ </w:t>
            </w:r>
            <w:r w:rsidR="00003F34" w:rsidRPr="001B53A8">
              <w:rPr>
                <w:sz w:val="20"/>
                <w:szCs w:val="20"/>
                <w:lang w:val="sr-Latn-BA"/>
              </w:rPr>
              <w:t>d</w:t>
            </w:r>
            <w:r w:rsidRPr="001B53A8">
              <w:rPr>
                <w:sz w:val="20"/>
                <w:szCs w:val="20"/>
                <w:lang w:val="sr-Latn-BA"/>
              </w:rPr>
              <w:t>.</w:t>
            </w:r>
            <w:r w:rsidR="00003F34" w:rsidRPr="001B53A8">
              <w:rPr>
                <w:sz w:val="20"/>
                <w:szCs w:val="20"/>
                <w:lang w:val="sr-Latn-BA"/>
              </w:rPr>
              <w:t>o</w:t>
            </w:r>
            <w:r w:rsidRPr="001B53A8">
              <w:rPr>
                <w:sz w:val="20"/>
                <w:szCs w:val="20"/>
                <w:lang w:val="sr-Latn-BA"/>
              </w:rPr>
              <w:t>.</w:t>
            </w:r>
            <w:r w:rsidR="00003F34" w:rsidRPr="001B53A8">
              <w:rPr>
                <w:sz w:val="20"/>
                <w:szCs w:val="20"/>
                <w:lang w:val="sr-Latn-BA"/>
              </w:rPr>
              <w:t>o</w:t>
            </w:r>
            <w:r w:rsidRPr="001B53A8">
              <w:rPr>
                <w:sz w:val="20"/>
                <w:szCs w:val="20"/>
                <w:lang w:val="sr-Latn-BA"/>
              </w:rPr>
              <w:t xml:space="preserve">. </w:t>
            </w:r>
            <w:r w:rsidR="00003F34" w:rsidRPr="001B53A8">
              <w:rPr>
                <w:sz w:val="20"/>
                <w:szCs w:val="20"/>
                <w:lang w:val="sr-Latn-BA"/>
              </w:rPr>
              <w:t>Zvornik</w:t>
            </w:r>
          </w:p>
        </w:tc>
        <w:tc>
          <w:tcPr>
            <w:tcW w:w="651" w:type="pct"/>
            <w:vMerge w:val="restart"/>
            <w:shd w:val="clear" w:color="auto" w:fill="auto"/>
            <w:vAlign w:val="center"/>
          </w:tcPr>
          <w:p w14:paraId="2F4F3050" w14:textId="2694989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 xml:space="preserve">0,8056 </w:t>
            </w:r>
            <w:r w:rsidR="00003F34" w:rsidRPr="001B53A8">
              <w:rPr>
                <w:sz w:val="20"/>
                <w:szCs w:val="20"/>
                <w:lang w:val="sr-Latn-BA"/>
              </w:rPr>
              <w:t>KM</w:t>
            </w:r>
          </w:p>
        </w:tc>
        <w:tc>
          <w:tcPr>
            <w:tcW w:w="668" w:type="pct"/>
            <w:shd w:val="clear" w:color="auto" w:fill="auto"/>
            <w:noWrap/>
            <w:vAlign w:val="bottom"/>
          </w:tcPr>
          <w:p w14:paraId="0BFD3286"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11,4960%</w:t>
            </w:r>
          </w:p>
        </w:tc>
        <w:tc>
          <w:tcPr>
            <w:tcW w:w="673" w:type="pct"/>
            <w:shd w:val="clear" w:color="auto" w:fill="auto"/>
            <w:noWrap/>
            <w:vAlign w:val="bottom"/>
          </w:tcPr>
          <w:p w14:paraId="0B8800C5"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73,2290%</w:t>
            </w:r>
          </w:p>
        </w:tc>
      </w:tr>
      <w:tr w:rsidR="004353DF" w:rsidRPr="001B53A8" w14:paraId="456C12E9" w14:textId="77777777" w:rsidTr="004353DF">
        <w:trPr>
          <w:trHeight w:val="125"/>
        </w:trPr>
        <w:tc>
          <w:tcPr>
            <w:tcW w:w="261" w:type="pct"/>
            <w:vMerge/>
            <w:shd w:val="clear" w:color="auto" w:fill="auto"/>
            <w:vAlign w:val="center"/>
          </w:tcPr>
          <w:p w14:paraId="34D3DEF6" w14:textId="77777777" w:rsidR="004353DF" w:rsidRPr="001B53A8" w:rsidRDefault="004353DF" w:rsidP="00003F34">
            <w:pPr>
              <w:spacing w:before="0" w:after="0" w:line="240" w:lineRule="auto"/>
              <w:ind w:left="-719"/>
              <w:jc w:val="center"/>
              <w:rPr>
                <w:sz w:val="20"/>
                <w:szCs w:val="20"/>
                <w:lang w:val="sr-Latn-BA" w:eastAsia="bs-Latn-BA"/>
              </w:rPr>
            </w:pPr>
          </w:p>
        </w:tc>
        <w:tc>
          <w:tcPr>
            <w:tcW w:w="1092" w:type="pct"/>
            <w:vMerge/>
            <w:shd w:val="clear" w:color="auto" w:fill="auto"/>
            <w:vAlign w:val="center"/>
          </w:tcPr>
          <w:p w14:paraId="3F1D4DEC" w14:textId="77777777" w:rsidR="004353DF" w:rsidRPr="001B53A8" w:rsidRDefault="004353DF" w:rsidP="00003F34">
            <w:pPr>
              <w:spacing w:before="0" w:after="0" w:line="240" w:lineRule="auto"/>
              <w:ind w:firstLine="0"/>
              <w:jc w:val="center"/>
              <w:rPr>
                <w:sz w:val="20"/>
                <w:szCs w:val="20"/>
                <w:lang w:val="sr-Latn-BA"/>
              </w:rPr>
            </w:pPr>
          </w:p>
        </w:tc>
        <w:tc>
          <w:tcPr>
            <w:tcW w:w="602" w:type="pct"/>
            <w:vMerge/>
            <w:shd w:val="clear" w:color="auto" w:fill="auto"/>
            <w:vAlign w:val="center"/>
          </w:tcPr>
          <w:p w14:paraId="6243264E" w14:textId="77777777" w:rsidR="004353DF" w:rsidRPr="001B53A8" w:rsidRDefault="004353DF" w:rsidP="00003F34">
            <w:pPr>
              <w:spacing w:before="0" w:after="0" w:line="240" w:lineRule="auto"/>
              <w:ind w:firstLine="0"/>
              <w:jc w:val="center"/>
              <w:rPr>
                <w:sz w:val="20"/>
                <w:szCs w:val="20"/>
                <w:lang w:val="sr-Latn-BA"/>
              </w:rPr>
            </w:pPr>
          </w:p>
        </w:tc>
        <w:tc>
          <w:tcPr>
            <w:tcW w:w="1053" w:type="pct"/>
            <w:shd w:val="clear" w:color="auto" w:fill="auto"/>
            <w:vAlign w:val="bottom"/>
          </w:tcPr>
          <w:p w14:paraId="45217ACB" w14:textId="7500D63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w:t>
            </w:r>
            <w:r w:rsidR="00003F34" w:rsidRPr="001B53A8">
              <w:rPr>
                <w:sz w:val="20"/>
                <w:szCs w:val="20"/>
                <w:lang w:val="sr-Latn-BA"/>
              </w:rPr>
              <w:t>Galens</w:t>
            </w:r>
            <w:r w:rsidRPr="001B53A8">
              <w:rPr>
                <w:sz w:val="20"/>
                <w:szCs w:val="20"/>
                <w:lang w:val="sr-Latn-BA"/>
              </w:rPr>
              <w:t xml:space="preserve"> </w:t>
            </w:r>
            <w:r w:rsidR="00003F34" w:rsidRPr="001B53A8">
              <w:rPr>
                <w:sz w:val="20"/>
                <w:szCs w:val="20"/>
                <w:lang w:val="sr-Latn-BA"/>
              </w:rPr>
              <w:t>invest</w:t>
            </w:r>
            <w:r w:rsidRPr="001B53A8">
              <w:rPr>
                <w:sz w:val="20"/>
                <w:szCs w:val="20"/>
                <w:lang w:val="sr-Latn-BA"/>
              </w:rPr>
              <w:t xml:space="preserve">“ </w:t>
            </w:r>
            <w:r w:rsidR="00003F34" w:rsidRPr="001B53A8">
              <w:rPr>
                <w:sz w:val="20"/>
                <w:szCs w:val="20"/>
                <w:lang w:val="sr-Latn-BA"/>
              </w:rPr>
              <w:t>d</w:t>
            </w:r>
            <w:r w:rsidRPr="001B53A8">
              <w:rPr>
                <w:sz w:val="20"/>
                <w:szCs w:val="20"/>
                <w:lang w:val="sr-Latn-BA"/>
              </w:rPr>
              <w:t>.</w:t>
            </w:r>
            <w:r w:rsidR="00003F34" w:rsidRPr="001B53A8">
              <w:rPr>
                <w:sz w:val="20"/>
                <w:szCs w:val="20"/>
                <w:lang w:val="sr-Latn-BA"/>
              </w:rPr>
              <w:t>o</w:t>
            </w:r>
            <w:r w:rsidRPr="001B53A8">
              <w:rPr>
                <w:sz w:val="20"/>
                <w:szCs w:val="20"/>
                <w:lang w:val="sr-Latn-BA"/>
              </w:rPr>
              <w:t>.</w:t>
            </w:r>
            <w:r w:rsidR="00003F34" w:rsidRPr="001B53A8">
              <w:rPr>
                <w:sz w:val="20"/>
                <w:szCs w:val="20"/>
                <w:lang w:val="sr-Latn-BA"/>
              </w:rPr>
              <w:t>o</w:t>
            </w:r>
            <w:r w:rsidRPr="001B53A8">
              <w:rPr>
                <w:sz w:val="20"/>
                <w:szCs w:val="20"/>
                <w:lang w:val="sr-Latn-BA"/>
              </w:rPr>
              <w:t xml:space="preserve">. </w:t>
            </w:r>
            <w:r w:rsidR="00003F34" w:rsidRPr="001B53A8">
              <w:rPr>
                <w:sz w:val="20"/>
                <w:szCs w:val="20"/>
                <w:lang w:val="sr-Latn-BA"/>
              </w:rPr>
              <w:t>Novi</w:t>
            </w:r>
            <w:r w:rsidRPr="001B53A8">
              <w:rPr>
                <w:sz w:val="20"/>
                <w:szCs w:val="20"/>
                <w:lang w:val="sr-Latn-BA"/>
              </w:rPr>
              <w:t xml:space="preserve"> </w:t>
            </w:r>
            <w:r w:rsidR="00003F34" w:rsidRPr="001B53A8">
              <w:rPr>
                <w:sz w:val="20"/>
                <w:szCs w:val="20"/>
                <w:lang w:val="sr-Latn-BA"/>
              </w:rPr>
              <w:t>Sad</w:t>
            </w:r>
          </w:p>
        </w:tc>
        <w:tc>
          <w:tcPr>
            <w:tcW w:w="651" w:type="pct"/>
            <w:vMerge/>
            <w:shd w:val="clear" w:color="auto" w:fill="auto"/>
            <w:vAlign w:val="center"/>
          </w:tcPr>
          <w:p w14:paraId="30708C46" w14:textId="77777777" w:rsidR="004353DF" w:rsidRPr="001B53A8" w:rsidRDefault="004353DF" w:rsidP="00003F34">
            <w:pPr>
              <w:spacing w:before="0" w:after="0" w:line="240" w:lineRule="auto"/>
              <w:ind w:firstLine="0"/>
              <w:jc w:val="center"/>
              <w:rPr>
                <w:sz w:val="20"/>
                <w:szCs w:val="20"/>
                <w:lang w:val="sr-Latn-BA"/>
              </w:rPr>
            </w:pPr>
          </w:p>
        </w:tc>
        <w:tc>
          <w:tcPr>
            <w:tcW w:w="668" w:type="pct"/>
            <w:shd w:val="clear" w:color="auto" w:fill="auto"/>
            <w:noWrap/>
            <w:vAlign w:val="bottom"/>
          </w:tcPr>
          <w:p w14:paraId="68C21AB1"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22,2403%</w:t>
            </w:r>
          </w:p>
        </w:tc>
        <w:tc>
          <w:tcPr>
            <w:tcW w:w="673" w:type="pct"/>
            <w:shd w:val="clear" w:color="auto" w:fill="auto"/>
            <w:noWrap/>
            <w:vAlign w:val="bottom"/>
          </w:tcPr>
          <w:p w14:paraId="7986DA27"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22,2403%</w:t>
            </w:r>
          </w:p>
        </w:tc>
      </w:tr>
      <w:tr w:rsidR="004353DF" w:rsidRPr="001B53A8" w14:paraId="06CB1488" w14:textId="77777777" w:rsidTr="004353DF">
        <w:trPr>
          <w:trHeight w:val="125"/>
        </w:trPr>
        <w:tc>
          <w:tcPr>
            <w:tcW w:w="261" w:type="pct"/>
            <w:vMerge/>
            <w:shd w:val="clear" w:color="auto" w:fill="auto"/>
            <w:vAlign w:val="center"/>
          </w:tcPr>
          <w:p w14:paraId="5E1E6184" w14:textId="77777777" w:rsidR="004353DF" w:rsidRPr="001B53A8" w:rsidRDefault="004353DF" w:rsidP="00003F34">
            <w:pPr>
              <w:spacing w:before="0" w:after="0" w:line="240" w:lineRule="auto"/>
              <w:ind w:left="-719"/>
              <w:jc w:val="center"/>
              <w:rPr>
                <w:sz w:val="20"/>
                <w:szCs w:val="20"/>
                <w:lang w:val="sr-Latn-BA" w:eastAsia="bs-Latn-BA"/>
              </w:rPr>
            </w:pPr>
          </w:p>
        </w:tc>
        <w:tc>
          <w:tcPr>
            <w:tcW w:w="1092" w:type="pct"/>
            <w:vMerge/>
            <w:shd w:val="clear" w:color="auto" w:fill="auto"/>
            <w:vAlign w:val="center"/>
          </w:tcPr>
          <w:p w14:paraId="4E8FDBDF" w14:textId="77777777" w:rsidR="004353DF" w:rsidRPr="001B53A8" w:rsidRDefault="004353DF" w:rsidP="00003F34">
            <w:pPr>
              <w:spacing w:before="0" w:after="0" w:line="240" w:lineRule="auto"/>
              <w:ind w:firstLine="0"/>
              <w:jc w:val="center"/>
              <w:rPr>
                <w:sz w:val="20"/>
                <w:szCs w:val="20"/>
                <w:lang w:val="sr-Latn-BA"/>
              </w:rPr>
            </w:pPr>
          </w:p>
        </w:tc>
        <w:tc>
          <w:tcPr>
            <w:tcW w:w="602" w:type="pct"/>
            <w:vMerge/>
            <w:shd w:val="clear" w:color="auto" w:fill="auto"/>
            <w:vAlign w:val="center"/>
          </w:tcPr>
          <w:p w14:paraId="7FF2C875" w14:textId="77777777" w:rsidR="004353DF" w:rsidRPr="001B53A8" w:rsidRDefault="004353DF" w:rsidP="00003F34">
            <w:pPr>
              <w:spacing w:before="0" w:after="0" w:line="240" w:lineRule="auto"/>
              <w:ind w:firstLine="0"/>
              <w:jc w:val="center"/>
              <w:rPr>
                <w:sz w:val="20"/>
                <w:szCs w:val="20"/>
                <w:lang w:val="sr-Latn-BA"/>
              </w:rPr>
            </w:pPr>
          </w:p>
        </w:tc>
        <w:tc>
          <w:tcPr>
            <w:tcW w:w="1053" w:type="pct"/>
            <w:shd w:val="clear" w:color="auto" w:fill="auto"/>
            <w:vAlign w:val="bottom"/>
          </w:tcPr>
          <w:p w14:paraId="20013787" w14:textId="19E3704D"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w:t>
            </w:r>
            <w:r w:rsidR="00003F34" w:rsidRPr="001B53A8">
              <w:rPr>
                <w:sz w:val="20"/>
                <w:szCs w:val="20"/>
                <w:lang w:val="sr-Latn-BA"/>
              </w:rPr>
              <w:t>G</w:t>
            </w:r>
            <w:r w:rsidRPr="001B53A8">
              <w:rPr>
                <w:sz w:val="20"/>
                <w:szCs w:val="20"/>
                <w:lang w:val="sr-Latn-BA"/>
              </w:rPr>
              <w:t>-</w:t>
            </w:r>
            <w:r w:rsidR="00003F34" w:rsidRPr="001B53A8">
              <w:rPr>
                <w:sz w:val="20"/>
                <w:szCs w:val="20"/>
                <w:lang w:val="sr-Latn-BA"/>
              </w:rPr>
              <w:t>inženjering</w:t>
            </w:r>
            <w:r w:rsidRPr="001B53A8">
              <w:rPr>
                <w:sz w:val="20"/>
                <w:szCs w:val="20"/>
                <w:lang w:val="sr-Latn-BA"/>
              </w:rPr>
              <w:t xml:space="preserve">“ </w:t>
            </w:r>
            <w:r w:rsidR="00003F34" w:rsidRPr="001B53A8">
              <w:rPr>
                <w:sz w:val="20"/>
                <w:szCs w:val="20"/>
                <w:lang w:val="sr-Latn-BA"/>
              </w:rPr>
              <w:t>d</w:t>
            </w:r>
            <w:r w:rsidRPr="001B53A8">
              <w:rPr>
                <w:sz w:val="20"/>
                <w:szCs w:val="20"/>
                <w:lang w:val="sr-Latn-BA"/>
              </w:rPr>
              <w:t>.</w:t>
            </w:r>
            <w:r w:rsidR="00003F34" w:rsidRPr="001B53A8">
              <w:rPr>
                <w:sz w:val="20"/>
                <w:szCs w:val="20"/>
                <w:lang w:val="sr-Latn-BA"/>
              </w:rPr>
              <w:t>o</w:t>
            </w:r>
            <w:r w:rsidRPr="001B53A8">
              <w:rPr>
                <w:sz w:val="20"/>
                <w:szCs w:val="20"/>
                <w:lang w:val="sr-Latn-BA"/>
              </w:rPr>
              <w:t>.</w:t>
            </w:r>
            <w:r w:rsidR="00003F34" w:rsidRPr="001B53A8">
              <w:rPr>
                <w:sz w:val="20"/>
                <w:szCs w:val="20"/>
                <w:lang w:val="sr-Latn-BA"/>
              </w:rPr>
              <w:t>o</w:t>
            </w:r>
            <w:r w:rsidRPr="001B53A8">
              <w:rPr>
                <w:sz w:val="20"/>
                <w:szCs w:val="20"/>
                <w:lang w:val="sr-Latn-BA"/>
              </w:rPr>
              <w:t xml:space="preserve">. </w:t>
            </w:r>
            <w:r w:rsidR="00003F34" w:rsidRPr="001B53A8">
              <w:rPr>
                <w:sz w:val="20"/>
                <w:szCs w:val="20"/>
                <w:lang w:val="sr-Latn-BA"/>
              </w:rPr>
              <w:t>Zvornik</w:t>
            </w:r>
          </w:p>
        </w:tc>
        <w:tc>
          <w:tcPr>
            <w:tcW w:w="651" w:type="pct"/>
            <w:vMerge/>
            <w:shd w:val="clear" w:color="auto" w:fill="auto"/>
            <w:vAlign w:val="center"/>
          </w:tcPr>
          <w:p w14:paraId="69BBF5CE" w14:textId="77777777" w:rsidR="004353DF" w:rsidRPr="001B53A8" w:rsidRDefault="004353DF" w:rsidP="00003F34">
            <w:pPr>
              <w:spacing w:before="0" w:after="0" w:line="240" w:lineRule="auto"/>
              <w:ind w:firstLine="0"/>
              <w:jc w:val="center"/>
              <w:rPr>
                <w:sz w:val="20"/>
                <w:szCs w:val="20"/>
                <w:lang w:val="sr-Latn-BA"/>
              </w:rPr>
            </w:pPr>
          </w:p>
        </w:tc>
        <w:tc>
          <w:tcPr>
            <w:tcW w:w="668" w:type="pct"/>
            <w:shd w:val="clear" w:color="auto" w:fill="auto"/>
            <w:noWrap/>
            <w:vAlign w:val="bottom"/>
          </w:tcPr>
          <w:p w14:paraId="6AD1CFC7"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4,1317%</w:t>
            </w:r>
          </w:p>
        </w:tc>
        <w:tc>
          <w:tcPr>
            <w:tcW w:w="673" w:type="pct"/>
            <w:shd w:val="clear" w:color="auto" w:fill="auto"/>
            <w:noWrap/>
            <w:vAlign w:val="bottom"/>
          </w:tcPr>
          <w:p w14:paraId="0E1CED5F" w14:textId="77777777" w:rsidR="004353DF" w:rsidRPr="001B53A8" w:rsidRDefault="004353DF" w:rsidP="00003F34">
            <w:pPr>
              <w:spacing w:before="0" w:after="0" w:line="240" w:lineRule="auto"/>
              <w:ind w:firstLine="0"/>
              <w:jc w:val="center"/>
              <w:rPr>
                <w:sz w:val="20"/>
                <w:szCs w:val="20"/>
                <w:lang w:val="sr-Latn-BA"/>
              </w:rPr>
            </w:pPr>
            <w:r w:rsidRPr="001B53A8">
              <w:rPr>
                <w:sz w:val="20"/>
                <w:szCs w:val="20"/>
                <w:lang w:val="sr-Latn-BA"/>
              </w:rPr>
              <w:t>4,1317%</w:t>
            </w:r>
          </w:p>
        </w:tc>
      </w:tr>
    </w:tbl>
    <w:p w14:paraId="624E9AE0" w14:textId="51B9D775" w:rsidR="00151EAC" w:rsidRPr="001B53A8" w:rsidRDefault="00003F34" w:rsidP="006B6E0C">
      <w:pPr>
        <w:pStyle w:val="Caption"/>
        <w:tabs>
          <w:tab w:val="left" w:pos="1276"/>
        </w:tabs>
        <w:spacing w:after="120"/>
        <w:ind w:left="1276" w:hanging="1276"/>
        <w:jc w:val="both"/>
        <w:rPr>
          <w:rFonts w:ascii="Times New Roman" w:hAnsi="Times New Roman"/>
          <w:b w:val="0"/>
          <w:sz w:val="24"/>
          <w:lang w:val="sr-Latn-BA"/>
        </w:rPr>
      </w:pPr>
      <w:r w:rsidRPr="001B53A8">
        <w:rPr>
          <w:rFonts w:ascii="Times New Roman" w:hAnsi="Times New Roman"/>
          <w:sz w:val="24"/>
          <w:szCs w:val="24"/>
          <w:lang w:val="sr-Latn-BA"/>
        </w:rPr>
        <w:t>Tabela</w:t>
      </w:r>
      <w:r w:rsidR="00151EAC" w:rsidRPr="001B53A8">
        <w:rPr>
          <w:rFonts w:ascii="Times New Roman" w:hAnsi="Times New Roman"/>
          <w:sz w:val="24"/>
          <w:szCs w:val="24"/>
          <w:lang w:val="sr-Latn-BA"/>
        </w:rPr>
        <w:t xml:space="preserve"> </w:t>
      </w:r>
      <w:r w:rsidR="00D3478F" w:rsidRPr="001B53A8">
        <w:rPr>
          <w:rFonts w:ascii="Times New Roman" w:hAnsi="Times New Roman"/>
          <w:sz w:val="24"/>
          <w:szCs w:val="24"/>
          <w:lang w:val="sr-Latn-BA"/>
        </w:rPr>
        <w:fldChar w:fldCharType="begin"/>
      </w:r>
      <w:r w:rsidR="00151EAC" w:rsidRPr="001B53A8">
        <w:rPr>
          <w:rFonts w:ascii="Times New Roman" w:hAnsi="Times New Roman"/>
          <w:sz w:val="24"/>
          <w:szCs w:val="24"/>
          <w:lang w:val="sr-Latn-BA"/>
        </w:rPr>
        <w:instrText xml:space="preserve"> SEQ Табела \* ARABIC </w:instrText>
      </w:r>
      <w:r w:rsidR="00D3478F" w:rsidRPr="001B53A8">
        <w:rPr>
          <w:rFonts w:ascii="Times New Roman" w:hAnsi="Times New Roman"/>
          <w:sz w:val="24"/>
          <w:szCs w:val="24"/>
          <w:lang w:val="sr-Latn-BA"/>
        </w:rPr>
        <w:fldChar w:fldCharType="separate"/>
      </w:r>
      <w:r w:rsidR="002C66E2" w:rsidRPr="001B53A8">
        <w:rPr>
          <w:rFonts w:ascii="Times New Roman" w:hAnsi="Times New Roman"/>
          <w:noProof/>
          <w:sz w:val="24"/>
          <w:szCs w:val="24"/>
          <w:lang w:val="sr-Latn-BA"/>
        </w:rPr>
        <w:t>7</w:t>
      </w:r>
      <w:r w:rsidR="00D3478F" w:rsidRPr="001B53A8">
        <w:rPr>
          <w:rFonts w:ascii="Times New Roman" w:hAnsi="Times New Roman"/>
          <w:sz w:val="24"/>
          <w:szCs w:val="24"/>
          <w:lang w:val="sr-Latn-BA"/>
        </w:rPr>
        <w:fldChar w:fldCharType="end"/>
      </w:r>
      <w:r w:rsidR="00151EAC" w:rsidRPr="001B53A8">
        <w:rPr>
          <w:rFonts w:ascii="Times New Roman" w:hAnsi="Times New Roman"/>
          <w:sz w:val="24"/>
          <w:szCs w:val="24"/>
          <w:lang w:val="sr-Latn-BA"/>
        </w:rPr>
        <w:t>.</w:t>
      </w:r>
      <w:r w:rsidR="00151EAC" w:rsidRPr="001B53A8">
        <w:rPr>
          <w:rFonts w:ascii="Times New Roman" w:hAnsi="Times New Roman"/>
          <w:sz w:val="24"/>
          <w:szCs w:val="24"/>
          <w:lang w:val="sr-Latn-BA"/>
        </w:rPr>
        <w:tab/>
      </w:r>
      <w:r w:rsidRPr="001B53A8">
        <w:rPr>
          <w:rFonts w:ascii="Times New Roman" w:hAnsi="Times New Roman"/>
          <w:b w:val="0"/>
          <w:sz w:val="24"/>
          <w:lang w:val="sr-Latn-BA"/>
        </w:rPr>
        <w:t>Pregled</w:t>
      </w:r>
      <w:r w:rsidR="00151EAC" w:rsidRPr="001B53A8">
        <w:rPr>
          <w:rFonts w:ascii="Times New Roman" w:hAnsi="Times New Roman"/>
          <w:b w:val="0"/>
          <w:sz w:val="24"/>
          <w:lang w:val="sr-Latn-BA"/>
        </w:rPr>
        <w:t xml:space="preserve"> </w:t>
      </w:r>
      <w:r w:rsidRPr="001B53A8">
        <w:rPr>
          <w:rFonts w:ascii="Times New Roman" w:hAnsi="Times New Roman"/>
          <w:b w:val="0"/>
          <w:sz w:val="24"/>
          <w:lang w:val="sr-Latn-BA"/>
        </w:rPr>
        <w:t>završenih</w:t>
      </w:r>
      <w:r w:rsidR="00151EAC" w:rsidRPr="001B53A8">
        <w:rPr>
          <w:rFonts w:ascii="Times New Roman" w:hAnsi="Times New Roman"/>
          <w:b w:val="0"/>
          <w:sz w:val="24"/>
          <w:lang w:val="sr-Latn-BA"/>
        </w:rPr>
        <w:t xml:space="preserve"> </w:t>
      </w:r>
      <w:r w:rsidRPr="001B53A8">
        <w:rPr>
          <w:rFonts w:ascii="Times New Roman" w:hAnsi="Times New Roman"/>
          <w:b w:val="0"/>
          <w:sz w:val="24"/>
          <w:lang w:val="sr-Latn-BA"/>
        </w:rPr>
        <w:t>postupaka</w:t>
      </w:r>
      <w:r w:rsidR="00151EAC" w:rsidRPr="001B53A8">
        <w:rPr>
          <w:rFonts w:ascii="Times New Roman" w:hAnsi="Times New Roman"/>
          <w:b w:val="0"/>
          <w:sz w:val="24"/>
          <w:lang w:val="sr-Latn-BA"/>
        </w:rPr>
        <w:t xml:space="preserve"> </w:t>
      </w:r>
      <w:r w:rsidRPr="001B53A8">
        <w:rPr>
          <w:rFonts w:ascii="Times New Roman" w:hAnsi="Times New Roman"/>
          <w:b w:val="0"/>
          <w:sz w:val="24"/>
          <w:lang w:val="sr-Latn-BA"/>
        </w:rPr>
        <w:t>preuzimanja</w:t>
      </w:r>
      <w:r w:rsidR="00151EAC" w:rsidRPr="001B53A8">
        <w:rPr>
          <w:rFonts w:ascii="Times New Roman" w:hAnsi="Times New Roman"/>
          <w:b w:val="0"/>
          <w:sz w:val="24"/>
          <w:lang w:val="sr-Latn-BA"/>
        </w:rPr>
        <w:t xml:space="preserve"> </w:t>
      </w:r>
      <w:r w:rsidRPr="001B53A8">
        <w:rPr>
          <w:rFonts w:ascii="Times New Roman" w:hAnsi="Times New Roman"/>
          <w:b w:val="0"/>
          <w:sz w:val="24"/>
          <w:lang w:val="sr-Latn-BA"/>
        </w:rPr>
        <w:t>akcionarskih</w:t>
      </w:r>
      <w:r w:rsidR="00151EAC" w:rsidRPr="001B53A8">
        <w:rPr>
          <w:rFonts w:ascii="Times New Roman" w:hAnsi="Times New Roman"/>
          <w:b w:val="0"/>
          <w:sz w:val="24"/>
          <w:lang w:val="sr-Latn-BA"/>
        </w:rPr>
        <w:t xml:space="preserve"> </w:t>
      </w:r>
      <w:r w:rsidRPr="001B53A8">
        <w:rPr>
          <w:rFonts w:ascii="Times New Roman" w:hAnsi="Times New Roman"/>
          <w:b w:val="0"/>
          <w:sz w:val="24"/>
          <w:lang w:val="sr-Latn-BA"/>
        </w:rPr>
        <w:t>društava</w:t>
      </w:r>
      <w:r w:rsidR="00151EAC" w:rsidRPr="001B53A8">
        <w:rPr>
          <w:rFonts w:ascii="Times New Roman" w:hAnsi="Times New Roman"/>
          <w:b w:val="0"/>
          <w:sz w:val="24"/>
          <w:lang w:val="sr-Latn-BA"/>
        </w:rPr>
        <w:t xml:space="preserve"> </w:t>
      </w:r>
      <w:r w:rsidRPr="001B53A8">
        <w:rPr>
          <w:rFonts w:ascii="Times New Roman" w:hAnsi="Times New Roman"/>
          <w:b w:val="0"/>
          <w:sz w:val="24"/>
          <w:lang w:val="sr-Latn-BA"/>
        </w:rPr>
        <w:t>u</w:t>
      </w:r>
      <w:r w:rsidR="00151EAC" w:rsidRPr="001B53A8">
        <w:rPr>
          <w:rFonts w:ascii="Times New Roman" w:hAnsi="Times New Roman"/>
          <w:b w:val="0"/>
          <w:sz w:val="24"/>
          <w:lang w:val="sr-Latn-BA"/>
        </w:rPr>
        <w:t xml:space="preserve"> </w:t>
      </w:r>
      <w:r w:rsidR="002C66E2" w:rsidRPr="001B53A8">
        <w:rPr>
          <w:rFonts w:ascii="Times New Roman" w:hAnsi="Times New Roman"/>
          <w:b w:val="0"/>
          <w:sz w:val="24"/>
          <w:lang w:val="sr-Latn-BA"/>
        </w:rPr>
        <w:t>2023</w:t>
      </w:r>
      <w:r w:rsidR="00151EAC" w:rsidRPr="001B53A8">
        <w:rPr>
          <w:rFonts w:ascii="Times New Roman" w:hAnsi="Times New Roman"/>
          <w:b w:val="0"/>
          <w:sz w:val="24"/>
          <w:lang w:val="sr-Latn-BA"/>
        </w:rPr>
        <w:t xml:space="preserve">. </w:t>
      </w:r>
      <w:r w:rsidRPr="001B53A8">
        <w:rPr>
          <w:rFonts w:ascii="Times New Roman" w:hAnsi="Times New Roman"/>
          <w:b w:val="0"/>
          <w:sz w:val="24"/>
          <w:lang w:val="sr-Latn-BA"/>
        </w:rPr>
        <w:t>godini</w:t>
      </w:r>
      <w:r w:rsidR="00151EAC" w:rsidRPr="001B53A8">
        <w:rPr>
          <w:rFonts w:ascii="Times New Roman" w:hAnsi="Times New Roman"/>
          <w:b w:val="0"/>
          <w:sz w:val="24"/>
          <w:lang w:val="sr-Latn-BA"/>
        </w:rPr>
        <w:t xml:space="preserve"> </w:t>
      </w:r>
    </w:p>
    <w:p w14:paraId="7D98A900" w14:textId="42E0C1C6" w:rsidR="00204DC4" w:rsidRPr="001B53A8" w:rsidRDefault="00003F34" w:rsidP="006B6E0C">
      <w:pPr>
        <w:spacing w:after="0" w:line="240" w:lineRule="auto"/>
        <w:ind w:firstLine="567"/>
        <w:rPr>
          <w:lang w:val="sr-Latn-BA"/>
        </w:rPr>
      </w:pPr>
      <w:r w:rsidRPr="001B53A8">
        <w:rPr>
          <w:lang w:val="sr-Latn-BA"/>
        </w:rPr>
        <w:t>Navedeni</w:t>
      </w:r>
      <w:r w:rsidR="009D721C" w:rsidRPr="001B53A8">
        <w:rPr>
          <w:lang w:val="sr-Latn-BA"/>
        </w:rPr>
        <w:t xml:space="preserve"> </w:t>
      </w:r>
      <w:r w:rsidRPr="001B53A8">
        <w:rPr>
          <w:lang w:val="sr-Latn-BA"/>
        </w:rPr>
        <w:t>pokazatelјi</w:t>
      </w:r>
      <w:r w:rsidR="009D721C" w:rsidRPr="001B53A8">
        <w:rPr>
          <w:lang w:val="sr-Latn-BA"/>
        </w:rPr>
        <w:t xml:space="preserve"> </w:t>
      </w:r>
      <w:r w:rsidRPr="001B53A8">
        <w:rPr>
          <w:lang w:val="sr-Latn-BA"/>
        </w:rPr>
        <w:t>govore</w:t>
      </w:r>
      <w:r w:rsidR="009D721C" w:rsidRPr="001B53A8">
        <w:rPr>
          <w:lang w:val="sr-Latn-BA"/>
        </w:rPr>
        <w:t xml:space="preserve"> </w:t>
      </w:r>
      <w:r w:rsidRPr="001B53A8">
        <w:rPr>
          <w:lang w:val="sr-Latn-BA"/>
        </w:rPr>
        <w:t>u</w:t>
      </w:r>
      <w:r w:rsidR="009D721C" w:rsidRPr="001B53A8">
        <w:rPr>
          <w:lang w:val="sr-Latn-BA"/>
        </w:rPr>
        <w:t xml:space="preserve"> </w:t>
      </w:r>
      <w:r w:rsidRPr="001B53A8">
        <w:rPr>
          <w:lang w:val="sr-Latn-BA"/>
        </w:rPr>
        <w:t>prilog</w:t>
      </w:r>
      <w:r w:rsidR="009D721C" w:rsidRPr="001B53A8">
        <w:rPr>
          <w:lang w:val="sr-Latn-BA"/>
        </w:rPr>
        <w:t xml:space="preserve"> </w:t>
      </w:r>
      <w:r w:rsidRPr="001B53A8">
        <w:rPr>
          <w:lang w:val="sr-Latn-BA"/>
        </w:rPr>
        <w:t>konstataciji</w:t>
      </w:r>
      <w:r w:rsidR="009D721C" w:rsidRPr="001B53A8">
        <w:rPr>
          <w:lang w:val="sr-Latn-BA"/>
        </w:rPr>
        <w:t xml:space="preserve"> </w:t>
      </w:r>
      <w:r w:rsidRPr="001B53A8">
        <w:rPr>
          <w:lang w:val="sr-Latn-BA"/>
        </w:rPr>
        <w:t>da</w:t>
      </w:r>
      <w:r w:rsidR="009D721C" w:rsidRPr="001B53A8">
        <w:rPr>
          <w:lang w:val="sr-Latn-BA"/>
        </w:rPr>
        <w:t xml:space="preserve"> </w:t>
      </w:r>
      <w:r w:rsidRPr="001B53A8">
        <w:rPr>
          <w:lang w:val="sr-Latn-BA"/>
        </w:rPr>
        <w:t>je</w:t>
      </w:r>
      <w:r w:rsidR="009D721C" w:rsidRPr="001B53A8">
        <w:rPr>
          <w:lang w:val="sr-Latn-BA"/>
        </w:rPr>
        <w:t xml:space="preserve"> </w:t>
      </w:r>
      <w:r w:rsidRPr="001B53A8">
        <w:rPr>
          <w:lang w:val="sr-Latn-BA"/>
        </w:rPr>
        <w:t>vlasnička</w:t>
      </w:r>
      <w:r w:rsidR="009D721C" w:rsidRPr="001B53A8">
        <w:rPr>
          <w:lang w:val="sr-Latn-BA"/>
        </w:rPr>
        <w:t xml:space="preserve"> </w:t>
      </w:r>
      <w:r w:rsidRPr="001B53A8">
        <w:rPr>
          <w:lang w:val="sr-Latn-BA"/>
        </w:rPr>
        <w:t>konsolidacija</w:t>
      </w:r>
      <w:r w:rsidR="009D721C" w:rsidRPr="001B53A8">
        <w:rPr>
          <w:lang w:val="sr-Latn-BA"/>
        </w:rPr>
        <w:t xml:space="preserve"> </w:t>
      </w:r>
      <w:r w:rsidRPr="001B53A8">
        <w:rPr>
          <w:lang w:val="sr-Latn-BA"/>
        </w:rPr>
        <w:t>u</w:t>
      </w:r>
      <w:r w:rsidR="009D721C" w:rsidRPr="001B53A8">
        <w:rPr>
          <w:lang w:val="sr-Latn-BA"/>
        </w:rPr>
        <w:t xml:space="preserve"> </w:t>
      </w:r>
      <w:r w:rsidRPr="001B53A8">
        <w:rPr>
          <w:lang w:val="sr-Latn-BA"/>
        </w:rPr>
        <w:t>značajnoj</w:t>
      </w:r>
      <w:r w:rsidR="009D721C" w:rsidRPr="001B53A8">
        <w:rPr>
          <w:lang w:val="sr-Latn-BA"/>
        </w:rPr>
        <w:t xml:space="preserve"> </w:t>
      </w:r>
      <w:r w:rsidRPr="001B53A8">
        <w:rPr>
          <w:lang w:val="sr-Latn-BA"/>
        </w:rPr>
        <w:t>mjeri</w:t>
      </w:r>
      <w:r w:rsidR="009D721C" w:rsidRPr="001B53A8">
        <w:rPr>
          <w:lang w:val="sr-Latn-BA"/>
        </w:rPr>
        <w:t xml:space="preserve"> </w:t>
      </w:r>
      <w:r w:rsidRPr="001B53A8">
        <w:rPr>
          <w:lang w:val="sr-Latn-BA"/>
        </w:rPr>
        <w:t>okončana</w:t>
      </w:r>
      <w:r w:rsidR="009D721C" w:rsidRPr="001B53A8">
        <w:rPr>
          <w:lang w:val="sr-Latn-BA"/>
        </w:rPr>
        <w:t xml:space="preserve">, </w:t>
      </w:r>
      <w:r w:rsidRPr="001B53A8">
        <w:rPr>
          <w:lang w:val="sr-Latn-BA"/>
        </w:rPr>
        <w:t>te</w:t>
      </w:r>
      <w:r w:rsidR="009D721C" w:rsidRPr="001B53A8">
        <w:rPr>
          <w:lang w:val="sr-Latn-BA"/>
        </w:rPr>
        <w:t xml:space="preserve"> </w:t>
      </w:r>
      <w:r w:rsidRPr="001B53A8">
        <w:rPr>
          <w:lang w:val="sr-Latn-BA"/>
        </w:rPr>
        <w:t>da</w:t>
      </w:r>
      <w:r w:rsidR="009D721C" w:rsidRPr="001B53A8">
        <w:rPr>
          <w:lang w:val="sr-Latn-BA"/>
        </w:rPr>
        <w:t xml:space="preserve"> </w:t>
      </w:r>
      <w:r w:rsidRPr="001B53A8">
        <w:rPr>
          <w:lang w:val="sr-Latn-BA"/>
        </w:rPr>
        <w:t>se</w:t>
      </w:r>
      <w:r w:rsidR="009D721C" w:rsidRPr="001B53A8">
        <w:rPr>
          <w:lang w:val="sr-Latn-BA"/>
        </w:rPr>
        <w:t xml:space="preserve"> </w:t>
      </w:r>
      <w:r w:rsidRPr="001B53A8">
        <w:rPr>
          <w:lang w:val="sr-Latn-BA"/>
        </w:rPr>
        <w:t>mehanizam</w:t>
      </w:r>
      <w:r w:rsidR="009D721C" w:rsidRPr="001B53A8">
        <w:rPr>
          <w:lang w:val="sr-Latn-BA"/>
        </w:rPr>
        <w:t xml:space="preserve"> </w:t>
      </w:r>
      <w:r w:rsidRPr="001B53A8">
        <w:rPr>
          <w:lang w:val="sr-Latn-BA"/>
        </w:rPr>
        <w:t>ponude</w:t>
      </w:r>
      <w:r w:rsidR="009D721C" w:rsidRPr="001B53A8">
        <w:rPr>
          <w:lang w:val="sr-Latn-BA"/>
        </w:rPr>
        <w:t xml:space="preserve"> </w:t>
      </w:r>
      <w:r w:rsidRPr="001B53A8">
        <w:rPr>
          <w:lang w:val="sr-Latn-BA"/>
        </w:rPr>
        <w:t>za</w:t>
      </w:r>
      <w:r w:rsidR="009D721C" w:rsidRPr="001B53A8">
        <w:rPr>
          <w:lang w:val="sr-Latn-BA"/>
        </w:rPr>
        <w:t xml:space="preserve"> </w:t>
      </w:r>
      <w:r w:rsidRPr="001B53A8">
        <w:rPr>
          <w:lang w:val="sr-Latn-BA"/>
        </w:rPr>
        <w:t>preuzimanje</w:t>
      </w:r>
      <w:r w:rsidR="009D721C" w:rsidRPr="001B53A8">
        <w:rPr>
          <w:lang w:val="sr-Latn-BA"/>
        </w:rPr>
        <w:t xml:space="preserve"> </w:t>
      </w:r>
      <w:r w:rsidRPr="001B53A8">
        <w:rPr>
          <w:lang w:val="sr-Latn-BA"/>
        </w:rPr>
        <w:t>koristi</w:t>
      </w:r>
      <w:r w:rsidR="009D721C" w:rsidRPr="001B53A8">
        <w:rPr>
          <w:lang w:val="sr-Latn-BA"/>
        </w:rPr>
        <w:t xml:space="preserve"> </w:t>
      </w:r>
      <w:r w:rsidRPr="001B53A8">
        <w:rPr>
          <w:lang w:val="sr-Latn-BA"/>
        </w:rPr>
        <w:t>samo</w:t>
      </w:r>
      <w:r w:rsidR="009D721C" w:rsidRPr="001B53A8">
        <w:rPr>
          <w:lang w:val="sr-Latn-BA"/>
        </w:rPr>
        <w:t xml:space="preserve"> </w:t>
      </w:r>
      <w:r w:rsidRPr="001B53A8">
        <w:rPr>
          <w:lang w:val="sr-Latn-BA"/>
        </w:rPr>
        <w:t>kao</w:t>
      </w:r>
      <w:r w:rsidR="009D721C" w:rsidRPr="001B53A8">
        <w:rPr>
          <w:lang w:val="sr-Latn-BA"/>
        </w:rPr>
        <w:t xml:space="preserve"> </w:t>
      </w:r>
      <w:r w:rsidRPr="001B53A8">
        <w:rPr>
          <w:lang w:val="sr-Latn-BA"/>
        </w:rPr>
        <w:t>prethodna</w:t>
      </w:r>
      <w:r w:rsidR="009D721C" w:rsidRPr="001B53A8">
        <w:rPr>
          <w:lang w:val="sr-Latn-BA"/>
        </w:rPr>
        <w:t xml:space="preserve"> </w:t>
      </w:r>
      <w:r w:rsidRPr="001B53A8">
        <w:rPr>
          <w:lang w:val="sr-Latn-BA"/>
        </w:rPr>
        <w:t>faza</w:t>
      </w:r>
      <w:r w:rsidR="009D721C" w:rsidRPr="001B53A8">
        <w:rPr>
          <w:lang w:val="sr-Latn-BA"/>
        </w:rPr>
        <w:t xml:space="preserve"> </w:t>
      </w:r>
      <w:r w:rsidRPr="001B53A8">
        <w:rPr>
          <w:lang w:val="sr-Latn-BA"/>
        </w:rPr>
        <w:t>za</w:t>
      </w:r>
      <w:r w:rsidR="009D721C" w:rsidRPr="001B53A8">
        <w:rPr>
          <w:lang w:val="sr-Latn-BA"/>
        </w:rPr>
        <w:t xml:space="preserve"> </w:t>
      </w:r>
      <w:r w:rsidRPr="001B53A8">
        <w:rPr>
          <w:lang w:val="sr-Latn-BA"/>
        </w:rPr>
        <w:t>istiskivanje</w:t>
      </w:r>
      <w:r w:rsidR="009D721C" w:rsidRPr="001B53A8">
        <w:rPr>
          <w:lang w:val="sr-Latn-BA"/>
        </w:rPr>
        <w:t xml:space="preserve"> </w:t>
      </w:r>
      <w:r w:rsidRPr="001B53A8">
        <w:rPr>
          <w:lang w:val="sr-Latn-BA"/>
        </w:rPr>
        <w:t>manjinskih</w:t>
      </w:r>
      <w:r w:rsidR="009D721C" w:rsidRPr="001B53A8">
        <w:rPr>
          <w:lang w:val="sr-Latn-BA"/>
        </w:rPr>
        <w:t xml:space="preserve"> </w:t>
      </w:r>
      <w:r w:rsidRPr="001B53A8">
        <w:rPr>
          <w:lang w:val="sr-Latn-BA"/>
        </w:rPr>
        <w:t>akcionara</w:t>
      </w:r>
      <w:r w:rsidR="009D721C" w:rsidRPr="001B53A8">
        <w:rPr>
          <w:lang w:val="sr-Latn-BA"/>
        </w:rPr>
        <w:t xml:space="preserve"> </w:t>
      </w:r>
      <w:r w:rsidRPr="001B53A8">
        <w:rPr>
          <w:lang w:val="sr-Latn-BA"/>
        </w:rPr>
        <w:t>i</w:t>
      </w:r>
      <w:r w:rsidR="009D721C" w:rsidRPr="001B53A8">
        <w:rPr>
          <w:lang w:val="sr-Latn-BA"/>
        </w:rPr>
        <w:t xml:space="preserve"> </w:t>
      </w:r>
      <w:r w:rsidRPr="001B53A8">
        <w:rPr>
          <w:lang w:val="sr-Latn-BA"/>
        </w:rPr>
        <w:t>promjenu</w:t>
      </w:r>
      <w:r w:rsidR="009D721C" w:rsidRPr="001B53A8">
        <w:rPr>
          <w:lang w:val="sr-Latn-BA"/>
        </w:rPr>
        <w:t xml:space="preserve"> </w:t>
      </w:r>
      <w:r w:rsidRPr="001B53A8">
        <w:rPr>
          <w:lang w:val="sr-Latn-BA"/>
        </w:rPr>
        <w:t>oblika</w:t>
      </w:r>
      <w:r w:rsidR="009D721C" w:rsidRPr="001B53A8">
        <w:rPr>
          <w:lang w:val="sr-Latn-BA"/>
        </w:rPr>
        <w:t xml:space="preserve"> </w:t>
      </w:r>
      <w:r w:rsidRPr="001B53A8">
        <w:rPr>
          <w:lang w:val="sr-Latn-BA"/>
        </w:rPr>
        <w:t>ili</w:t>
      </w:r>
      <w:r w:rsidR="009D721C" w:rsidRPr="001B53A8">
        <w:rPr>
          <w:lang w:val="sr-Latn-BA"/>
        </w:rPr>
        <w:t xml:space="preserve"> </w:t>
      </w:r>
      <w:r w:rsidRPr="001B53A8">
        <w:rPr>
          <w:lang w:val="sr-Latn-BA"/>
        </w:rPr>
        <w:t>pravne</w:t>
      </w:r>
      <w:r w:rsidR="009D721C" w:rsidRPr="001B53A8">
        <w:rPr>
          <w:lang w:val="sr-Latn-BA"/>
        </w:rPr>
        <w:t xml:space="preserve"> </w:t>
      </w:r>
      <w:r w:rsidRPr="001B53A8">
        <w:rPr>
          <w:lang w:val="sr-Latn-BA"/>
        </w:rPr>
        <w:t>forme</w:t>
      </w:r>
      <w:r w:rsidR="009D721C" w:rsidRPr="001B53A8">
        <w:rPr>
          <w:lang w:val="sr-Latn-BA"/>
        </w:rPr>
        <w:t xml:space="preserve"> </w:t>
      </w:r>
      <w:r w:rsidRPr="001B53A8">
        <w:rPr>
          <w:lang w:val="sr-Latn-BA"/>
        </w:rPr>
        <w:t>akcionarskog</w:t>
      </w:r>
      <w:r w:rsidR="009D721C" w:rsidRPr="001B53A8">
        <w:rPr>
          <w:lang w:val="sr-Latn-BA"/>
        </w:rPr>
        <w:t xml:space="preserve"> </w:t>
      </w:r>
      <w:r w:rsidRPr="001B53A8">
        <w:rPr>
          <w:lang w:val="sr-Latn-BA"/>
        </w:rPr>
        <w:t>društva</w:t>
      </w:r>
      <w:r w:rsidR="00A1510F" w:rsidRPr="001B53A8">
        <w:rPr>
          <w:lang w:val="sr-Latn-BA"/>
        </w:rPr>
        <w:t xml:space="preserve">. </w:t>
      </w:r>
      <w:bookmarkStart w:id="56" w:name="_Toc384212491"/>
    </w:p>
    <w:p w14:paraId="5272C867" w14:textId="398E6E65" w:rsidR="00E84A26" w:rsidRPr="001B53A8" w:rsidRDefault="00003F34" w:rsidP="006B6E0C">
      <w:pPr>
        <w:spacing w:after="0" w:line="240" w:lineRule="auto"/>
        <w:ind w:firstLine="567"/>
        <w:rPr>
          <w:lang w:val="sr-Latn-BA"/>
        </w:rPr>
      </w:pPr>
      <w:r w:rsidRPr="001B53A8">
        <w:rPr>
          <w:lang w:val="sr-Latn-BA"/>
        </w:rPr>
        <w:t>Komisija</w:t>
      </w:r>
      <w:r w:rsidR="00E84A26" w:rsidRPr="001B53A8">
        <w:rPr>
          <w:lang w:val="sr-Latn-BA"/>
        </w:rPr>
        <w:t xml:space="preserve"> </w:t>
      </w:r>
      <w:r w:rsidRPr="001B53A8">
        <w:rPr>
          <w:lang w:val="sr-Latn-BA"/>
        </w:rPr>
        <w:t>je</w:t>
      </w:r>
      <w:r w:rsidR="00E84A26" w:rsidRPr="001B53A8">
        <w:rPr>
          <w:lang w:val="sr-Latn-BA"/>
        </w:rPr>
        <w:t xml:space="preserve"> </w:t>
      </w:r>
      <w:r w:rsidRPr="001B53A8">
        <w:rPr>
          <w:lang w:val="sr-Latn-BA"/>
        </w:rPr>
        <w:t>u</w:t>
      </w:r>
      <w:r w:rsidR="00E84A26" w:rsidRPr="001B53A8">
        <w:rPr>
          <w:lang w:val="sr-Latn-BA"/>
        </w:rPr>
        <w:t xml:space="preserve"> </w:t>
      </w:r>
      <w:r w:rsidRPr="001B53A8">
        <w:rPr>
          <w:lang w:val="sr-Latn-BA"/>
        </w:rPr>
        <w:t>toku</w:t>
      </w:r>
      <w:r w:rsidR="00E84A26" w:rsidRPr="001B53A8">
        <w:rPr>
          <w:lang w:val="sr-Latn-BA"/>
        </w:rPr>
        <w:t xml:space="preserve"> </w:t>
      </w:r>
      <w:r w:rsidR="002C66E2" w:rsidRPr="001B53A8">
        <w:rPr>
          <w:lang w:val="sr-Latn-BA"/>
        </w:rPr>
        <w:t xml:space="preserve">2023. </w:t>
      </w:r>
      <w:r w:rsidRPr="001B53A8">
        <w:rPr>
          <w:lang w:val="sr-Latn-BA"/>
        </w:rPr>
        <w:t>godine</w:t>
      </w:r>
      <w:r w:rsidR="002C66E2" w:rsidRPr="001B53A8">
        <w:rPr>
          <w:lang w:val="sr-Latn-BA"/>
        </w:rPr>
        <w:t xml:space="preserve"> </w:t>
      </w:r>
      <w:r w:rsidRPr="001B53A8">
        <w:rPr>
          <w:lang w:val="sr-Latn-BA"/>
        </w:rPr>
        <w:t>usvojila</w:t>
      </w:r>
      <w:r w:rsidR="002C66E2" w:rsidRPr="001B53A8">
        <w:rPr>
          <w:lang w:val="sr-Latn-BA"/>
        </w:rPr>
        <w:t xml:space="preserve"> </w:t>
      </w:r>
      <w:r w:rsidRPr="001B53A8">
        <w:rPr>
          <w:lang w:val="sr-Latn-BA"/>
        </w:rPr>
        <w:t>i</w:t>
      </w:r>
      <w:r w:rsidR="002C66E2" w:rsidRPr="001B53A8">
        <w:rPr>
          <w:lang w:val="sr-Latn-BA"/>
        </w:rPr>
        <w:t xml:space="preserve"> </w:t>
      </w:r>
      <w:r w:rsidRPr="001B53A8">
        <w:rPr>
          <w:lang w:val="sr-Latn-BA"/>
        </w:rPr>
        <w:t>tri</w:t>
      </w:r>
      <w:r w:rsidR="002C66E2" w:rsidRPr="001B53A8">
        <w:rPr>
          <w:lang w:val="sr-Latn-BA"/>
        </w:rPr>
        <w:t xml:space="preserve"> </w:t>
      </w:r>
      <w:r w:rsidRPr="001B53A8">
        <w:rPr>
          <w:lang w:val="sr-Latn-BA"/>
        </w:rPr>
        <w:t>odgovora</w:t>
      </w:r>
      <w:r w:rsidR="002C66E2" w:rsidRPr="001B53A8">
        <w:rPr>
          <w:lang w:val="sr-Latn-BA"/>
        </w:rPr>
        <w:t xml:space="preserve"> </w:t>
      </w:r>
      <w:r w:rsidRPr="001B53A8">
        <w:rPr>
          <w:lang w:val="sr-Latn-BA"/>
        </w:rPr>
        <w:t>na</w:t>
      </w:r>
      <w:r w:rsidR="002C66E2" w:rsidRPr="001B53A8">
        <w:rPr>
          <w:lang w:val="sr-Latn-BA"/>
        </w:rPr>
        <w:t xml:space="preserve"> </w:t>
      </w:r>
      <w:r w:rsidRPr="001B53A8">
        <w:rPr>
          <w:lang w:val="sr-Latn-BA"/>
        </w:rPr>
        <w:t>upit</w:t>
      </w:r>
      <w:r w:rsidR="002C66E2" w:rsidRPr="001B53A8">
        <w:rPr>
          <w:lang w:val="sr-Latn-BA"/>
        </w:rPr>
        <w:t xml:space="preserve"> </w:t>
      </w:r>
      <w:r w:rsidRPr="001B53A8">
        <w:rPr>
          <w:lang w:val="sr-Latn-BA"/>
        </w:rPr>
        <w:t>iz</w:t>
      </w:r>
      <w:r w:rsidR="002C66E2" w:rsidRPr="001B53A8">
        <w:rPr>
          <w:lang w:val="sr-Latn-BA"/>
        </w:rPr>
        <w:t xml:space="preserve"> </w:t>
      </w:r>
      <w:r w:rsidRPr="001B53A8">
        <w:rPr>
          <w:lang w:val="sr-Latn-BA"/>
        </w:rPr>
        <w:t>oblasti</w:t>
      </w:r>
      <w:r w:rsidR="002C66E2" w:rsidRPr="001B53A8">
        <w:rPr>
          <w:lang w:val="sr-Latn-BA"/>
        </w:rPr>
        <w:t xml:space="preserve"> </w:t>
      </w:r>
      <w:r w:rsidRPr="001B53A8">
        <w:rPr>
          <w:lang w:val="sr-Latn-BA"/>
        </w:rPr>
        <w:t>preuzimanja</w:t>
      </w:r>
      <w:r w:rsidR="002C66E2" w:rsidRPr="001B53A8">
        <w:rPr>
          <w:lang w:val="sr-Latn-BA"/>
        </w:rPr>
        <w:t xml:space="preserve"> </w:t>
      </w:r>
      <w:r w:rsidRPr="001B53A8">
        <w:rPr>
          <w:lang w:val="sr-Latn-BA"/>
        </w:rPr>
        <w:t>akcionarskih</w:t>
      </w:r>
      <w:r w:rsidR="002C66E2" w:rsidRPr="001B53A8">
        <w:rPr>
          <w:lang w:val="sr-Latn-BA"/>
        </w:rPr>
        <w:t xml:space="preserve"> </w:t>
      </w:r>
      <w:r w:rsidRPr="001B53A8">
        <w:rPr>
          <w:lang w:val="sr-Latn-BA"/>
        </w:rPr>
        <w:t>društava</w:t>
      </w:r>
      <w:r w:rsidR="002C66E2" w:rsidRPr="001B53A8">
        <w:rPr>
          <w:lang w:val="sr-Latn-BA"/>
        </w:rPr>
        <w:t xml:space="preserve">, </w:t>
      </w:r>
      <w:r w:rsidRPr="001B53A8">
        <w:rPr>
          <w:lang w:val="sr-Latn-BA"/>
        </w:rPr>
        <w:t>kao</w:t>
      </w:r>
      <w:r w:rsidR="002C66E2" w:rsidRPr="001B53A8">
        <w:rPr>
          <w:lang w:val="sr-Latn-BA"/>
        </w:rPr>
        <w:t xml:space="preserve"> </w:t>
      </w:r>
      <w:r w:rsidRPr="001B53A8">
        <w:rPr>
          <w:lang w:val="sr-Latn-BA"/>
        </w:rPr>
        <w:t>i</w:t>
      </w:r>
      <w:r w:rsidR="002C66E2" w:rsidRPr="001B53A8">
        <w:rPr>
          <w:lang w:val="sr-Latn-BA"/>
        </w:rPr>
        <w:t xml:space="preserve"> </w:t>
      </w:r>
      <w:r w:rsidRPr="001B53A8">
        <w:rPr>
          <w:lang w:val="sr-Latn-BA"/>
        </w:rPr>
        <w:t>jedan</w:t>
      </w:r>
      <w:r w:rsidR="002C66E2" w:rsidRPr="001B53A8">
        <w:rPr>
          <w:lang w:val="sr-Latn-BA"/>
        </w:rPr>
        <w:t xml:space="preserve"> </w:t>
      </w:r>
      <w:r w:rsidRPr="001B53A8">
        <w:rPr>
          <w:lang w:val="sr-Latn-BA"/>
        </w:rPr>
        <w:t>odgovor</w:t>
      </w:r>
      <w:r w:rsidR="002C66E2" w:rsidRPr="001B53A8">
        <w:rPr>
          <w:lang w:val="sr-Latn-BA"/>
        </w:rPr>
        <w:t xml:space="preserve"> </w:t>
      </w:r>
      <w:r w:rsidRPr="001B53A8">
        <w:rPr>
          <w:lang w:val="sr-Latn-BA"/>
        </w:rPr>
        <w:t>na</w:t>
      </w:r>
      <w:r w:rsidR="002C66E2" w:rsidRPr="001B53A8">
        <w:rPr>
          <w:lang w:val="sr-Latn-BA"/>
        </w:rPr>
        <w:t xml:space="preserve"> </w:t>
      </w:r>
      <w:r w:rsidRPr="001B53A8">
        <w:rPr>
          <w:lang w:val="sr-Latn-BA"/>
        </w:rPr>
        <w:t>tužbu</w:t>
      </w:r>
      <w:r w:rsidR="002C66E2" w:rsidRPr="001B53A8">
        <w:rPr>
          <w:lang w:val="sr-Latn-BA"/>
        </w:rPr>
        <w:t xml:space="preserve"> </w:t>
      </w:r>
      <w:r w:rsidRPr="001B53A8">
        <w:rPr>
          <w:lang w:val="sr-Latn-BA"/>
        </w:rPr>
        <w:t>u</w:t>
      </w:r>
      <w:r w:rsidR="002C66E2" w:rsidRPr="001B53A8">
        <w:rPr>
          <w:lang w:val="sr-Latn-BA"/>
        </w:rPr>
        <w:t xml:space="preserve"> </w:t>
      </w:r>
      <w:r w:rsidRPr="001B53A8">
        <w:rPr>
          <w:lang w:val="sr-Latn-BA"/>
        </w:rPr>
        <w:t>upravnom</w:t>
      </w:r>
      <w:r w:rsidR="002C66E2" w:rsidRPr="001B53A8">
        <w:rPr>
          <w:lang w:val="sr-Latn-BA"/>
        </w:rPr>
        <w:t xml:space="preserve"> </w:t>
      </w:r>
      <w:r w:rsidRPr="001B53A8">
        <w:rPr>
          <w:lang w:val="sr-Latn-BA"/>
        </w:rPr>
        <w:t>sporu</w:t>
      </w:r>
      <w:r w:rsidR="002C66E2" w:rsidRPr="001B53A8">
        <w:rPr>
          <w:lang w:val="sr-Latn-BA"/>
        </w:rPr>
        <w:t xml:space="preserve"> </w:t>
      </w:r>
      <w:r w:rsidRPr="001B53A8">
        <w:rPr>
          <w:lang w:val="sr-Latn-BA"/>
        </w:rPr>
        <w:t>protiv</w:t>
      </w:r>
      <w:r w:rsidR="002C66E2" w:rsidRPr="001B53A8">
        <w:rPr>
          <w:lang w:val="sr-Latn-BA"/>
        </w:rPr>
        <w:t xml:space="preserve"> </w:t>
      </w:r>
      <w:r w:rsidRPr="001B53A8">
        <w:rPr>
          <w:lang w:val="sr-Latn-BA"/>
        </w:rPr>
        <w:t>akta</w:t>
      </w:r>
      <w:r w:rsidR="002C66E2" w:rsidRPr="001B53A8">
        <w:rPr>
          <w:lang w:val="sr-Latn-BA"/>
        </w:rPr>
        <w:t xml:space="preserve"> </w:t>
      </w:r>
      <w:r w:rsidRPr="001B53A8">
        <w:rPr>
          <w:lang w:val="sr-Latn-BA"/>
        </w:rPr>
        <w:t>Komisije</w:t>
      </w:r>
      <w:r w:rsidR="002C66E2" w:rsidRPr="001B53A8">
        <w:rPr>
          <w:lang w:val="sr-Latn-BA"/>
        </w:rPr>
        <w:t xml:space="preserve"> </w:t>
      </w:r>
      <w:r w:rsidRPr="001B53A8">
        <w:rPr>
          <w:lang w:val="sr-Latn-BA"/>
        </w:rPr>
        <w:t>kojim</w:t>
      </w:r>
      <w:r w:rsidR="002C66E2" w:rsidRPr="001B53A8">
        <w:rPr>
          <w:lang w:val="sr-Latn-BA"/>
        </w:rPr>
        <w:t xml:space="preserve"> </w:t>
      </w:r>
      <w:r w:rsidRPr="001B53A8">
        <w:rPr>
          <w:lang w:val="sr-Latn-BA"/>
        </w:rPr>
        <w:t>je</w:t>
      </w:r>
      <w:r w:rsidR="002C66E2" w:rsidRPr="001B53A8">
        <w:rPr>
          <w:lang w:val="sr-Latn-BA"/>
        </w:rPr>
        <w:t xml:space="preserve"> </w:t>
      </w:r>
      <w:r w:rsidRPr="001B53A8">
        <w:rPr>
          <w:lang w:val="sr-Latn-BA"/>
        </w:rPr>
        <w:t>utvrđena</w:t>
      </w:r>
      <w:r w:rsidR="002C66E2" w:rsidRPr="001B53A8">
        <w:rPr>
          <w:lang w:val="sr-Latn-BA"/>
        </w:rPr>
        <w:t xml:space="preserve"> </w:t>
      </w:r>
      <w:r w:rsidRPr="001B53A8">
        <w:rPr>
          <w:lang w:val="sr-Latn-BA"/>
        </w:rPr>
        <w:t>obaveza</w:t>
      </w:r>
      <w:r w:rsidR="002C66E2" w:rsidRPr="001B53A8">
        <w:rPr>
          <w:lang w:val="sr-Latn-BA"/>
        </w:rPr>
        <w:t xml:space="preserve"> </w:t>
      </w:r>
      <w:r w:rsidRPr="001B53A8">
        <w:rPr>
          <w:lang w:val="sr-Latn-BA"/>
        </w:rPr>
        <w:t>objavlјivanja</w:t>
      </w:r>
      <w:r w:rsidR="002C66E2" w:rsidRPr="001B53A8">
        <w:rPr>
          <w:lang w:val="sr-Latn-BA"/>
        </w:rPr>
        <w:t xml:space="preserve"> </w:t>
      </w:r>
      <w:r w:rsidRPr="001B53A8">
        <w:rPr>
          <w:lang w:val="sr-Latn-BA"/>
        </w:rPr>
        <w:t>ponude</w:t>
      </w:r>
      <w:r w:rsidR="002C66E2" w:rsidRPr="001B53A8">
        <w:rPr>
          <w:lang w:val="sr-Latn-BA"/>
        </w:rPr>
        <w:t xml:space="preserve"> </w:t>
      </w:r>
      <w:r w:rsidRPr="001B53A8">
        <w:rPr>
          <w:lang w:val="sr-Latn-BA"/>
        </w:rPr>
        <w:t>za</w:t>
      </w:r>
      <w:r w:rsidR="002C66E2" w:rsidRPr="001B53A8">
        <w:rPr>
          <w:lang w:val="sr-Latn-BA"/>
        </w:rPr>
        <w:t xml:space="preserve"> </w:t>
      </w:r>
      <w:r w:rsidRPr="001B53A8">
        <w:rPr>
          <w:lang w:val="sr-Latn-BA"/>
        </w:rPr>
        <w:t>preuzimanje</w:t>
      </w:r>
      <w:r w:rsidR="00E84A26" w:rsidRPr="001B53A8">
        <w:rPr>
          <w:lang w:val="sr-Latn-BA"/>
        </w:rPr>
        <w:t>.</w:t>
      </w:r>
    </w:p>
    <w:p w14:paraId="649864E7" w14:textId="7F0F9118" w:rsidR="009628CE" w:rsidRPr="001B53A8" w:rsidRDefault="00003F34" w:rsidP="006B6E0C">
      <w:pPr>
        <w:pStyle w:val="Heading1"/>
        <w:shd w:val="clear" w:color="auto" w:fill="auto"/>
        <w:spacing w:before="360" w:line="240" w:lineRule="auto"/>
        <w:ind w:left="567" w:hanging="567"/>
        <w:rPr>
          <w:rFonts w:ascii="Times New Roman" w:hAnsi="Times New Roman"/>
          <w:caps w:val="0"/>
          <w:color w:val="002060"/>
          <w:lang w:val="sr-Latn-BA"/>
        </w:rPr>
      </w:pPr>
      <w:bookmarkStart w:id="57" w:name="_Toc167962113"/>
      <w:r w:rsidRPr="001B53A8">
        <w:rPr>
          <w:rFonts w:ascii="Times New Roman" w:hAnsi="Times New Roman"/>
          <w:caps w:val="0"/>
          <w:color w:val="002060"/>
          <w:lang w:val="sr-Latn-BA"/>
        </w:rPr>
        <w:t>PROMJENA</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OBLIKA</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AKCIONARSKOG</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DRUŠTVA</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I</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PROMJENA</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PRAVNE</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FORME</w:t>
      </w:r>
      <w:bookmarkEnd w:id="56"/>
      <w:bookmarkEnd w:id="57"/>
    </w:p>
    <w:p w14:paraId="6A21E04C" w14:textId="7DCA73C0" w:rsidR="004D5CC0" w:rsidRPr="001B53A8" w:rsidRDefault="00003F34" w:rsidP="004D5CC0">
      <w:pPr>
        <w:spacing w:after="0" w:line="240" w:lineRule="auto"/>
        <w:ind w:firstLine="567"/>
        <w:rPr>
          <w:lang w:val="sr-Latn-BA"/>
        </w:rPr>
      </w:pPr>
      <w:bookmarkStart w:id="58" w:name="OLE_LINK120"/>
      <w:bookmarkStart w:id="59" w:name="OLE_LINK121"/>
      <w:bookmarkStart w:id="60" w:name="OLE_LINK122"/>
      <w:r w:rsidRPr="001B53A8">
        <w:rPr>
          <w:lang w:val="sr-Latn-BA"/>
        </w:rPr>
        <w:t>Zakonom</w:t>
      </w:r>
      <w:r w:rsidR="004D5CC0" w:rsidRPr="001B53A8">
        <w:rPr>
          <w:lang w:val="sr-Latn-BA"/>
        </w:rPr>
        <w:t xml:space="preserve"> </w:t>
      </w:r>
      <w:r w:rsidRPr="001B53A8">
        <w:rPr>
          <w:lang w:val="sr-Latn-BA"/>
        </w:rPr>
        <w:t>o</w:t>
      </w:r>
      <w:r w:rsidR="004D5CC0" w:rsidRPr="001B53A8">
        <w:rPr>
          <w:lang w:val="sr-Latn-BA"/>
        </w:rPr>
        <w:t xml:space="preserve"> </w:t>
      </w:r>
      <w:r w:rsidRPr="001B53A8">
        <w:rPr>
          <w:lang w:val="sr-Latn-BA"/>
        </w:rPr>
        <w:t>privrednim</w:t>
      </w:r>
      <w:r w:rsidR="004D5CC0" w:rsidRPr="001B53A8">
        <w:rPr>
          <w:lang w:val="sr-Latn-BA"/>
        </w:rPr>
        <w:t xml:space="preserve"> </w:t>
      </w:r>
      <w:r w:rsidRPr="001B53A8">
        <w:rPr>
          <w:lang w:val="sr-Latn-BA"/>
        </w:rPr>
        <w:t>društvima</w:t>
      </w:r>
      <w:r w:rsidR="004D5CC0" w:rsidRPr="001B53A8">
        <w:rPr>
          <w:rStyle w:val="FootnoteReference"/>
          <w:lang w:val="sr-Latn-BA"/>
        </w:rPr>
        <w:footnoteReference w:id="9"/>
      </w:r>
      <w:r w:rsidR="004D5CC0" w:rsidRPr="001B53A8">
        <w:rPr>
          <w:lang w:val="sr-Latn-BA"/>
        </w:rPr>
        <w:t xml:space="preserve"> </w:t>
      </w:r>
      <w:r w:rsidRPr="001B53A8">
        <w:rPr>
          <w:lang w:val="sr-Latn-BA"/>
        </w:rPr>
        <w:t>uređena</w:t>
      </w:r>
      <w:r w:rsidR="004D5CC0" w:rsidRPr="001B53A8">
        <w:rPr>
          <w:lang w:val="sr-Latn-BA"/>
        </w:rPr>
        <w:t xml:space="preserve"> </w:t>
      </w:r>
      <w:r w:rsidRPr="001B53A8">
        <w:rPr>
          <w:lang w:val="sr-Latn-BA"/>
        </w:rPr>
        <w:t>je</w:t>
      </w:r>
      <w:r w:rsidR="004D5CC0" w:rsidRPr="001B53A8">
        <w:rPr>
          <w:lang w:val="sr-Latn-BA"/>
        </w:rPr>
        <w:t xml:space="preserve"> </w:t>
      </w:r>
      <w:r w:rsidRPr="001B53A8">
        <w:rPr>
          <w:lang w:val="sr-Latn-BA"/>
        </w:rPr>
        <w:t>mogućnost</w:t>
      </w:r>
      <w:r w:rsidR="004D5CC0" w:rsidRPr="001B53A8">
        <w:rPr>
          <w:lang w:val="sr-Latn-BA"/>
        </w:rPr>
        <w:t xml:space="preserve"> </w:t>
      </w:r>
      <w:r w:rsidRPr="001B53A8">
        <w:rPr>
          <w:lang w:val="sr-Latn-BA"/>
        </w:rPr>
        <w:t>promjene</w:t>
      </w:r>
      <w:r w:rsidR="004D5CC0" w:rsidRPr="001B53A8">
        <w:rPr>
          <w:lang w:val="sr-Latn-BA"/>
        </w:rPr>
        <w:t xml:space="preserve"> </w:t>
      </w:r>
      <w:r w:rsidRPr="001B53A8">
        <w:rPr>
          <w:lang w:val="sr-Latn-BA"/>
        </w:rPr>
        <w:t>oblika</w:t>
      </w:r>
      <w:r w:rsidR="004D5CC0" w:rsidRPr="001B53A8">
        <w:rPr>
          <w:lang w:val="sr-Latn-BA"/>
        </w:rPr>
        <w:t xml:space="preserve"> </w:t>
      </w:r>
      <w:r w:rsidRPr="001B53A8">
        <w:rPr>
          <w:lang w:val="sr-Latn-BA"/>
        </w:rPr>
        <w:t>akcionarskog</w:t>
      </w:r>
      <w:r w:rsidR="004D5CC0" w:rsidRPr="001B53A8">
        <w:rPr>
          <w:lang w:val="sr-Latn-BA"/>
        </w:rPr>
        <w:t xml:space="preserve"> </w:t>
      </w:r>
      <w:r w:rsidRPr="001B53A8">
        <w:rPr>
          <w:lang w:val="sr-Latn-BA"/>
        </w:rPr>
        <w:t>društva</w:t>
      </w:r>
      <w:r w:rsidR="004D5CC0" w:rsidRPr="001B53A8">
        <w:rPr>
          <w:lang w:val="sr-Latn-BA"/>
        </w:rPr>
        <w:t xml:space="preserve"> (</w:t>
      </w:r>
      <w:r w:rsidRPr="001B53A8">
        <w:rPr>
          <w:lang w:val="sr-Latn-BA"/>
        </w:rPr>
        <w:t>odredbom</w:t>
      </w:r>
      <w:r w:rsidR="004D5CC0" w:rsidRPr="001B53A8">
        <w:rPr>
          <w:lang w:val="sr-Latn-BA"/>
        </w:rPr>
        <w:t xml:space="preserve"> </w:t>
      </w:r>
      <w:r w:rsidRPr="001B53A8">
        <w:rPr>
          <w:lang w:val="sr-Latn-BA"/>
        </w:rPr>
        <w:t>člana</w:t>
      </w:r>
      <w:r w:rsidR="004D5CC0" w:rsidRPr="001B53A8">
        <w:rPr>
          <w:lang w:val="sr-Latn-BA"/>
        </w:rPr>
        <w:t xml:space="preserve"> 189. </w:t>
      </w:r>
      <w:r w:rsidRPr="001B53A8">
        <w:rPr>
          <w:lang w:val="sr-Latn-BA"/>
        </w:rPr>
        <w:t>i</w:t>
      </w:r>
      <w:r w:rsidR="004D5CC0" w:rsidRPr="001B53A8">
        <w:rPr>
          <w:lang w:val="sr-Latn-BA"/>
        </w:rPr>
        <w:t xml:space="preserve"> 191</w:t>
      </w:r>
      <w:r w:rsidRPr="001B53A8">
        <w:rPr>
          <w:lang w:val="sr-Latn-BA"/>
        </w:rPr>
        <w:t>a</w:t>
      </w:r>
      <w:r w:rsidR="004D5CC0" w:rsidRPr="001B53A8">
        <w:rPr>
          <w:lang w:val="sr-Latn-BA"/>
        </w:rPr>
        <w:t xml:space="preserve">), </w:t>
      </w:r>
      <w:r w:rsidRPr="001B53A8">
        <w:rPr>
          <w:lang w:val="sr-Latn-BA"/>
        </w:rPr>
        <w:t>kao</w:t>
      </w:r>
      <w:r w:rsidR="004D5CC0" w:rsidRPr="001B53A8">
        <w:rPr>
          <w:lang w:val="sr-Latn-BA"/>
        </w:rPr>
        <w:t xml:space="preserve"> </w:t>
      </w:r>
      <w:r w:rsidRPr="001B53A8">
        <w:rPr>
          <w:lang w:val="sr-Latn-BA"/>
        </w:rPr>
        <w:t>i</w:t>
      </w:r>
      <w:r w:rsidR="004D5CC0" w:rsidRPr="001B53A8">
        <w:rPr>
          <w:lang w:val="sr-Latn-BA"/>
        </w:rPr>
        <w:t xml:space="preserve"> </w:t>
      </w:r>
      <w:r w:rsidRPr="001B53A8">
        <w:rPr>
          <w:lang w:val="sr-Latn-BA"/>
        </w:rPr>
        <w:t>mogućnost</w:t>
      </w:r>
      <w:r w:rsidR="004D5CC0" w:rsidRPr="001B53A8">
        <w:rPr>
          <w:lang w:val="sr-Latn-BA"/>
        </w:rPr>
        <w:t xml:space="preserve"> </w:t>
      </w:r>
      <w:r w:rsidRPr="001B53A8">
        <w:rPr>
          <w:lang w:val="sr-Latn-BA"/>
        </w:rPr>
        <w:t>promjene</w:t>
      </w:r>
      <w:r w:rsidR="004D5CC0" w:rsidRPr="001B53A8">
        <w:rPr>
          <w:lang w:val="sr-Latn-BA"/>
        </w:rPr>
        <w:t xml:space="preserve"> </w:t>
      </w:r>
      <w:r w:rsidRPr="001B53A8">
        <w:rPr>
          <w:lang w:val="sr-Latn-BA"/>
        </w:rPr>
        <w:t>pravne</w:t>
      </w:r>
      <w:r w:rsidR="004D5CC0" w:rsidRPr="001B53A8">
        <w:rPr>
          <w:lang w:val="sr-Latn-BA"/>
        </w:rPr>
        <w:t xml:space="preserve"> </w:t>
      </w:r>
      <w:r w:rsidRPr="001B53A8">
        <w:rPr>
          <w:lang w:val="sr-Latn-BA"/>
        </w:rPr>
        <w:t>forme</w:t>
      </w:r>
      <w:r w:rsidR="004D5CC0" w:rsidRPr="001B53A8">
        <w:rPr>
          <w:lang w:val="sr-Latn-BA"/>
        </w:rPr>
        <w:t xml:space="preserve"> </w:t>
      </w:r>
      <w:r w:rsidRPr="001B53A8">
        <w:rPr>
          <w:lang w:val="sr-Latn-BA"/>
        </w:rPr>
        <w:t>akcionarskog</w:t>
      </w:r>
      <w:r w:rsidR="004D5CC0" w:rsidRPr="001B53A8">
        <w:rPr>
          <w:lang w:val="sr-Latn-BA"/>
        </w:rPr>
        <w:t xml:space="preserve"> </w:t>
      </w:r>
      <w:r w:rsidRPr="001B53A8">
        <w:rPr>
          <w:lang w:val="sr-Latn-BA"/>
        </w:rPr>
        <w:t>društva</w:t>
      </w:r>
      <w:r w:rsidR="004D5CC0" w:rsidRPr="001B53A8">
        <w:rPr>
          <w:lang w:val="sr-Latn-BA"/>
        </w:rPr>
        <w:t xml:space="preserve"> (</w:t>
      </w:r>
      <w:r w:rsidRPr="001B53A8">
        <w:rPr>
          <w:lang w:val="sr-Latn-BA"/>
        </w:rPr>
        <w:t>odredbe</w:t>
      </w:r>
      <w:r w:rsidR="004D5CC0" w:rsidRPr="001B53A8">
        <w:rPr>
          <w:lang w:val="sr-Latn-BA"/>
        </w:rPr>
        <w:t xml:space="preserve"> </w:t>
      </w:r>
      <w:r w:rsidRPr="001B53A8">
        <w:rPr>
          <w:lang w:val="sr-Latn-BA"/>
        </w:rPr>
        <w:t>članova</w:t>
      </w:r>
      <w:r w:rsidR="004D5CC0" w:rsidRPr="001B53A8">
        <w:rPr>
          <w:lang w:val="sr-Latn-BA"/>
        </w:rPr>
        <w:t xml:space="preserve"> 421. – 425.). </w:t>
      </w:r>
      <w:r w:rsidRPr="001B53A8">
        <w:rPr>
          <w:lang w:val="sr-Latn-BA"/>
        </w:rPr>
        <w:t>Na</w:t>
      </w:r>
      <w:r w:rsidR="00BF6D48" w:rsidRPr="001B53A8">
        <w:rPr>
          <w:lang w:val="sr-Latn-BA"/>
        </w:rPr>
        <w:t xml:space="preserve"> </w:t>
      </w:r>
      <w:r w:rsidRPr="001B53A8">
        <w:rPr>
          <w:lang w:val="sr-Latn-BA"/>
        </w:rPr>
        <w:t>osnovu</w:t>
      </w:r>
      <w:r w:rsidR="00BF6D48" w:rsidRPr="001B53A8">
        <w:rPr>
          <w:lang w:val="sr-Latn-BA"/>
        </w:rPr>
        <w:t xml:space="preserve"> </w:t>
      </w:r>
      <w:r w:rsidRPr="001B53A8">
        <w:rPr>
          <w:lang w:val="sr-Latn-BA"/>
        </w:rPr>
        <w:t>ovlašćenja</w:t>
      </w:r>
      <w:r w:rsidR="00BF6D48" w:rsidRPr="001B53A8">
        <w:rPr>
          <w:lang w:val="sr-Latn-BA"/>
        </w:rPr>
        <w:t xml:space="preserve"> </w:t>
      </w:r>
      <w:r w:rsidRPr="001B53A8">
        <w:rPr>
          <w:lang w:val="sr-Latn-BA"/>
        </w:rPr>
        <w:t>iz</w:t>
      </w:r>
      <w:r w:rsidR="00BF6D48" w:rsidRPr="001B53A8">
        <w:rPr>
          <w:lang w:val="sr-Latn-BA"/>
        </w:rPr>
        <w:t xml:space="preserve"> </w:t>
      </w:r>
      <w:r w:rsidRPr="001B53A8">
        <w:rPr>
          <w:lang w:val="sr-Latn-BA"/>
        </w:rPr>
        <w:t>člana</w:t>
      </w:r>
      <w:r w:rsidR="00BF6D48" w:rsidRPr="001B53A8">
        <w:rPr>
          <w:lang w:val="sr-Latn-BA"/>
        </w:rPr>
        <w:t xml:space="preserve"> 191</w:t>
      </w:r>
      <w:r w:rsidRPr="001B53A8">
        <w:rPr>
          <w:lang w:val="sr-Latn-BA"/>
        </w:rPr>
        <w:t>a</w:t>
      </w:r>
      <w:r w:rsidR="00BF6D48" w:rsidRPr="001B53A8">
        <w:rPr>
          <w:lang w:val="sr-Latn-BA"/>
        </w:rPr>
        <w:t xml:space="preserve">. </w:t>
      </w:r>
      <w:r w:rsidRPr="001B53A8">
        <w:rPr>
          <w:lang w:val="sr-Latn-BA"/>
        </w:rPr>
        <w:t>stav</w:t>
      </w:r>
      <w:r w:rsidR="00BF6D48" w:rsidRPr="001B53A8">
        <w:rPr>
          <w:lang w:val="sr-Latn-BA"/>
        </w:rPr>
        <w:t xml:space="preserve"> 4. </w:t>
      </w:r>
      <w:r w:rsidRPr="001B53A8">
        <w:rPr>
          <w:lang w:val="sr-Latn-BA"/>
        </w:rPr>
        <w:t>i</w:t>
      </w:r>
      <w:r w:rsidR="00BF6D48" w:rsidRPr="001B53A8">
        <w:rPr>
          <w:lang w:val="sr-Latn-BA"/>
        </w:rPr>
        <w:t xml:space="preserve"> </w:t>
      </w:r>
      <w:r w:rsidRPr="001B53A8">
        <w:rPr>
          <w:lang w:val="sr-Latn-BA"/>
        </w:rPr>
        <w:t>člana</w:t>
      </w:r>
      <w:r w:rsidR="00BF6D48" w:rsidRPr="001B53A8">
        <w:rPr>
          <w:lang w:val="sr-Latn-BA"/>
        </w:rPr>
        <w:t xml:space="preserve"> 421. </w:t>
      </w:r>
      <w:r w:rsidRPr="001B53A8">
        <w:rPr>
          <w:lang w:val="sr-Latn-BA"/>
        </w:rPr>
        <w:t>stav</w:t>
      </w:r>
      <w:r w:rsidR="00BF6D48" w:rsidRPr="001B53A8">
        <w:rPr>
          <w:lang w:val="sr-Latn-BA"/>
        </w:rPr>
        <w:t xml:space="preserve"> 5. </w:t>
      </w:r>
      <w:r w:rsidRPr="001B53A8">
        <w:rPr>
          <w:lang w:val="sr-Latn-BA"/>
        </w:rPr>
        <w:t>tog</w:t>
      </w:r>
      <w:r w:rsidR="00BF6D48" w:rsidRPr="001B53A8">
        <w:rPr>
          <w:lang w:val="sr-Latn-BA"/>
        </w:rPr>
        <w:t xml:space="preserve"> </w:t>
      </w:r>
      <w:r w:rsidRPr="001B53A8">
        <w:rPr>
          <w:lang w:val="sr-Latn-BA"/>
        </w:rPr>
        <w:t>zakona</w:t>
      </w:r>
      <w:r w:rsidR="00BF6D48" w:rsidRPr="001B53A8">
        <w:rPr>
          <w:lang w:val="sr-Latn-BA"/>
        </w:rPr>
        <w:t xml:space="preserve">, </w:t>
      </w:r>
      <w:r w:rsidRPr="001B53A8">
        <w:rPr>
          <w:lang w:val="sr-Latn-BA"/>
        </w:rPr>
        <w:t>Komisija</w:t>
      </w:r>
      <w:r w:rsidR="00BF6D48" w:rsidRPr="001B53A8">
        <w:rPr>
          <w:lang w:val="sr-Latn-BA"/>
        </w:rPr>
        <w:t xml:space="preserve"> </w:t>
      </w:r>
      <w:r w:rsidRPr="001B53A8">
        <w:rPr>
          <w:lang w:val="sr-Latn-BA"/>
        </w:rPr>
        <w:t>je</w:t>
      </w:r>
      <w:r w:rsidR="00BF6D48" w:rsidRPr="001B53A8">
        <w:rPr>
          <w:lang w:val="sr-Latn-BA"/>
        </w:rPr>
        <w:t xml:space="preserve"> </w:t>
      </w:r>
      <w:r w:rsidRPr="001B53A8">
        <w:rPr>
          <w:lang w:val="sr-Latn-BA"/>
        </w:rPr>
        <w:t>dodatno</w:t>
      </w:r>
      <w:r w:rsidR="00BF6D48" w:rsidRPr="001B53A8">
        <w:rPr>
          <w:lang w:val="sr-Latn-BA"/>
        </w:rPr>
        <w:t xml:space="preserve"> </w:t>
      </w:r>
      <w:r w:rsidRPr="001B53A8">
        <w:rPr>
          <w:lang w:val="sr-Latn-BA"/>
        </w:rPr>
        <w:t>uredila</w:t>
      </w:r>
      <w:r w:rsidR="00BF6D48" w:rsidRPr="001B53A8">
        <w:rPr>
          <w:lang w:val="sr-Latn-BA"/>
        </w:rPr>
        <w:t xml:space="preserve"> </w:t>
      </w:r>
      <w:r w:rsidRPr="001B53A8">
        <w:rPr>
          <w:lang w:val="sr-Latn-BA"/>
        </w:rPr>
        <w:t>ovu</w:t>
      </w:r>
      <w:r w:rsidR="00BF6D48" w:rsidRPr="001B53A8">
        <w:rPr>
          <w:lang w:val="sr-Latn-BA"/>
        </w:rPr>
        <w:t xml:space="preserve"> </w:t>
      </w:r>
      <w:r w:rsidRPr="001B53A8">
        <w:rPr>
          <w:lang w:val="sr-Latn-BA"/>
        </w:rPr>
        <w:t>oblast</w:t>
      </w:r>
      <w:r w:rsidR="00BF6D48" w:rsidRPr="001B53A8">
        <w:rPr>
          <w:lang w:val="sr-Latn-BA"/>
        </w:rPr>
        <w:t xml:space="preserve"> </w:t>
      </w:r>
      <w:r w:rsidRPr="001B53A8">
        <w:rPr>
          <w:lang w:val="sr-Latn-BA"/>
        </w:rPr>
        <w:t>donošenjem</w:t>
      </w:r>
      <w:r w:rsidR="00BF6D48" w:rsidRPr="001B53A8">
        <w:rPr>
          <w:lang w:val="sr-Latn-BA"/>
        </w:rPr>
        <w:t xml:space="preserve"> </w:t>
      </w:r>
      <w:r w:rsidRPr="001B53A8">
        <w:rPr>
          <w:lang w:val="sr-Latn-BA"/>
        </w:rPr>
        <w:t>Pravilnika</w:t>
      </w:r>
      <w:r w:rsidR="00BF6D48" w:rsidRPr="001B53A8">
        <w:rPr>
          <w:lang w:val="sr-Latn-BA"/>
        </w:rPr>
        <w:t xml:space="preserve"> </w:t>
      </w:r>
      <w:r w:rsidRPr="001B53A8">
        <w:rPr>
          <w:lang w:val="sr-Latn-BA"/>
        </w:rPr>
        <w:t>o</w:t>
      </w:r>
      <w:r w:rsidR="00BF6D48" w:rsidRPr="001B53A8">
        <w:rPr>
          <w:lang w:val="sr-Latn-BA"/>
        </w:rPr>
        <w:t xml:space="preserve"> </w:t>
      </w:r>
      <w:r w:rsidRPr="001B53A8">
        <w:rPr>
          <w:lang w:val="sr-Latn-BA"/>
        </w:rPr>
        <w:t>uslovima</w:t>
      </w:r>
      <w:r w:rsidR="00BF6D48" w:rsidRPr="001B53A8">
        <w:rPr>
          <w:lang w:val="sr-Latn-BA"/>
        </w:rPr>
        <w:t xml:space="preserve"> </w:t>
      </w:r>
      <w:r w:rsidRPr="001B53A8">
        <w:rPr>
          <w:lang w:val="sr-Latn-BA"/>
        </w:rPr>
        <w:t>i</w:t>
      </w:r>
      <w:r w:rsidR="00BF6D48" w:rsidRPr="001B53A8">
        <w:rPr>
          <w:lang w:val="sr-Latn-BA"/>
        </w:rPr>
        <w:t xml:space="preserve"> </w:t>
      </w:r>
      <w:r w:rsidRPr="001B53A8">
        <w:rPr>
          <w:lang w:val="sr-Latn-BA"/>
        </w:rPr>
        <w:t>postupku</w:t>
      </w:r>
      <w:r w:rsidR="00BF6D48" w:rsidRPr="001B53A8">
        <w:rPr>
          <w:lang w:val="sr-Latn-BA"/>
        </w:rPr>
        <w:t xml:space="preserve"> </w:t>
      </w:r>
      <w:r w:rsidRPr="001B53A8">
        <w:rPr>
          <w:lang w:val="sr-Latn-BA"/>
        </w:rPr>
        <w:t>pretvaranja</w:t>
      </w:r>
      <w:r w:rsidR="00BF6D48" w:rsidRPr="001B53A8">
        <w:rPr>
          <w:lang w:val="sr-Latn-BA"/>
        </w:rPr>
        <w:t xml:space="preserve"> </w:t>
      </w:r>
      <w:r w:rsidRPr="001B53A8">
        <w:rPr>
          <w:lang w:val="sr-Latn-BA"/>
        </w:rPr>
        <w:t>zatvorenog</w:t>
      </w:r>
      <w:r w:rsidR="00BF6D48" w:rsidRPr="001B53A8">
        <w:rPr>
          <w:lang w:val="sr-Latn-BA"/>
        </w:rPr>
        <w:t xml:space="preserve"> </w:t>
      </w:r>
      <w:r w:rsidRPr="001B53A8">
        <w:rPr>
          <w:lang w:val="sr-Latn-BA"/>
        </w:rPr>
        <w:t>akcionarskog</w:t>
      </w:r>
      <w:r w:rsidR="00BF6D48" w:rsidRPr="001B53A8">
        <w:rPr>
          <w:lang w:val="sr-Latn-BA"/>
        </w:rPr>
        <w:t xml:space="preserve"> </w:t>
      </w:r>
      <w:r w:rsidRPr="001B53A8">
        <w:rPr>
          <w:lang w:val="sr-Latn-BA"/>
        </w:rPr>
        <w:t>društva</w:t>
      </w:r>
      <w:r w:rsidR="00BF6D48" w:rsidRPr="001B53A8">
        <w:rPr>
          <w:lang w:val="sr-Latn-BA"/>
        </w:rPr>
        <w:t xml:space="preserve"> </w:t>
      </w:r>
      <w:r w:rsidRPr="001B53A8">
        <w:rPr>
          <w:lang w:val="sr-Latn-BA"/>
        </w:rPr>
        <w:t>u</w:t>
      </w:r>
      <w:r w:rsidR="00BF6D48" w:rsidRPr="001B53A8">
        <w:rPr>
          <w:lang w:val="sr-Latn-BA"/>
        </w:rPr>
        <w:t xml:space="preserve"> </w:t>
      </w:r>
      <w:r w:rsidRPr="001B53A8">
        <w:rPr>
          <w:lang w:val="sr-Latn-BA"/>
        </w:rPr>
        <w:t>otvoreno</w:t>
      </w:r>
      <w:r w:rsidR="00BF6D48" w:rsidRPr="001B53A8">
        <w:rPr>
          <w:lang w:val="sr-Latn-BA"/>
        </w:rPr>
        <w:t xml:space="preserve">, </w:t>
      </w:r>
      <w:r w:rsidRPr="001B53A8">
        <w:rPr>
          <w:lang w:val="sr-Latn-BA"/>
        </w:rPr>
        <w:t>odnosno</w:t>
      </w:r>
      <w:r w:rsidR="00BF6D48" w:rsidRPr="001B53A8">
        <w:rPr>
          <w:lang w:val="sr-Latn-BA"/>
        </w:rPr>
        <w:t xml:space="preserve"> </w:t>
      </w:r>
      <w:r w:rsidRPr="001B53A8">
        <w:rPr>
          <w:lang w:val="sr-Latn-BA"/>
        </w:rPr>
        <w:t>otvorenog</w:t>
      </w:r>
      <w:r w:rsidR="00BF6D48" w:rsidRPr="001B53A8">
        <w:rPr>
          <w:lang w:val="sr-Latn-BA"/>
        </w:rPr>
        <w:t xml:space="preserve"> </w:t>
      </w:r>
      <w:r w:rsidRPr="001B53A8">
        <w:rPr>
          <w:lang w:val="sr-Latn-BA"/>
        </w:rPr>
        <w:t>akcionarskog</w:t>
      </w:r>
      <w:r w:rsidR="00BF6D48" w:rsidRPr="001B53A8">
        <w:rPr>
          <w:lang w:val="sr-Latn-BA"/>
        </w:rPr>
        <w:t xml:space="preserve"> </w:t>
      </w:r>
      <w:r w:rsidRPr="001B53A8">
        <w:rPr>
          <w:lang w:val="sr-Latn-BA"/>
        </w:rPr>
        <w:t>društva</w:t>
      </w:r>
      <w:r w:rsidR="00BF6D48" w:rsidRPr="001B53A8">
        <w:rPr>
          <w:lang w:val="sr-Latn-BA"/>
        </w:rPr>
        <w:t xml:space="preserve"> </w:t>
      </w:r>
      <w:r w:rsidRPr="001B53A8">
        <w:rPr>
          <w:lang w:val="sr-Latn-BA"/>
        </w:rPr>
        <w:t>u</w:t>
      </w:r>
      <w:r w:rsidR="00BF6D48" w:rsidRPr="001B53A8">
        <w:rPr>
          <w:lang w:val="sr-Latn-BA"/>
        </w:rPr>
        <w:t xml:space="preserve"> </w:t>
      </w:r>
      <w:r w:rsidRPr="001B53A8">
        <w:rPr>
          <w:lang w:val="sr-Latn-BA"/>
        </w:rPr>
        <w:t>zatvoreno</w:t>
      </w:r>
      <w:r w:rsidR="00BF6D48" w:rsidRPr="001B53A8">
        <w:rPr>
          <w:lang w:val="sr-Latn-BA"/>
        </w:rPr>
        <w:t xml:space="preserve"> </w:t>
      </w:r>
      <w:r w:rsidRPr="001B53A8">
        <w:rPr>
          <w:lang w:val="sr-Latn-BA"/>
        </w:rPr>
        <w:t>i</w:t>
      </w:r>
      <w:r w:rsidR="00BF6D48" w:rsidRPr="001B53A8">
        <w:rPr>
          <w:lang w:val="sr-Latn-BA"/>
        </w:rPr>
        <w:t xml:space="preserve"> </w:t>
      </w:r>
      <w:r w:rsidRPr="001B53A8">
        <w:rPr>
          <w:lang w:val="sr-Latn-BA"/>
        </w:rPr>
        <w:t>promjeni</w:t>
      </w:r>
      <w:r w:rsidR="00BF6D48" w:rsidRPr="001B53A8">
        <w:rPr>
          <w:lang w:val="sr-Latn-BA"/>
        </w:rPr>
        <w:t xml:space="preserve"> </w:t>
      </w:r>
      <w:r w:rsidRPr="001B53A8">
        <w:rPr>
          <w:lang w:val="sr-Latn-BA"/>
        </w:rPr>
        <w:t>pravne</w:t>
      </w:r>
      <w:r w:rsidR="00BF6D48" w:rsidRPr="001B53A8">
        <w:rPr>
          <w:lang w:val="sr-Latn-BA"/>
        </w:rPr>
        <w:t xml:space="preserve"> </w:t>
      </w:r>
      <w:r w:rsidRPr="001B53A8">
        <w:rPr>
          <w:lang w:val="sr-Latn-BA"/>
        </w:rPr>
        <w:t>forme</w:t>
      </w:r>
      <w:r w:rsidR="00BF6D48" w:rsidRPr="001B53A8">
        <w:rPr>
          <w:lang w:val="sr-Latn-BA"/>
        </w:rPr>
        <w:t xml:space="preserve"> </w:t>
      </w:r>
      <w:r w:rsidRPr="001B53A8">
        <w:rPr>
          <w:lang w:val="sr-Latn-BA"/>
        </w:rPr>
        <w:t>akcionarskog</w:t>
      </w:r>
      <w:r w:rsidR="00BF6D48" w:rsidRPr="001B53A8">
        <w:rPr>
          <w:lang w:val="sr-Latn-BA"/>
        </w:rPr>
        <w:t xml:space="preserve"> </w:t>
      </w:r>
      <w:r w:rsidRPr="001B53A8">
        <w:rPr>
          <w:lang w:val="sr-Latn-BA"/>
        </w:rPr>
        <w:t>društva</w:t>
      </w:r>
      <w:r w:rsidR="004D5CC0" w:rsidRPr="001B53A8">
        <w:rPr>
          <w:rStyle w:val="FootnoteReference"/>
          <w:lang w:val="sr-Latn-BA"/>
        </w:rPr>
        <w:footnoteReference w:id="10"/>
      </w:r>
      <w:r w:rsidR="004D5CC0" w:rsidRPr="001B53A8">
        <w:rPr>
          <w:lang w:val="sr-Latn-BA"/>
        </w:rPr>
        <w:t>.</w:t>
      </w:r>
    </w:p>
    <w:p w14:paraId="30A6B953" w14:textId="0002236D" w:rsidR="004D5CC0" w:rsidRPr="001B53A8" w:rsidRDefault="00003F34" w:rsidP="004D5CC0">
      <w:pPr>
        <w:spacing w:after="0" w:line="240" w:lineRule="auto"/>
        <w:ind w:firstLine="567"/>
        <w:rPr>
          <w:lang w:val="sr-Latn-BA"/>
        </w:rPr>
      </w:pPr>
      <w:r w:rsidRPr="001B53A8">
        <w:rPr>
          <w:lang w:val="sr-Latn-BA"/>
        </w:rPr>
        <w:t>U</w:t>
      </w:r>
      <w:r w:rsidR="004D5CC0" w:rsidRPr="001B53A8">
        <w:rPr>
          <w:lang w:val="sr-Latn-BA"/>
        </w:rPr>
        <w:t xml:space="preserve"> 202</w:t>
      </w:r>
      <w:r w:rsidR="00BF6D48" w:rsidRPr="001B53A8">
        <w:rPr>
          <w:lang w:val="sr-Latn-BA"/>
        </w:rPr>
        <w:t>3</w:t>
      </w:r>
      <w:r w:rsidR="004D5CC0" w:rsidRPr="001B53A8">
        <w:rPr>
          <w:lang w:val="sr-Latn-BA"/>
        </w:rPr>
        <w:t xml:space="preserve">. </w:t>
      </w:r>
      <w:r w:rsidRPr="001B53A8">
        <w:rPr>
          <w:lang w:val="sr-Latn-BA"/>
        </w:rPr>
        <w:t>godini</w:t>
      </w:r>
      <w:r w:rsidR="004D5CC0" w:rsidRPr="001B53A8">
        <w:rPr>
          <w:lang w:val="sr-Latn-BA"/>
        </w:rPr>
        <w:t xml:space="preserve"> </w:t>
      </w:r>
      <w:r w:rsidRPr="001B53A8">
        <w:rPr>
          <w:lang w:val="sr-Latn-BA"/>
        </w:rPr>
        <w:t>Komisija</w:t>
      </w:r>
      <w:r w:rsidR="00BF6D48" w:rsidRPr="001B53A8">
        <w:rPr>
          <w:lang w:val="sr-Latn-BA"/>
        </w:rPr>
        <w:t xml:space="preserve"> </w:t>
      </w:r>
      <w:r w:rsidRPr="001B53A8">
        <w:rPr>
          <w:lang w:val="sr-Latn-BA"/>
        </w:rPr>
        <w:t>je</w:t>
      </w:r>
      <w:r w:rsidR="00BF6D48" w:rsidRPr="001B53A8">
        <w:rPr>
          <w:lang w:val="sr-Latn-BA"/>
        </w:rPr>
        <w:t xml:space="preserve"> </w:t>
      </w:r>
      <w:r w:rsidRPr="001B53A8">
        <w:rPr>
          <w:lang w:val="sr-Latn-BA"/>
        </w:rPr>
        <w:t>upisala</w:t>
      </w:r>
      <w:r w:rsidR="00BF6D48" w:rsidRPr="001B53A8">
        <w:rPr>
          <w:lang w:val="sr-Latn-BA"/>
        </w:rPr>
        <w:t xml:space="preserve"> </w:t>
      </w:r>
      <w:r w:rsidRPr="001B53A8">
        <w:rPr>
          <w:lang w:val="sr-Latn-BA"/>
        </w:rPr>
        <w:t>pet</w:t>
      </w:r>
      <w:r w:rsidR="00BF6D48" w:rsidRPr="001B53A8">
        <w:rPr>
          <w:lang w:val="sr-Latn-BA"/>
        </w:rPr>
        <w:t xml:space="preserve"> </w:t>
      </w:r>
      <w:r w:rsidRPr="001B53A8">
        <w:rPr>
          <w:lang w:val="sr-Latn-BA"/>
        </w:rPr>
        <w:t>promjena</w:t>
      </w:r>
      <w:r w:rsidR="00BF6D48" w:rsidRPr="001B53A8">
        <w:rPr>
          <w:lang w:val="sr-Latn-BA"/>
        </w:rPr>
        <w:t xml:space="preserve"> </w:t>
      </w:r>
      <w:r w:rsidRPr="001B53A8">
        <w:rPr>
          <w:lang w:val="sr-Latn-BA"/>
        </w:rPr>
        <w:t>pravne</w:t>
      </w:r>
      <w:r w:rsidR="00BF6D48" w:rsidRPr="001B53A8">
        <w:rPr>
          <w:lang w:val="sr-Latn-BA"/>
        </w:rPr>
        <w:t xml:space="preserve"> </w:t>
      </w:r>
      <w:r w:rsidRPr="001B53A8">
        <w:rPr>
          <w:lang w:val="sr-Latn-BA"/>
        </w:rPr>
        <w:t>forme</w:t>
      </w:r>
      <w:r w:rsidR="00BF6D48" w:rsidRPr="001B53A8">
        <w:rPr>
          <w:lang w:val="sr-Latn-BA"/>
        </w:rPr>
        <w:t xml:space="preserve"> </w:t>
      </w:r>
      <w:r w:rsidRPr="001B53A8">
        <w:rPr>
          <w:lang w:val="sr-Latn-BA"/>
        </w:rPr>
        <w:t>akcionarskog</w:t>
      </w:r>
      <w:r w:rsidR="00BF6D48" w:rsidRPr="001B53A8">
        <w:rPr>
          <w:lang w:val="sr-Latn-BA"/>
        </w:rPr>
        <w:t xml:space="preserve"> </w:t>
      </w:r>
      <w:r w:rsidRPr="001B53A8">
        <w:rPr>
          <w:lang w:val="sr-Latn-BA"/>
        </w:rPr>
        <w:t>društva</w:t>
      </w:r>
      <w:r w:rsidR="00BF6D48" w:rsidRPr="001B53A8">
        <w:rPr>
          <w:lang w:val="sr-Latn-BA"/>
        </w:rPr>
        <w:t xml:space="preserve"> </w:t>
      </w:r>
      <w:r w:rsidRPr="001B53A8">
        <w:rPr>
          <w:lang w:val="sr-Latn-BA"/>
        </w:rPr>
        <w:t>u</w:t>
      </w:r>
      <w:r w:rsidR="00BF6D48" w:rsidRPr="001B53A8">
        <w:rPr>
          <w:lang w:val="sr-Latn-BA"/>
        </w:rPr>
        <w:t xml:space="preserve"> </w:t>
      </w:r>
      <w:r w:rsidRPr="001B53A8">
        <w:rPr>
          <w:lang w:val="sr-Latn-BA"/>
        </w:rPr>
        <w:t>društvo</w:t>
      </w:r>
      <w:r w:rsidR="00BF6D48" w:rsidRPr="001B53A8">
        <w:rPr>
          <w:lang w:val="sr-Latn-BA"/>
        </w:rPr>
        <w:t xml:space="preserve"> </w:t>
      </w:r>
      <w:r w:rsidRPr="001B53A8">
        <w:rPr>
          <w:lang w:val="sr-Latn-BA"/>
        </w:rPr>
        <w:t>sa</w:t>
      </w:r>
      <w:r w:rsidR="00BF6D48" w:rsidRPr="001B53A8">
        <w:rPr>
          <w:lang w:val="sr-Latn-BA"/>
        </w:rPr>
        <w:t xml:space="preserve"> </w:t>
      </w:r>
      <w:r w:rsidRPr="001B53A8">
        <w:rPr>
          <w:lang w:val="sr-Latn-BA"/>
        </w:rPr>
        <w:t>ograničenom</w:t>
      </w:r>
      <w:r w:rsidR="00BF6D48" w:rsidRPr="001B53A8">
        <w:rPr>
          <w:lang w:val="sr-Latn-BA"/>
        </w:rPr>
        <w:t xml:space="preserve"> </w:t>
      </w:r>
      <w:r w:rsidRPr="001B53A8">
        <w:rPr>
          <w:lang w:val="sr-Latn-BA"/>
        </w:rPr>
        <w:t>odgovornošću</w:t>
      </w:r>
      <w:r w:rsidR="00BF6D48" w:rsidRPr="001B53A8">
        <w:rPr>
          <w:lang w:val="sr-Latn-BA"/>
        </w:rPr>
        <w:t xml:space="preserve"> </w:t>
      </w:r>
      <w:r w:rsidRPr="001B53A8">
        <w:rPr>
          <w:lang w:val="sr-Latn-BA"/>
        </w:rPr>
        <w:t>i</w:t>
      </w:r>
      <w:r w:rsidR="00BF6D48" w:rsidRPr="001B53A8">
        <w:rPr>
          <w:lang w:val="sr-Latn-BA"/>
        </w:rPr>
        <w:t xml:space="preserve"> </w:t>
      </w:r>
      <w:r w:rsidRPr="001B53A8">
        <w:rPr>
          <w:lang w:val="sr-Latn-BA"/>
        </w:rPr>
        <w:t>dvije</w:t>
      </w:r>
      <w:r w:rsidR="00BF6D48" w:rsidRPr="001B53A8">
        <w:rPr>
          <w:lang w:val="sr-Latn-BA"/>
        </w:rPr>
        <w:t xml:space="preserve"> </w:t>
      </w:r>
      <w:r w:rsidRPr="001B53A8">
        <w:rPr>
          <w:lang w:val="sr-Latn-BA"/>
        </w:rPr>
        <w:t>promjene</w:t>
      </w:r>
      <w:r w:rsidR="00BF6D48" w:rsidRPr="001B53A8">
        <w:rPr>
          <w:lang w:val="sr-Latn-BA"/>
        </w:rPr>
        <w:t xml:space="preserve"> </w:t>
      </w:r>
      <w:r w:rsidRPr="001B53A8">
        <w:rPr>
          <w:lang w:val="sr-Latn-BA"/>
        </w:rPr>
        <w:t>oblika</w:t>
      </w:r>
      <w:r w:rsidR="00BF6D48" w:rsidRPr="001B53A8">
        <w:rPr>
          <w:lang w:val="sr-Latn-BA"/>
        </w:rPr>
        <w:t xml:space="preserve"> </w:t>
      </w:r>
      <w:r w:rsidRPr="001B53A8">
        <w:rPr>
          <w:lang w:val="sr-Latn-BA"/>
        </w:rPr>
        <w:t>akcionarskog</w:t>
      </w:r>
      <w:r w:rsidR="00BF6D48" w:rsidRPr="001B53A8">
        <w:rPr>
          <w:lang w:val="sr-Latn-BA"/>
        </w:rPr>
        <w:t xml:space="preserve"> </w:t>
      </w:r>
      <w:r w:rsidRPr="001B53A8">
        <w:rPr>
          <w:lang w:val="sr-Latn-BA"/>
        </w:rPr>
        <w:t>društva</w:t>
      </w:r>
      <w:r w:rsidR="00BF6D48" w:rsidRPr="001B53A8">
        <w:rPr>
          <w:lang w:val="sr-Latn-BA"/>
        </w:rPr>
        <w:t xml:space="preserve"> (</w:t>
      </w:r>
      <w:r w:rsidRPr="001B53A8">
        <w:rPr>
          <w:lang w:val="sr-Latn-BA"/>
        </w:rPr>
        <w:t>otvorenog</w:t>
      </w:r>
      <w:r w:rsidR="00BF6D48" w:rsidRPr="001B53A8">
        <w:rPr>
          <w:lang w:val="sr-Latn-BA"/>
        </w:rPr>
        <w:t xml:space="preserve"> </w:t>
      </w:r>
      <w:r w:rsidRPr="001B53A8">
        <w:rPr>
          <w:lang w:val="sr-Latn-BA"/>
        </w:rPr>
        <w:t>u</w:t>
      </w:r>
      <w:r w:rsidR="00BF6D48" w:rsidRPr="001B53A8">
        <w:rPr>
          <w:lang w:val="sr-Latn-BA"/>
        </w:rPr>
        <w:t xml:space="preserve"> </w:t>
      </w:r>
      <w:r w:rsidRPr="001B53A8">
        <w:rPr>
          <w:lang w:val="sr-Latn-BA"/>
        </w:rPr>
        <w:t>zatvoreno</w:t>
      </w:r>
      <w:r w:rsidR="00BF6D48" w:rsidRPr="001B53A8">
        <w:rPr>
          <w:lang w:val="sr-Latn-BA"/>
        </w:rPr>
        <w:t>)</w:t>
      </w:r>
      <w:r w:rsidR="004D5CC0" w:rsidRPr="001B53A8">
        <w:rPr>
          <w:lang w:val="sr-Latn-BA"/>
        </w:rPr>
        <w:t>.</w:t>
      </w:r>
    </w:p>
    <w:p w14:paraId="07207D59" w14:textId="1119839E" w:rsidR="004D5CC0" w:rsidRPr="001B53A8" w:rsidRDefault="00003F34" w:rsidP="004D5CC0">
      <w:pPr>
        <w:spacing w:line="240" w:lineRule="auto"/>
        <w:ind w:firstLine="567"/>
        <w:rPr>
          <w:lang w:val="sr-Latn-BA"/>
        </w:rPr>
      </w:pPr>
      <w:r w:rsidRPr="001B53A8">
        <w:rPr>
          <w:lang w:val="sr-Latn-BA"/>
        </w:rPr>
        <w:t>U</w:t>
      </w:r>
      <w:r w:rsidR="00BF6D48" w:rsidRPr="001B53A8">
        <w:rPr>
          <w:lang w:val="sr-Latn-BA"/>
        </w:rPr>
        <w:t xml:space="preserve"> </w:t>
      </w:r>
      <w:r w:rsidRPr="001B53A8">
        <w:rPr>
          <w:lang w:val="sr-Latn-BA"/>
        </w:rPr>
        <w:t>periodu</w:t>
      </w:r>
      <w:r w:rsidR="00BF6D48" w:rsidRPr="001B53A8">
        <w:rPr>
          <w:lang w:val="sr-Latn-BA"/>
        </w:rPr>
        <w:t xml:space="preserve"> </w:t>
      </w:r>
      <w:r w:rsidRPr="001B53A8">
        <w:rPr>
          <w:lang w:val="sr-Latn-BA"/>
        </w:rPr>
        <w:t>važenja</w:t>
      </w:r>
      <w:r w:rsidR="00BF6D48" w:rsidRPr="001B53A8">
        <w:rPr>
          <w:lang w:val="sr-Latn-BA"/>
        </w:rPr>
        <w:t xml:space="preserve"> </w:t>
      </w:r>
      <w:r w:rsidRPr="001B53A8">
        <w:rPr>
          <w:lang w:val="sr-Latn-BA"/>
        </w:rPr>
        <w:t>aktuelnog</w:t>
      </w:r>
      <w:r w:rsidR="00BF6D48" w:rsidRPr="001B53A8">
        <w:rPr>
          <w:lang w:val="sr-Latn-BA"/>
        </w:rPr>
        <w:t xml:space="preserve"> </w:t>
      </w:r>
      <w:r w:rsidRPr="001B53A8">
        <w:rPr>
          <w:lang w:val="sr-Latn-BA"/>
        </w:rPr>
        <w:t>Zakona</w:t>
      </w:r>
      <w:r w:rsidR="00BF6D48" w:rsidRPr="001B53A8">
        <w:rPr>
          <w:lang w:val="sr-Latn-BA"/>
        </w:rPr>
        <w:t xml:space="preserve"> </w:t>
      </w:r>
      <w:r w:rsidRPr="001B53A8">
        <w:rPr>
          <w:lang w:val="sr-Latn-BA"/>
        </w:rPr>
        <w:t>o</w:t>
      </w:r>
      <w:r w:rsidR="00BF6D48" w:rsidRPr="001B53A8">
        <w:rPr>
          <w:lang w:val="sr-Latn-BA"/>
        </w:rPr>
        <w:t xml:space="preserve"> </w:t>
      </w:r>
      <w:r w:rsidRPr="001B53A8">
        <w:rPr>
          <w:lang w:val="sr-Latn-BA"/>
        </w:rPr>
        <w:t>privrednim</w:t>
      </w:r>
      <w:r w:rsidR="00BF6D48" w:rsidRPr="001B53A8">
        <w:rPr>
          <w:lang w:val="sr-Latn-BA"/>
        </w:rPr>
        <w:t xml:space="preserve"> </w:t>
      </w:r>
      <w:r w:rsidRPr="001B53A8">
        <w:rPr>
          <w:lang w:val="sr-Latn-BA"/>
        </w:rPr>
        <w:t>društvima</w:t>
      </w:r>
      <w:r w:rsidR="00BF6D48" w:rsidRPr="001B53A8">
        <w:rPr>
          <w:lang w:val="sr-Latn-BA"/>
        </w:rPr>
        <w:t xml:space="preserve">, </w:t>
      </w:r>
      <w:r w:rsidRPr="001B53A8">
        <w:rPr>
          <w:lang w:val="sr-Latn-BA"/>
        </w:rPr>
        <w:t>od</w:t>
      </w:r>
      <w:r w:rsidR="00BF6D48" w:rsidRPr="001B53A8">
        <w:rPr>
          <w:lang w:val="sr-Latn-BA"/>
        </w:rPr>
        <w:t xml:space="preserve"> </w:t>
      </w:r>
      <w:r w:rsidRPr="001B53A8">
        <w:rPr>
          <w:lang w:val="sr-Latn-BA"/>
        </w:rPr>
        <w:t>kada</w:t>
      </w:r>
      <w:r w:rsidR="00BF6D48" w:rsidRPr="001B53A8">
        <w:rPr>
          <w:lang w:val="sr-Latn-BA"/>
        </w:rPr>
        <w:t xml:space="preserve"> </w:t>
      </w:r>
      <w:r w:rsidRPr="001B53A8">
        <w:rPr>
          <w:lang w:val="sr-Latn-BA"/>
        </w:rPr>
        <w:t>je</w:t>
      </w:r>
      <w:r w:rsidR="00BF6D48" w:rsidRPr="001B53A8">
        <w:rPr>
          <w:lang w:val="sr-Latn-BA"/>
        </w:rPr>
        <w:t xml:space="preserve"> </w:t>
      </w:r>
      <w:r w:rsidRPr="001B53A8">
        <w:rPr>
          <w:lang w:val="sr-Latn-BA"/>
        </w:rPr>
        <w:t>čitav</w:t>
      </w:r>
      <w:r w:rsidR="00BF6D48" w:rsidRPr="001B53A8">
        <w:rPr>
          <w:lang w:val="sr-Latn-BA"/>
        </w:rPr>
        <w:t xml:space="preserve"> </w:t>
      </w:r>
      <w:r w:rsidRPr="001B53A8">
        <w:rPr>
          <w:lang w:val="sr-Latn-BA"/>
        </w:rPr>
        <w:t>proces</w:t>
      </w:r>
      <w:r w:rsidR="00BF6D48" w:rsidRPr="001B53A8">
        <w:rPr>
          <w:lang w:val="sr-Latn-BA"/>
        </w:rPr>
        <w:t xml:space="preserve"> </w:t>
      </w:r>
      <w:r w:rsidRPr="001B53A8">
        <w:rPr>
          <w:lang w:val="sr-Latn-BA"/>
        </w:rPr>
        <w:t>i</w:t>
      </w:r>
      <w:r w:rsidR="00BF6D48" w:rsidRPr="001B53A8">
        <w:rPr>
          <w:lang w:val="sr-Latn-BA"/>
        </w:rPr>
        <w:t xml:space="preserve"> </w:t>
      </w:r>
      <w:r w:rsidRPr="001B53A8">
        <w:rPr>
          <w:lang w:val="sr-Latn-BA"/>
        </w:rPr>
        <w:t>započeo</w:t>
      </w:r>
      <w:r w:rsidR="00BF6D48" w:rsidRPr="001B53A8">
        <w:rPr>
          <w:lang w:val="sr-Latn-BA"/>
        </w:rPr>
        <w:t xml:space="preserve">, </w:t>
      </w:r>
      <w:r w:rsidRPr="001B53A8">
        <w:rPr>
          <w:lang w:val="sr-Latn-BA"/>
        </w:rPr>
        <w:t>pravnu</w:t>
      </w:r>
      <w:r w:rsidR="00BF6D48" w:rsidRPr="001B53A8">
        <w:rPr>
          <w:lang w:val="sr-Latn-BA"/>
        </w:rPr>
        <w:t xml:space="preserve"> </w:t>
      </w:r>
      <w:r w:rsidRPr="001B53A8">
        <w:rPr>
          <w:lang w:val="sr-Latn-BA"/>
        </w:rPr>
        <w:t>formu</w:t>
      </w:r>
      <w:r w:rsidR="00BF6D48" w:rsidRPr="001B53A8">
        <w:rPr>
          <w:lang w:val="sr-Latn-BA"/>
        </w:rPr>
        <w:t xml:space="preserve"> </w:t>
      </w:r>
      <w:r w:rsidRPr="001B53A8">
        <w:rPr>
          <w:lang w:val="sr-Latn-BA"/>
        </w:rPr>
        <w:t>otvorenog</w:t>
      </w:r>
      <w:r w:rsidR="00BF6D48" w:rsidRPr="001B53A8">
        <w:rPr>
          <w:lang w:val="sr-Latn-BA"/>
        </w:rPr>
        <w:t xml:space="preserve"> </w:t>
      </w:r>
      <w:r w:rsidRPr="001B53A8">
        <w:rPr>
          <w:lang w:val="sr-Latn-BA"/>
        </w:rPr>
        <w:t>akcionarskog</w:t>
      </w:r>
      <w:r w:rsidR="00BF6D48" w:rsidRPr="001B53A8">
        <w:rPr>
          <w:lang w:val="sr-Latn-BA"/>
        </w:rPr>
        <w:t xml:space="preserve"> </w:t>
      </w:r>
      <w:r w:rsidRPr="001B53A8">
        <w:rPr>
          <w:lang w:val="sr-Latn-BA"/>
        </w:rPr>
        <w:t>društva</w:t>
      </w:r>
      <w:r w:rsidR="00BF6D48" w:rsidRPr="001B53A8">
        <w:rPr>
          <w:lang w:val="sr-Latn-BA"/>
        </w:rPr>
        <w:t xml:space="preserve"> </w:t>
      </w:r>
      <w:r w:rsidRPr="001B53A8">
        <w:rPr>
          <w:lang w:val="sr-Latn-BA"/>
        </w:rPr>
        <w:t>u</w:t>
      </w:r>
      <w:r w:rsidR="00BF6D48" w:rsidRPr="001B53A8">
        <w:rPr>
          <w:lang w:val="sr-Latn-BA"/>
        </w:rPr>
        <w:t xml:space="preserve"> </w:t>
      </w:r>
      <w:r w:rsidRPr="001B53A8">
        <w:rPr>
          <w:lang w:val="sr-Latn-BA"/>
        </w:rPr>
        <w:t>društvo</w:t>
      </w:r>
      <w:r w:rsidR="00BF6D48" w:rsidRPr="001B53A8">
        <w:rPr>
          <w:lang w:val="sr-Latn-BA"/>
        </w:rPr>
        <w:t xml:space="preserve"> </w:t>
      </w:r>
      <w:r w:rsidRPr="001B53A8">
        <w:rPr>
          <w:lang w:val="sr-Latn-BA"/>
        </w:rPr>
        <w:t>sa</w:t>
      </w:r>
      <w:r w:rsidR="00BF6D48" w:rsidRPr="001B53A8">
        <w:rPr>
          <w:lang w:val="sr-Latn-BA"/>
        </w:rPr>
        <w:t xml:space="preserve"> </w:t>
      </w:r>
      <w:r w:rsidRPr="001B53A8">
        <w:rPr>
          <w:lang w:val="sr-Latn-BA"/>
        </w:rPr>
        <w:t>ograničenom</w:t>
      </w:r>
      <w:r w:rsidR="00BF6D48" w:rsidRPr="001B53A8">
        <w:rPr>
          <w:lang w:val="sr-Latn-BA"/>
        </w:rPr>
        <w:t xml:space="preserve"> </w:t>
      </w:r>
      <w:r w:rsidRPr="001B53A8">
        <w:rPr>
          <w:lang w:val="sr-Latn-BA"/>
        </w:rPr>
        <w:t>odgovornošću</w:t>
      </w:r>
      <w:r w:rsidR="00BF6D48" w:rsidRPr="001B53A8">
        <w:rPr>
          <w:lang w:val="sr-Latn-BA"/>
        </w:rPr>
        <w:t xml:space="preserve"> </w:t>
      </w:r>
      <w:r w:rsidRPr="001B53A8">
        <w:rPr>
          <w:lang w:val="sr-Latn-BA"/>
        </w:rPr>
        <w:t>promijenilo</w:t>
      </w:r>
      <w:r w:rsidR="00BF6D48" w:rsidRPr="001B53A8">
        <w:rPr>
          <w:lang w:val="sr-Latn-BA"/>
        </w:rPr>
        <w:t xml:space="preserve"> </w:t>
      </w:r>
      <w:r w:rsidRPr="001B53A8">
        <w:rPr>
          <w:lang w:val="sr-Latn-BA"/>
        </w:rPr>
        <w:t>je</w:t>
      </w:r>
      <w:r w:rsidR="00BF6D48" w:rsidRPr="001B53A8">
        <w:rPr>
          <w:lang w:val="sr-Latn-BA"/>
        </w:rPr>
        <w:t xml:space="preserve"> </w:t>
      </w:r>
      <w:r w:rsidRPr="001B53A8">
        <w:rPr>
          <w:lang w:val="sr-Latn-BA"/>
        </w:rPr>
        <w:t>ukupno</w:t>
      </w:r>
      <w:r w:rsidR="00BF6D48" w:rsidRPr="001B53A8">
        <w:rPr>
          <w:lang w:val="sr-Latn-BA"/>
        </w:rPr>
        <w:t xml:space="preserve"> 104 </w:t>
      </w:r>
      <w:r w:rsidRPr="001B53A8">
        <w:rPr>
          <w:lang w:val="sr-Latn-BA"/>
        </w:rPr>
        <w:t>društva</w:t>
      </w:r>
      <w:r w:rsidR="00BF6D48" w:rsidRPr="001B53A8">
        <w:rPr>
          <w:lang w:val="sr-Latn-BA"/>
        </w:rPr>
        <w:t xml:space="preserve">, </w:t>
      </w:r>
      <w:r w:rsidRPr="001B53A8">
        <w:rPr>
          <w:lang w:val="sr-Latn-BA"/>
        </w:rPr>
        <w:t>dok</w:t>
      </w:r>
      <w:r w:rsidR="00BF6D48" w:rsidRPr="001B53A8">
        <w:rPr>
          <w:lang w:val="sr-Latn-BA"/>
        </w:rPr>
        <w:t xml:space="preserve"> </w:t>
      </w:r>
      <w:r w:rsidRPr="001B53A8">
        <w:rPr>
          <w:lang w:val="sr-Latn-BA"/>
        </w:rPr>
        <w:t>je</w:t>
      </w:r>
      <w:r w:rsidR="00BF6D48" w:rsidRPr="001B53A8">
        <w:rPr>
          <w:lang w:val="sr-Latn-BA"/>
        </w:rPr>
        <w:t xml:space="preserve"> 16 </w:t>
      </w:r>
      <w:r w:rsidRPr="001B53A8">
        <w:rPr>
          <w:lang w:val="sr-Latn-BA"/>
        </w:rPr>
        <w:t>društava</w:t>
      </w:r>
      <w:r w:rsidR="00BF6D48" w:rsidRPr="001B53A8">
        <w:rPr>
          <w:lang w:val="sr-Latn-BA"/>
        </w:rPr>
        <w:t xml:space="preserve"> </w:t>
      </w:r>
      <w:r w:rsidRPr="001B53A8">
        <w:rPr>
          <w:lang w:val="sr-Latn-BA"/>
        </w:rPr>
        <w:t>promijenilo</w:t>
      </w:r>
      <w:r w:rsidR="00BF6D48" w:rsidRPr="001B53A8">
        <w:rPr>
          <w:lang w:val="sr-Latn-BA"/>
        </w:rPr>
        <w:t xml:space="preserve"> </w:t>
      </w:r>
      <w:r w:rsidRPr="001B53A8">
        <w:rPr>
          <w:lang w:val="sr-Latn-BA"/>
        </w:rPr>
        <w:t>oblik</w:t>
      </w:r>
      <w:r w:rsidR="00BF6D48" w:rsidRPr="001B53A8">
        <w:rPr>
          <w:lang w:val="sr-Latn-BA"/>
        </w:rPr>
        <w:t xml:space="preserve"> </w:t>
      </w:r>
      <w:r w:rsidRPr="001B53A8">
        <w:rPr>
          <w:lang w:val="sr-Latn-BA"/>
        </w:rPr>
        <w:t>organizovanja</w:t>
      </w:r>
      <w:r w:rsidR="00BF6D48" w:rsidRPr="001B53A8">
        <w:rPr>
          <w:lang w:val="sr-Latn-BA"/>
        </w:rPr>
        <w:t xml:space="preserve"> – </w:t>
      </w:r>
      <w:r w:rsidRPr="001B53A8">
        <w:rPr>
          <w:lang w:val="sr-Latn-BA"/>
        </w:rPr>
        <w:t>iz</w:t>
      </w:r>
      <w:r w:rsidR="00BF6D48" w:rsidRPr="001B53A8">
        <w:rPr>
          <w:lang w:val="sr-Latn-BA"/>
        </w:rPr>
        <w:t xml:space="preserve"> </w:t>
      </w:r>
      <w:r w:rsidRPr="001B53A8">
        <w:rPr>
          <w:lang w:val="sr-Latn-BA"/>
        </w:rPr>
        <w:t>otvorenog</w:t>
      </w:r>
      <w:r w:rsidR="00BF6D48" w:rsidRPr="001B53A8">
        <w:rPr>
          <w:lang w:val="sr-Latn-BA"/>
        </w:rPr>
        <w:t xml:space="preserve"> </w:t>
      </w:r>
      <w:r w:rsidRPr="001B53A8">
        <w:rPr>
          <w:lang w:val="sr-Latn-BA"/>
        </w:rPr>
        <w:t>u</w:t>
      </w:r>
      <w:r w:rsidR="00BF6D48" w:rsidRPr="001B53A8">
        <w:rPr>
          <w:lang w:val="sr-Latn-BA"/>
        </w:rPr>
        <w:t xml:space="preserve"> </w:t>
      </w:r>
      <w:r w:rsidRPr="001B53A8">
        <w:rPr>
          <w:lang w:val="sr-Latn-BA"/>
        </w:rPr>
        <w:t>zatvoreno</w:t>
      </w:r>
      <w:r w:rsidR="00BF6D48" w:rsidRPr="001B53A8">
        <w:rPr>
          <w:lang w:val="sr-Latn-BA"/>
        </w:rPr>
        <w:t xml:space="preserve"> </w:t>
      </w:r>
      <w:r w:rsidRPr="001B53A8">
        <w:rPr>
          <w:lang w:val="sr-Latn-BA"/>
        </w:rPr>
        <w:t>akcionarsko</w:t>
      </w:r>
      <w:r w:rsidR="00BF6D48" w:rsidRPr="001B53A8">
        <w:rPr>
          <w:lang w:val="sr-Latn-BA"/>
        </w:rPr>
        <w:t xml:space="preserve"> </w:t>
      </w:r>
      <w:r w:rsidRPr="001B53A8">
        <w:rPr>
          <w:lang w:val="sr-Latn-BA"/>
        </w:rPr>
        <w:t>društvo</w:t>
      </w:r>
      <w:r w:rsidR="00BF6D48" w:rsidRPr="001B53A8">
        <w:rPr>
          <w:lang w:val="sr-Latn-BA"/>
        </w:rPr>
        <w:t xml:space="preserve">. </w:t>
      </w:r>
      <w:r w:rsidRPr="001B53A8">
        <w:rPr>
          <w:lang w:val="sr-Latn-BA"/>
        </w:rPr>
        <w:t>Sva</w:t>
      </w:r>
      <w:r w:rsidR="00BF6D48" w:rsidRPr="001B53A8">
        <w:rPr>
          <w:lang w:val="sr-Latn-BA"/>
        </w:rPr>
        <w:t xml:space="preserve"> </w:t>
      </w:r>
      <w:r w:rsidRPr="001B53A8">
        <w:rPr>
          <w:lang w:val="sr-Latn-BA"/>
        </w:rPr>
        <w:t>pomenuta</w:t>
      </w:r>
      <w:r w:rsidR="00BF6D48" w:rsidRPr="001B53A8">
        <w:rPr>
          <w:lang w:val="sr-Latn-BA"/>
        </w:rPr>
        <w:t xml:space="preserve"> </w:t>
      </w:r>
      <w:r w:rsidRPr="001B53A8">
        <w:rPr>
          <w:lang w:val="sr-Latn-BA"/>
        </w:rPr>
        <w:t>društva</w:t>
      </w:r>
      <w:r w:rsidR="00BF6D48" w:rsidRPr="001B53A8">
        <w:rPr>
          <w:lang w:val="sr-Latn-BA"/>
        </w:rPr>
        <w:t xml:space="preserve"> </w:t>
      </w:r>
      <w:r w:rsidRPr="001B53A8">
        <w:rPr>
          <w:lang w:val="sr-Latn-BA"/>
        </w:rPr>
        <w:t>su</w:t>
      </w:r>
      <w:r w:rsidR="00BF6D48" w:rsidRPr="001B53A8">
        <w:rPr>
          <w:lang w:val="sr-Latn-BA"/>
        </w:rPr>
        <w:t xml:space="preserve"> </w:t>
      </w:r>
      <w:r w:rsidRPr="001B53A8">
        <w:rPr>
          <w:lang w:val="sr-Latn-BA"/>
        </w:rPr>
        <w:t>delistirana</w:t>
      </w:r>
      <w:r w:rsidR="00BF6D48" w:rsidRPr="001B53A8">
        <w:rPr>
          <w:lang w:val="sr-Latn-BA"/>
        </w:rPr>
        <w:t xml:space="preserve"> </w:t>
      </w:r>
      <w:r w:rsidRPr="001B53A8">
        <w:rPr>
          <w:lang w:val="sr-Latn-BA"/>
        </w:rPr>
        <w:t>iz</w:t>
      </w:r>
      <w:r w:rsidR="00BF6D48" w:rsidRPr="001B53A8">
        <w:rPr>
          <w:lang w:val="sr-Latn-BA"/>
        </w:rPr>
        <w:t xml:space="preserve"> </w:t>
      </w:r>
      <w:r w:rsidRPr="001B53A8">
        <w:rPr>
          <w:lang w:val="sr-Latn-BA"/>
        </w:rPr>
        <w:t>berzanskog</w:t>
      </w:r>
      <w:r w:rsidR="00BF6D48" w:rsidRPr="001B53A8">
        <w:rPr>
          <w:lang w:val="sr-Latn-BA"/>
        </w:rPr>
        <w:t xml:space="preserve"> </w:t>
      </w:r>
      <w:r w:rsidRPr="001B53A8">
        <w:rPr>
          <w:lang w:val="sr-Latn-BA"/>
        </w:rPr>
        <w:t>sistema</w:t>
      </w:r>
      <w:r w:rsidR="00BF6D48" w:rsidRPr="001B53A8">
        <w:rPr>
          <w:lang w:val="sr-Latn-BA"/>
        </w:rPr>
        <w:t xml:space="preserve"> </w:t>
      </w:r>
      <w:r w:rsidRPr="001B53A8">
        <w:rPr>
          <w:lang w:val="sr-Latn-BA"/>
        </w:rPr>
        <w:t>trgovanja</w:t>
      </w:r>
      <w:r w:rsidR="004D5CC0" w:rsidRPr="001B53A8">
        <w:rPr>
          <w:lang w:val="sr-Latn-BA"/>
        </w:rPr>
        <w:t>.</w:t>
      </w:r>
    </w:p>
    <w:tbl>
      <w:tblPr>
        <w:tblStyle w:val="LightGrid-Accent11"/>
        <w:tblW w:w="9230" w:type="dxa"/>
        <w:jc w:val="center"/>
        <w:tblLook w:val="04A0" w:firstRow="1" w:lastRow="0" w:firstColumn="1" w:lastColumn="0" w:noHBand="0" w:noVBand="1"/>
      </w:tblPr>
      <w:tblGrid>
        <w:gridCol w:w="5377"/>
        <w:gridCol w:w="643"/>
        <w:gridCol w:w="642"/>
        <w:gridCol w:w="642"/>
        <w:gridCol w:w="642"/>
        <w:gridCol w:w="642"/>
        <w:gridCol w:w="642"/>
      </w:tblGrid>
      <w:tr w:rsidR="00BF6D48" w:rsidRPr="001B53A8" w14:paraId="24F3329E" w14:textId="77777777" w:rsidTr="00BF6D48">
        <w:trPr>
          <w:cnfStyle w:val="100000000000" w:firstRow="1" w:lastRow="0" w:firstColumn="0" w:lastColumn="0" w:oddVBand="0" w:evenVBand="0" w:oddHBand="0" w:evenHBand="0" w:firstRowFirstColumn="0" w:firstRowLastColumn="0" w:lastRowFirstColumn="0" w:lastRowLastColumn="0"/>
          <w:trHeight w:val="158"/>
          <w:jc w:val="center"/>
        </w:trPr>
        <w:tc>
          <w:tcPr>
            <w:cnfStyle w:val="001000000000" w:firstRow="0" w:lastRow="0" w:firstColumn="1" w:lastColumn="0" w:oddVBand="0" w:evenVBand="0" w:oddHBand="0" w:evenHBand="0" w:firstRowFirstColumn="0" w:firstRowLastColumn="0" w:lastRowFirstColumn="0" w:lastRowLastColumn="0"/>
            <w:tcW w:w="5376" w:type="dxa"/>
          </w:tcPr>
          <w:p w14:paraId="04756ACB" w14:textId="741CC04D" w:rsidR="00BF6D48" w:rsidRPr="001B53A8" w:rsidRDefault="00003F34" w:rsidP="00BF6D48">
            <w:pPr>
              <w:spacing w:after="0" w:line="240" w:lineRule="auto"/>
              <w:ind w:firstLine="0"/>
              <w:rPr>
                <w:rFonts w:ascii="Times New Roman" w:hAnsi="Times New Roman" w:cs="Times New Roman"/>
                <w:sz w:val="18"/>
                <w:szCs w:val="20"/>
                <w:lang w:val="sr-Latn-BA"/>
              </w:rPr>
            </w:pPr>
            <w:r w:rsidRPr="001B53A8">
              <w:rPr>
                <w:rFonts w:ascii="Times New Roman" w:hAnsi="Times New Roman" w:cs="Times New Roman"/>
                <w:sz w:val="18"/>
                <w:szCs w:val="20"/>
                <w:lang w:val="sr-Latn-BA"/>
              </w:rPr>
              <w:t>Godine</w:t>
            </w:r>
          </w:p>
        </w:tc>
        <w:tc>
          <w:tcPr>
            <w:tcW w:w="0" w:type="auto"/>
          </w:tcPr>
          <w:p w14:paraId="0D831FDA" w14:textId="450426D3" w:rsidR="00BF6D48" w:rsidRPr="001B53A8" w:rsidRDefault="00BF6D48" w:rsidP="00BF6D48">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sr-Latn-BA"/>
              </w:rPr>
            </w:pPr>
            <w:r w:rsidRPr="001B53A8">
              <w:rPr>
                <w:rFonts w:ascii="Times New Roman" w:hAnsi="Times New Roman" w:cs="Times New Roman"/>
                <w:sz w:val="18"/>
                <w:szCs w:val="20"/>
                <w:lang w:val="sr-Latn-BA"/>
              </w:rPr>
              <w:t>2018.</w:t>
            </w:r>
          </w:p>
        </w:tc>
        <w:tc>
          <w:tcPr>
            <w:tcW w:w="0" w:type="auto"/>
          </w:tcPr>
          <w:p w14:paraId="7A69B42D" w14:textId="4B523ACD" w:rsidR="00BF6D48" w:rsidRPr="001B53A8" w:rsidRDefault="00BF6D48" w:rsidP="00BF6D48">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sr-Latn-BA"/>
              </w:rPr>
            </w:pPr>
            <w:r w:rsidRPr="001B53A8">
              <w:rPr>
                <w:rFonts w:ascii="Times New Roman" w:hAnsi="Times New Roman" w:cs="Times New Roman"/>
                <w:sz w:val="18"/>
                <w:szCs w:val="20"/>
                <w:lang w:val="sr-Latn-BA"/>
              </w:rPr>
              <w:t>2019.</w:t>
            </w:r>
          </w:p>
        </w:tc>
        <w:tc>
          <w:tcPr>
            <w:tcW w:w="0" w:type="auto"/>
          </w:tcPr>
          <w:p w14:paraId="44321536" w14:textId="2CA6B59F" w:rsidR="00BF6D48" w:rsidRPr="001B53A8" w:rsidRDefault="00BF6D48" w:rsidP="00BF6D48">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sr-Latn-BA"/>
              </w:rPr>
            </w:pPr>
            <w:r w:rsidRPr="001B53A8">
              <w:rPr>
                <w:rFonts w:ascii="Times New Roman" w:hAnsi="Times New Roman" w:cs="Times New Roman"/>
                <w:sz w:val="18"/>
                <w:szCs w:val="20"/>
                <w:lang w:val="sr-Latn-BA"/>
              </w:rPr>
              <w:t>2020.</w:t>
            </w:r>
          </w:p>
        </w:tc>
        <w:tc>
          <w:tcPr>
            <w:tcW w:w="0" w:type="auto"/>
          </w:tcPr>
          <w:p w14:paraId="5064A3FD" w14:textId="129264DD" w:rsidR="00BF6D48" w:rsidRPr="001B53A8" w:rsidRDefault="00BF6D48" w:rsidP="00BF6D48">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sr-Latn-BA"/>
              </w:rPr>
            </w:pPr>
            <w:r w:rsidRPr="001B53A8">
              <w:rPr>
                <w:rFonts w:ascii="Times New Roman" w:hAnsi="Times New Roman" w:cs="Times New Roman"/>
                <w:sz w:val="18"/>
                <w:szCs w:val="20"/>
                <w:lang w:val="sr-Latn-BA"/>
              </w:rPr>
              <w:t>2021.</w:t>
            </w:r>
          </w:p>
        </w:tc>
        <w:tc>
          <w:tcPr>
            <w:tcW w:w="0" w:type="auto"/>
          </w:tcPr>
          <w:p w14:paraId="3FF405EA" w14:textId="15342C6F" w:rsidR="00BF6D48" w:rsidRPr="001B53A8" w:rsidRDefault="00BF6D48" w:rsidP="00BF6D48">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sr-Latn-BA"/>
              </w:rPr>
            </w:pPr>
            <w:r w:rsidRPr="001B53A8">
              <w:rPr>
                <w:rFonts w:ascii="Times New Roman" w:hAnsi="Times New Roman" w:cs="Times New Roman"/>
                <w:sz w:val="18"/>
                <w:szCs w:val="20"/>
                <w:lang w:val="sr-Latn-BA"/>
              </w:rPr>
              <w:t>2022.</w:t>
            </w:r>
          </w:p>
        </w:tc>
        <w:tc>
          <w:tcPr>
            <w:tcW w:w="0" w:type="auto"/>
          </w:tcPr>
          <w:p w14:paraId="278EAEB6" w14:textId="20AB9600" w:rsidR="00BF6D48" w:rsidRPr="001B53A8" w:rsidRDefault="00BF6D48" w:rsidP="00BF6D48">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sr-Latn-BA"/>
              </w:rPr>
            </w:pPr>
            <w:r w:rsidRPr="001B53A8">
              <w:rPr>
                <w:rFonts w:ascii="Times New Roman" w:hAnsi="Times New Roman" w:cs="Times New Roman"/>
                <w:sz w:val="18"/>
                <w:szCs w:val="20"/>
                <w:lang w:val="sr-Latn-BA"/>
              </w:rPr>
              <w:t>2023.</w:t>
            </w:r>
          </w:p>
        </w:tc>
      </w:tr>
      <w:tr w:rsidR="00BF6D48" w:rsidRPr="001B53A8" w14:paraId="1C5CC99E" w14:textId="77777777" w:rsidTr="00BF6D48">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5376" w:type="dxa"/>
          </w:tcPr>
          <w:p w14:paraId="20E9943E" w14:textId="58D8423B" w:rsidR="00BF6D48" w:rsidRPr="001B53A8" w:rsidRDefault="00003F34" w:rsidP="00BF6D48">
            <w:pPr>
              <w:spacing w:after="0" w:line="240" w:lineRule="auto"/>
              <w:ind w:firstLine="0"/>
              <w:rPr>
                <w:rFonts w:ascii="Times New Roman" w:hAnsi="Times New Roman" w:cs="Times New Roman"/>
                <w:sz w:val="18"/>
                <w:szCs w:val="20"/>
                <w:lang w:val="sr-Latn-BA"/>
              </w:rPr>
            </w:pPr>
            <w:r w:rsidRPr="001B53A8">
              <w:rPr>
                <w:rFonts w:ascii="Times New Roman" w:hAnsi="Times New Roman" w:cs="Times New Roman"/>
                <w:sz w:val="18"/>
                <w:szCs w:val="20"/>
                <w:lang w:val="sr-Latn-BA"/>
              </w:rPr>
              <w:t>Promjene</w:t>
            </w:r>
            <w:r w:rsidR="00BF6D48" w:rsidRPr="001B53A8">
              <w:rPr>
                <w:rFonts w:ascii="Times New Roman" w:hAnsi="Times New Roman" w:cs="Times New Roman"/>
                <w:sz w:val="18"/>
                <w:szCs w:val="20"/>
                <w:lang w:val="sr-Latn-BA"/>
              </w:rPr>
              <w:t xml:space="preserve"> </w:t>
            </w:r>
            <w:r w:rsidRPr="001B53A8">
              <w:rPr>
                <w:rFonts w:ascii="Times New Roman" w:hAnsi="Times New Roman" w:cs="Times New Roman"/>
                <w:sz w:val="18"/>
                <w:szCs w:val="20"/>
                <w:lang w:val="sr-Latn-BA"/>
              </w:rPr>
              <w:t>oblika</w:t>
            </w:r>
            <w:r w:rsidR="00BF6D48" w:rsidRPr="001B53A8">
              <w:rPr>
                <w:rFonts w:ascii="Times New Roman" w:hAnsi="Times New Roman" w:cs="Times New Roman"/>
                <w:sz w:val="18"/>
                <w:szCs w:val="20"/>
                <w:lang w:val="sr-Latn-BA"/>
              </w:rPr>
              <w:t xml:space="preserve"> </w:t>
            </w:r>
            <w:r w:rsidRPr="001B53A8">
              <w:rPr>
                <w:rFonts w:ascii="Times New Roman" w:hAnsi="Times New Roman" w:cs="Times New Roman"/>
                <w:sz w:val="18"/>
                <w:szCs w:val="20"/>
                <w:lang w:val="sr-Latn-BA"/>
              </w:rPr>
              <w:t>organizovanja</w:t>
            </w:r>
            <w:r w:rsidR="00BF6D48" w:rsidRPr="001B53A8">
              <w:rPr>
                <w:rFonts w:ascii="Times New Roman" w:hAnsi="Times New Roman" w:cs="Times New Roman"/>
                <w:sz w:val="18"/>
                <w:lang w:val="sr-Latn-BA"/>
              </w:rPr>
              <w:t xml:space="preserve"> </w:t>
            </w:r>
            <w:r w:rsidRPr="001B53A8">
              <w:rPr>
                <w:rFonts w:ascii="Times New Roman" w:hAnsi="Times New Roman" w:cs="Times New Roman"/>
                <w:sz w:val="18"/>
                <w:szCs w:val="20"/>
                <w:lang w:val="sr-Latn-BA"/>
              </w:rPr>
              <w:t>a</w:t>
            </w:r>
            <w:r w:rsidR="00BF6D48" w:rsidRPr="001B53A8">
              <w:rPr>
                <w:rFonts w:ascii="Times New Roman" w:hAnsi="Times New Roman" w:cs="Times New Roman"/>
                <w:sz w:val="18"/>
                <w:szCs w:val="20"/>
                <w:lang w:val="sr-Latn-BA"/>
              </w:rPr>
              <w:t>.</w:t>
            </w:r>
            <w:r w:rsidRPr="001B53A8">
              <w:rPr>
                <w:rFonts w:ascii="Times New Roman" w:hAnsi="Times New Roman" w:cs="Times New Roman"/>
                <w:sz w:val="18"/>
                <w:szCs w:val="20"/>
                <w:lang w:val="sr-Latn-BA"/>
              </w:rPr>
              <w:t>d</w:t>
            </w:r>
            <w:r w:rsidR="00BF6D48" w:rsidRPr="001B53A8">
              <w:rPr>
                <w:rFonts w:ascii="Times New Roman" w:hAnsi="Times New Roman" w:cs="Times New Roman"/>
                <w:sz w:val="18"/>
                <w:szCs w:val="20"/>
                <w:lang w:val="sr-Latn-BA"/>
              </w:rPr>
              <w:t xml:space="preserve">. - </w:t>
            </w:r>
            <w:r w:rsidRPr="001B53A8">
              <w:rPr>
                <w:rFonts w:ascii="Times New Roman" w:hAnsi="Times New Roman" w:cs="Times New Roman"/>
                <w:sz w:val="18"/>
                <w:szCs w:val="20"/>
                <w:lang w:val="sr-Latn-BA"/>
              </w:rPr>
              <w:t>iz</w:t>
            </w:r>
            <w:r w:rsidR="00BF6D48" w:rsidRPr="001B53A8">
              <w:rPr>
                <w:rFonts w:ascii="Times New Roman" w:hAnsi="Times New Roman" w:cs="Times New Roman"/>
                <w:sz w:val="18"/>
                <w:szCs w:val="20"/>
                <w:lang w:val="sr-Latn-BA"/>
              </w:rPr>
              <w:t xml:space="preserve"> </w:t>
            </w:r>
            <w:r w:rsidRPr="001B53A8">
              <w:rPr>
                <w:rFonts w:ascii="Times New Roman" w:hAnsi="Times New Roman" w:cs="Times New Roman"/>
                <w:sz w:val="18"/>
                <w:szCs w:val="20"/>
                <w:lang w:val="sr-Latn-BA"/>
              </w:rPr>
              <w:t>otvorenog</w:t>
            </w:r>
            <w:r w:rsidR="00BF6D48" w:rsidRPr="001B53A8">
              <w:rPr>
                <w:rFonts w:ascii="Times New Roman" w:hAnsi="Times New Roman" w:cs="Times New Roman"/>
                <w:sz w:val="18"/>
                <w:szCs w:val="20"/>
                <w:lang w:val="sr-Latn-BA"/>
              </w:rPr>
              <w:t xml:space="preserve"> </w:t>
            </w:r>
            <w:r w:rsidRPr="001B53A8">
              <w:rPr>
                <w:rFonts w:ascii="Times New Roman" w:hAnsi="Times New Roman" w:cs="Times New Roman"/>
                <w:sz w:val="18"/>
                <w:szCs w:val="20"/>
                <w:lang w:val="sr-Latn-BA"/>
              </w:rPr>
              <w:t>u</w:t>
            </w:r>
            <w:r w:rsidR="00BF6D48" w:rsidRPr="001B53A8">
              <w:rPr>
                <w:rFonts w:ascii="Times New Roman" w:hAnsi="Times New Roman" w:cs="Times New Roman"/>
                <w:sz w:val="18"/>
                <w:szCs w:val="20"/>
                <w:lang w:val="sr-Latn-BA"/>
              </w:rPr>
              <w:t xml:space="preserve"> </w:t>
            </w:r>
            <w:r w:rsidRPr="001B53A8">
              <w:rPr>
                <w:rFonts w:ascii="Times New Roman" w:hAnsi="Times New Roman" w:cs="Times New Roman"/>
                <w:sz w:val="18"/>
                <w:szCs w:val="20"/>
                <w:lang w:val="sr-Latn-BA"/>
              </w:rPr>
              <w:t>zatvoreno</w:t>
            </w:r>
          </w:p>
        </w:tc>
        <w:tc>
          <w:tcPr>
            <w:tcW w:w="0" w:type="auto"/>
          </w:tcPr>
          <w:p w14:paraId="30BFCF55" w14:textId="0D995001" w:rsidR="00BF6D48" w:rsidRPr="001B53A8" w:rsidRDefault="00BF6D48" w:rsidP="00BF6D48">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20"/>
                <w:lang w:val="sr-Latn-BA"/>
              </w:rPr>
            </w:pPr>
            <w:r w:rsidRPr="001B53A8">
              <w:rPr>
                <w:rFonts w:ascii="Times New Roman" w:hAnsi="Times New Roman" w:cs="Times New Roman"/>
                <w:sz w:val="18"/>
                <w:szCs w:val="20"/>
                <w:lang w:val="sr-Latn-BA"/>
              </w:rPr>
              <w:t>-</w:t>
            </w:r>
          </w:p>
        </w:tc>
        <w:tc>
          <w:tcPr>
            <w:tcW w:w="0" w:type="auto"/>
          </w:tcPr>
          <w:p w14:paraId="4981CF90" w14:textId="4D9EFA3F" w:rsidR="00BF6D48" w:rsidRPr="001B53A8" w:rsidRDefault="00BF6D48" w:rsidP="00BF6D48">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20"/>
                <w:lang w:val="sr-Latn-BA"/>
              </w:rPr>
            </w:pPr>
            <w:r w:rsidRPr="001B53A8">
              <w:rPr>
                <w:rFonts w:ascii="Times New Roman" w:hAnsi="Times New Roman" w:cs="Times New Roman"/>
                <w:sz w:val="18"/>
                <w:szCs w:val="20"/>
                <w:lang w:val="sr-Latn-BA"/>
              </w:rPr>
              <w:t>1</w:t>
            </w:r>
          </w:p>
        </w:tc>
        <w:tc>
          <w:tcPr>
            <w:tcW w:w="0" w:type="auto"/>
          </w:tcPr>
          <w:p w14:paraId="14049F6E" w14:textId="66F33274" w:rsidR="00BF6D48" w:rsidRPr="001B53A8" w:rsidRDefault="00BF6D48" w:rsidP="00BF6D48">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20"/>
                <w:lang w:val="sr-Latn-BA"/>
              </w:rPr>
            </w:pPr>
            <w:r w:rsidRPr="001B53A8">
              <w:rPr>
                <w:rFonts w:ascii="Times New Roman" w:hAnsi="Times New Roman" w:cs="Times New Roman"/>
                <w:sz w:val="18"/>
                <w:szCs w:val="20"/>
                <w:lang w:val="sr-Latn-BA"/>
              </w:rPr>
              <w:t>1</w:t>
            </w:r>
          </w:p>
        </w:tc>
        <w:tc>
          <w:tcPr>
            <w:tcW w:w="0" w:type="auto"/>
          </w:tcPr>
          <w:p w14:paraId="106509D1" w14:textId="1AE377BE" w:rsidR="00BF6D48" w:rsidRPr="001B53A8" w:rsidRDefault="00BF6D48" w:rsidP="00BF6D48">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20"/>
                <w:lang w:val="sr-Latn-BA"/>
              </w:rPr>
            </w:pPr>
            <w:r w:rsidRPr="001B53A8">
              <w:rPr>
                <w:rFonts w:ascii="Times New Roman" w:hAnsi="Times New Roman" w:cs="Times New Roman"/>
                <w:sz w:val="18"/>
                <w:szCs w:val="20"/>
                <w:lang w:val="sr-Latn-BA"/>
              </w:rPr>
              <w:t>1</w:t>
            </w:r>
          </w:p>
        </w:tc>
        <w:tc>
          <w:tcPr>
            <w:tcW w:w="0" w:type="auto"/>
          </w:tcPr>
          <w:p w14:paraId="0F365C03" w14:textId="23756135" w:rsidR="00BF6D48" w:rsidRPr="001B53A8" w:rsidRDefault="00BF6D48" w:rsidP="00BF6D48">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20"/>
                <w:lang w:val="sr-Latn-BA"/>
              </w:rPr>
            </w:pPr>
            <w:r w:rsidRPr="001B53A8">
              <w:rPr>
                <w:rFonts w:ascii="Times New Roman" w:hAnsi="Times New Roman" w:cs="Times New Roman"/>
                <w:sz w:val="18"/>
                <w:szCs w:val="20"/>
                <w:lang w:val="sr-Latn-BA"/>
              </w:rPr>
              <w:t>1</w:t>
            </w:r>
          </w:p>
        </w:tc>
        <w:tc>
          <w:tcPr>
            <w:tcW w:w="0" w:type="auto"/>
          </w:tcPr>
          <w:p w14:paraId="3BE8D4E2" w14:textId="0690FBFD" w:rsidR="00BF6D48" w:rsidRPr="001B53A8" w:rsidRDefault="00BF6D48" w:rsidP="00BF6D48">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20"/>
                <w:lang w:val="sr-Latn-BA"/>
              </w:rPr>
            </w:pPr>
            <w:r w:rsidRPr="001B53A8">
              <w:rPr>
                <w:rFonts w:ascii="Times New Roman" w:hAnsi="Times New Roman" w:cs="Times New Roman"/>
                <w:sz w:val="18"/>
                <w:szCs w:val="20"/>
                <w:lang w:val="sr-Latn-BA"/>
              </w:rPr>
              <w:t>2</w:t>
            </w:r>
          </w:p>
        </w:tc>
      </w:tr>
      <w:tr w:rsidR="00BF6D48" w:rsidRPr="001B53A8" w14:paraId="52123BDC" w14:textId="77777777" w:rsidTr="00BF6D4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76" w:type="dxa"/>
          </w:tcPr>
          <w:p w14:paraId="2EAF6D98" w14:textId="185539A8" w:rsidR="00BF6D48" w:rsidRPr="001B53A8" w:rsidRDefault="00003F34" w:rsidP="00BF6D48">
            <w:pPr>
              <w:spacing w:after="0" w:line="240" w:lineRule="auto"/>
              <w:ind w:firstLine="0"/>
              <w:rPr>
                <w:rFonts w:ascii="Times New Roman" w:hAnsi="Times New Roman" w:cs="Times New Roman"/>
                <w:sz w:val="18"/>
                <w:szCs w:val="20"/>
                <w:lang w:val="sr-Latn-BA"/>
              </w:rPr>
            </w:pPr>
            <w:r w:rsidRPr="001B53A8">
              <w:rPr>
                <w:rFonts w:ascii="Times New Roman" w:hAnsi="Times New Roman" w:cs="Times New Roman"/>
                <w:sz w:val="18"/>
                <w:szCs w:val="20"/>
                <w:lang w:val="sr-Latn-BA"/>
              </w:rPr>
              <w:t>Promjene</w:t>
            </w:r>
            <w:r w:rsidR="00BF6D48" w:rsidRPr="001B53A8">
              <w:rPr>
                <w:rFonts w:ascii="Times New Roman" w:hAnsi="Times New Roman" w:cs="Times New Roman"/>
                <w:sz w:val="18"/>
                <w:szCs w:val="20"/>
                <w:lang w:val="sr-Latn-BA"/>
              </w:rPr>
              <w:t xml:space="preserve"> </w:t>
            </w:r>
            <w:r w:rsidRPr="001B53A8">
              <w:rPr>
                <w:rFonts w:ascii="Times New Roman" w:hAnsi="Times New Roman" w:cs="Times New Roman"/>
                <w:sz w:val="18"/>
                <w:szCs w:val="20"/>
                <w:lang w:val="sr-Latn-BA"/>
              </w:rPr>
              <w:t>pravne</w:t>
            </w:r>
            <w:r w:rsidR="00BF6D48" w:rsidRPr="001B53A8">
              <w:rPr>
                <w:rFonts w:ascii="Times New Roman" w:hAnsi="Times New Roman" w:cs="Times New Roman"/>
                <w:sz w:val="18"/>
                <w:szCs w:val="20"/>
                <w:lang w:val="sr-Latn-BA"/>
              </w:rPr>
              <w:t xml:space="preserve"> </w:t>
            </w:r>
            <w:r w:rsidRPr="001B53A8">
              <w:rPr>
                <w:rFonts w:ascii="Times New Roman" w:hAnsi="Times New Roman" w:cs="Times New Roman"/>
                <w:sz w:val="18"/>
                <w:szCs w:val="20"/>
                <w:lang w:val="sr-Latn-BA"/>
              </w:rPr>
              <w:t>forme</w:t>
            </w:r>
            <w:r w:rsidR="00BF6D48" w:rsidRPr="001B53A8">
              <w:rPr>
                <w:rFonts w:ascii="Times New Roman" w:hAnsi="Times New Roman" w:cs="Times New Roman"/>
                <w:sz w:val="18"/>
                <w:szCs w:val="20"/>
                <w:lang w:val="sr-Latn-BA"/>
              </w:rPr>
              <w:t xml:space="preserve"> – </w:t>
            </w:r>
            <w:r w:rsidRPr="001B53A8">
              <w:rPr>
                <w:rFonts w:ascii="Times New Roman" w:hAnsi="Times New Roman" w:cs="Times New Roman"/>
                <w:sz w:val="18"/>
                <w:szCs w:val="20"/>
                <w:lang w:val="sr-Latn-BA"/>
              </w:rPr>
              <w:t>iz</w:t>
            </w:r>
            <w:r w:rsidR="00BF6D48" w:rsidRPr="001B53A8">
              <w:rPr>
                <w:rFonts w:ascii="Times New Roman" w:hAnsi="Times New Roman" w:cs="Times New Roman"/>
                <w:sz w:val="18"/>
                <w:szCs w:val="20"/>
                <w:lang w:val="sr-Latn-BA"/>
              </w:rPr>
              <w:t xml:space="preserve"> </w:t>
            </w:r>
            <w:r w:rsidRPr="001B53A8">
              <w:rPr>
                <w:rFonts w:ascii="Times New Roman" w:hAnsi="Times New Roman" w:cs="Times New Roman"/>
                <w:sz w:val="18"/>
                <w:szCs w:val="20"/>
                <w:lang w:val="sr-Latn-BA"/>
              </w:rPr>
              <w:t>a</w:t>
            </w:r>
            <w:r w:rsidR="00BF6D48" w:rsidRPr="001B53A8">
              <w:rPr>
                <w:rFonts w:ascii="Times New Roman" w:hAnsi="Times New Roman" w:cs="Times New Roman"/>
                <w:sz w:val="18"/>
                <w:szCs w:val="20"/>
                <w:lang w:val="sr-Latn-BA"/>
              </w:rPr>
              <w:t>.</w:t>
            </w:r>
            <w:r w:rsidRPr="001B53A8">
              <w:rPr>
                <w:rFonts w:ascii="Times New Roman" w:hAnsi="Times New Roman" w:cs="Times New Roman"/>
                <w:sz w:val="18"/>
                <w:szCs w:val="20"/>
                <w:lang w:val="sr-Latn-BA"/>
              </w:rPr>
              <w:t>d</w:t>
            </w:r>
            <w:r w:rsidR="00BF6D48" w:rsidRPr="001B53A8">
              <w:rPr>
                <w:rFonts w:ascii="Times New Roman" w:hAnsi="Times New Roman" w:cs="Times New Roman"/>
                <w:sz w:val="18"/>
                <w:szCs w:val="20"/>
                <w:lang w:val="sr-Latn-BA"/>
              </w:rPr>
              <w:t xml:space="preserve">. </w:t>
            </w:r>
            <w:r w:rsidRPr="001B53A8">
              <w:rPr>
                <w:rFonts w:ascii="Times New Roman" w:hAnsi="Times New Roman" w:cs="Times New Roman"/>
                <w:sz w:val="18"/>
                <w:szCs w:val="20"/>
                <w:lang w:val="sr-Latn-BA"/>
              </w:rPr>
              <w:t>u</w:t>
            </w:r>
            <w:r w:rsidR="00BF6D48" w:rsidRPr="001B53A8">
              <w:rPr>
                <w:rFonts w:ascii="Times New Roman" w:hAnsi="Times New Roman" w:cs="Times New Roman"/>
                <w:sz w:val="18"/>
                <w:szCs w:val="20"/>
                <w:lang w:val="sr-Latn-BA"/>
              </w:rPr>
              <w:t xml:space="preserve"> </w:t>
            </w:r>
            <w:r w:rsidRPr="001B53A8">
              <w:rPr>
                <w:rFonts w:ascii="Times New Roman" w:hAnsi="Times New Roman" w:cs="Times New Roman"/>
                <w:sz w:val="18"/>
                <w:szCs w:val="20"/>
                <w:lang w:val="sr-Latn-BA"/>
              </w:rPr>
              <w:t>d</w:t>
            </w:r>
            <w:r w:rsidR="00BF6D48" w:rsidRPr="001B53A8">
              <w:rPr>
                <w:rFonts w:ascii="Times New Roman" w:hAnsi="Times New Roman" w:cs="Times New Roman"/>
                <w:sz w:val="18"/>
                <w:szCs w:val="20"/>
                <w:lang w:val="sr-Latn-BA"/>
              </w:rPr>
              <w:t>.</w:t>
            </w:r>
            <w:r w:rsidRPr="001B53A8">
              <w:rPr>
                <w:rFonts w:ascii="Times New Roman" w:hAnsi="Times New Roman" w:cs="Times New Roman"/>
                <w:sz w:val="18"/>
                <w:szCs w:val="20"/>
                <w:lang w:val="sr-Latn-BA"/>
              </w:rPr>
              <w:t>o</w:t>
            </w:r>
            <w:r w:rsidR="00BF6D48" w:rsidRPr="001B53A8">
              <w:rPr>
                <w:rFonts w:ascii="Times New Roman" w:hAnsi="Times New Roman" w:cs="Times New Roman"/>
                <w:sz w:val="18"/>
                <w:szCs w:val="20"/>
                <w:lang w:val="sr-Latn-BA"/>
              </w:rPr>
              <w:t>.</w:t>
            </w:r>
            <w:r w:rsidRPr="001B53A8">
              <w:rPr>
                <w:rFonts w:ascii="Times New Roman" w:hAnsi="Times New Roman" w:cs="Times New Roman"/>
                <w:sz w:val="18"/>
                <w:szCs w:val="20"/>
                <w:lang w:val="sr-Latn-BA"/>
              </w:rPr>
              <w:t>o</w:t>
            </w:r>
            <w:r w:rsidR="00BF6D48" w:rsidRPr="001B53A8">
              <w:rPr>
                <w:rFonts w:ascii="Times New Roman" w:hAnsi="Times New Roman" w:cs="Times New Roman"/>
                <w:sz w:val="18"/>
                <w:szCs w:val="20"/>
                <w:lang w:val="sr-Latn-BA"/>
              </w:rPr>
              <w:t>.</w:t>
            </w:r>
          </w:p>
        </w:tc>
        <w:tc>
          <w:tcPr>
            <w:tcW w:w="0" w:type="auto"/>
          </w:tcPr>
          <w:p w14:paraId="1CDF370E" w14:textId="691EF608" w:rsidR="00BF6D48" w:rsidRPr="001B53A8" w:rsidRDefault="00BF6D48" w:rsidP="00BF6D48">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20"/>
                <w:lang w:val="sr-Latn-BA"/>
              </w:rPr>
            </w:pPr>
            <w:r w:rsidRPr="001B53A8">
              <w:rPr>
                <w:rFonts w:ascii="Times New Roman" w:hAnsi="Times New Roman" w:cs="Times New Roman"/>
                <w:sz w:val="18"/>
                <w:szCs w:val="20"/>
                <w:lang w:val="sr-Latn-BA"/>
              </w:rPr>
              <w:t>5</w:t>
            </w:r>
          </w:p>
        </w:tc>
        <w:tc>
          <w:tcPr>
            <w:tcW w:w="0" w:type="auto"/>
          </w:tcPr>
          <w:p w14:paraId="3A4FC743" w14:textId="63D1918E" w:rsidR="00BF6D48" w:rsidRPr="001B53A8" w:rsidRDefault="00BF6D48" w:rsidP="00BF6D48">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20"/>
                <w:lang w:val="sr-Latn-BA"/>
              </w:rPr>
            </w:pPr>
            <w:r w:rsidRPr="001B53A8">
              <w:rPr>
                <w:rFonts w:ascii="Times New Roman" w:hAnsi="Times New Roman" w:cs="Times New Roman"/>
                <w:sz w:val="18"/>
                <w:szCs w:val="20"/>
                <w:lang w:val="sr-Latn-BA"/>
              </w:rPr>
              <w:t>6</w:t>
            </w:r>
          </w:p>
        </w:tc>
        <w:tc>
          <w:tcPr>
            <w:tcW w:w="0" w:type="auto"/>
          </w:tcPr>
          <w:p w14:paraId="219C3181" w14:textId="79C9F011" w:rsidR="00BF6D48" w:rsidRPr="001B53A8" w:rsidRDefault="00BF6D48" w:rsidP="00BF6D48">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20"/>
                <w:lang w:val="sr-Latn-BA"/>
              </w:rPr>
            </w:pPr>
            <w:r w:rsidRPr="001B53A8">
              <w:rPr>
                <w:rFonts w:ascii="Times New Roman" w:hAnsi="Times New Roman" w:cs="Times New Roman"/>
                <w:sz w:val="18"/>
                <w:szCs w:val="20"/>
                <w:lang w:val="sr-Latn-BA"/>
              </w:rPr>
              <w:t>3</w:t>
            </w:r>
          </w:p>
        </w:tc>
        <w:tc>
          <w:tcPr>
            <w:tcW w:w="0" w:type="auto"/>
          </w:tcPr>
          <w:p w14:paraId="0023E561" w14:textId="530BA334" w:rsidR="00BF6D48" w:rsidRPr="001B53A8" w:rsidRDefault="00BF6D48" w:rsidP="00BF6D48">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20"/>
                <w:lang w:val="sr-Latn-BA"/>
              </w:rPr>
            </w:pPr>
            <w:r w:rsidRPr="001B53A8">
              <w:rPr>
                <w:rFonts w:ascii="Times New Roman" w:hAnsi="Times New Roman" w:cs="Times New Roman"/>
                <w:sz w:val="18"/>
                <w:szCs w:val="20"/>
                <w:lang w:val="sr-Latn-BA"/>
              </w:rPr>
              <w:t>6</w:t>
            </w:r>
          </w:p>
        </w:tc>
        <w:tc>
          <w:tcPr>
            <w:tcW w:w="0" w:type="auto"/>
          </w:tcPr>
          <w:p w14:paraId="7C236099" w14:textId="0080D271" w:rsidR="00BF6D48" w:rsidRPr="001B53A8" w:rsidRDefault="00BF6D48" w:rsidP="00BF6D48">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20"/>
                <w:lang w:val="sr-Latn-BA"/>
              </w:rPr>
            </w:pPr>
            <w:r w:rsidRPr="001B53A8">
              <w:rPr>
                <w:rFonts w:ascii="Times New Roman" w:hAnsi="Times New Roman" w:cs="Times New Roman"/>
                <w:sz w:val="18"/>
                <w:szCs w:val="20"/>
                <w:lang w:val="sr-Latn-BA"/>
              </w:rPr>
              <w:t>7</w:t>
            </w:r>
          </w:p>
        </w:tc>
        <w:tc>
          <w:tcPr>
            <w:tcW w:w="0" w:type="auto"/>
          </w:tcPr>
          <w:p w14:paraId="1B0C26BB" w14:textId="031FC75F" w:rsidR="00BF6D48" w:rsidRPr="001B53A8" w:rsidRDefault="00BF6D48" w:rsidP="00BF6D48">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20"/>
                <w:lang w:val="sr-Latn-BA"/>
              </w:rPr>
            </w:pPr>
            <w:r w:rsidRPr="001B53A8">
              <w:rPr>
                <w:rFonts w:ascii="Times New Roman" w:hAnsi="Times New Roman" w:cs="Times New Roman"/>
                <w:sz w:val="18"/>
                <w:szCs w:val="20"/>
                <w:lang w:val="sr-Latn-BA"/>
              </w:rPr>
              <w:t>5</w:t>
            </w:r>
          </w:p>
        </w:tc>
      </w:tr>
    </w:tbl>
    <w:p w14:paraId="2F57038F" w14:textId="0D7F498F" w:rsidR="0014689B" w:rsidRPr="001B53A8" w:rsidRDefault="00003F34" w:rsidP="006B6E0C">
      <w:pPr>
        <w:pStyle w:val="Caption"/>
        <w:tabs>
          <w:tab w:val="left" w:pos="1276"/>
        </w:tabs>
        <w:spacing w:after="120"/>
        <w:ind w:left="1276" w:hanging="1276"/>
        <w:jc w:val="both"/>
        <w:rPr>
          <w:rFonts w:ascii="Times New Roman" w:hAnsi="Times New Roman"/>
          <w:b w:val="0"/>
          <w:sz w:val="24"/>
          <w:szCs w:val="24"/>
          <w:lang w:val="sr-Latn-BA"/>
        </w:rPr>
      </w:pPr>
      <w:r w:rsidRPr="001B53A8">
        <w:rPr>
          <w:rFonts w:ascii="Times New Roman" w:hAnsi="Times New Roman"/>
          <w:sz w:val="24"/>
          <w:szCs w:val="24"/>
          <w:lang w:val="sr-Latn-BA"/>
        </w:rPr>
        <w:lastRenderedPageBreak/>
        <w:t>Tabela</w:t>
      </w:r>
      <w:r w:rsidR="0014689B" w:rsidRPr="001B53A8">
        <w:rPr>
          <w:rFonts w:ascii="Times New Roman" w:hAnsi="Times New Roman"/>
          <w:sz w:val="24"/>
          <w:szCs w:val="24"/>
          <w:lang w:val="sr-Latn-BA"/>
        </w:rPr>
        <w:t xml:space="preserve"> </w:t>
      </w:r>
      <w:r w:rsidR="0014689B" w:rsidRPr="001B53A8">
        <w:rPr>
          <w:rFonts w:ascii="Times New Roman" w:hAnsi="Times New Roman"/>
          <w:sz w:val="24"/>
          <w:szCs w:val="24"/>
          <w:lang w:val="sr-Latn-BA"/>
        </w:rPr>
        <w:fldChar w:fldCharType="begin"/>
      </w:r>
      <w:r w:rsidR="0014689B" w:rsidRPr="001B53A8">
        <w:rPr>
          <w:rFonts w:ascii="Times New Roman" w:hAnsi="Times New Roman"/>
          <w:sz w:val="24"/>
          <w:szCs w:val="24"/>
          <w:lang w:val="sr-Latn-BA"/>
        </w:rPr>
        <w:instrText xml:space="preserve"> SEQ Табела \* ARABIC </w:instrText>
      </w:r>
      <w:r w:rsidR="0014689B" w:rsidRPr="001B53A8">
        <w:rPr>
          <w:rFonts w:ascii="Times New Roman" w:hAnsi="Times New Roman"/>
          <w:sz w:val="24"/>
          <w:szCs w:val="24"/>
          <w:lang w:val="sr-Latn-BA"/>
        </w:rPr>
        <w:fldChar w:fldCharType="separate"/>
      </w:r>
      <w:r w:rsidR="00E00890" w:rsidRPr="001B53A8">
        <w:rPr>
          <w:rFonts w:ascii="Times New Roman" w:hAnsi="Times New Roman"/>
          <w:noProof/>
          <w:sz w:val="24"/>
          <w:szCs w:val="24"/>
          <w:lang w:val="sr-Latn-BA"/>
        </w:rPr>
        <w:t>8</w:t>
      </w:r>
      <w:r w:rsidR="0014689B" w:rsidRPr="001B53A8">
        <w:rPr>
          <w:rFonts w:ascii="Times New Roman" w:hAnsi="Times New Roman"/>
          <w:sz w:val="24"/>
          <w:szCs w:val="24"/>
          <w:lang w:val="sr-Latn-BA"/>
        </w:rPr>
        <w:fldChar w:fldCharType="end"/>
      </w:r>
      <w:r w:rsidR="0014689B" w:rsidRPr="001B53A8">
        <w:rPr>
          <w:rFonts w:ascii="Times New Roman" w:hAnsi="Times New Roman"/>
          <w:sz w:val="24"/>
          <w:szCs w:val="24"/>
          <w:lang w:val="sr-Latn-BA"/>
        </w:rPr>
        <w:t>.</w:t>
      </w:r>
      <w:r w:rsidR="0014689B" w:rsidRPr="001B53A8">
        <w:rPr>
          <w:rFonts w:ascii="Times New Roman" w:hAnsi="Times New Roman"/>
          <w:lang w:val="sr-Latn-BA"/>
        </w:rPr>
        <w:tab/>
      </w:r>
      <w:r w:rsidRPr="001B53A8">
        <w:rPr>
          <w:rFonts w:ascii="Times New Roman" w:hAnsi="Times New Roman"/>
          <w:b w:val="0"/>
          <w:sz w:val="24"/>
          <w:szCs w:val="24"/>
          <w:lang w:val="sr-Latn-BA"/>
        </w:rPr>
        <w:t>Broj</w:t>
      </w:r>
      <w:r w:rsidR="0014689B"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postupaka</w:t>
      </w:r>
      <w:r w:rsidR="0014689B"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promjene</w:t>
      </w:r>
      <w:r w:rsidR="0014689B"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oblika</w:t>
      </w:r>
      <w:r w:rsidR="0014689B"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organizovanja</w:t>
      </w:r>
      <w:r w:rsidR="0014689B" w:rsidRPr="001B53A8">
        <w:rPr>
          <w:lang w:val="sr-Latn-BA"/>
        </w:rPr>
        <w:t xml:space="preserve"> </w:t>
      </w:r>
      <w:r w:rsidRPr="001B53A8">
        <w:rPr>
          <w:rFonts w:ascii="Times New Roman" w:hAnsi="Times New Roman"/>
          <w:b w:val="0"/>
          <w:sz w:val="24"/>
          <w:szCs w:val="24"/>
          <w:lang w:val="sr-Latn-BA"/>
        </w:rPr>
        <w:t>akcionarskog</w:t>
      </w:r>
      <w:r w:rsidR="0014689B"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društva</w:t>
      </w:r>
      <w:r w:rsidR="0014689B"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i</w:t>
      </w:r>
      <w:r w:rsidR="0014689B"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promjena</w:t>
      </w:r>
      <w:r w:rsidR="0014689B"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pravne</w:t>
      </w:r>
      <w:r w:rsidR="0014689B"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forme</w:t>
      </w:r>
      <w:r w:rsidR="0014689B"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iz</w:t>
      </w:r>
      <w:r w:rsidR="0014689B"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akcionarskog</w:t>
      </w:r>
      <w:r w:rsidR="0014689B"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društva</w:t>
      </w:r>
      <w:r w:rsidR="0014689B"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u</w:t>
      </w:r>
      <w:r w:rsidR="0014689B"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društvo</w:t>
      </w:r>
      <w:r w:rsidR="0014689B"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sa</w:t>
      </w:r>
      <w:r w:rsidR="0014689B"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ograničenom</w:t>
      </w:r>
      <w:r w:rsidR="0014689B"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odgovornošću</w:t>
      </w:r>
    </w:p>
    <w:p w14:paraId="681DE9FB" w14:textId="13A84DF5" w:rsidR="00906C9F" w:rsidRPr="001B53A8" w:rsidRDefault="00003F34" w:rsidP="006B6E0C">
      <w:pPr>
        <w:spacing w:after="0" w:line="240" w:lineRule="auto"/>
        <w:ind w:firstLine="567"/>
        <w:rPr>
          <w:lang w:val="sr-Latn-BA"/>
        </w:rPr>
      </w:pPr>
      <w:r w:rsidRPr="001B53A8">
        <w:rPr>
          <w:lang w:val="sr-Latn-BA"/>
        </w:rPr>
        <w:t>Uređivanjem</w:t>
      </w:r>
      <w:r w:rsidR="0014689B" w:rsidRPr="001B53A8">
        <w:rPr>
          <w:lang w:val="sr-Latn-BA"/>
        </w:rPr>
        <w:t xml:space="preserve"> </w:t>
      </w:r>
      <w:r w:rsidRPr="001B53A8">
        <w:rPr>
          <w:lang w:val="sr-Latn-BA"/>
        </w:rPr>
        <w:t>ove</w:t>
      </w:r>
      <w:r w:rsidR="0014689B" w:rsidRPr="001B53A8">
        <w:rPr>
          <w:lang w:val="sr-Latn-BA"/>
        </w:rPr>
        <w:t xml:space="preserve"> </w:t>
      </w:r>
      <w:r w:rsidRPr="001B53A8">
        <w:rPr>
          <w:lang w:val="sr-Latn-BA"/>
        </w:rPr>
        <w:t>oblasti</w:t>
      </w:r>
      <w:r w:rsidR="0014689B" w:rsidRPr="001B53A8">
        <w:rPr>
          <w:lang w:val="sr-Latn-BA"/>
        </w:rPr>
        <w:t xml:space="preserve">, </w:t>
      </w:r>
      <w:r w:rsidRPr="001B53A8">
        <w:rPr>
          <w:lang w:val="sr-Latn-BA"/>
        </w:rPr>
        <w:t>stvoreni</w:t>
      </w:r>
      <w:r w:rsidR="0014689B" w:rsidRPr="001B53A8">
        <w:rPr>
          <w:lang w:val="sr-Latn-BA"/>
        </w:rPr>
        <w:t xml:space="preserve"> </w:t>
      </w:r>
      <w:r w:rsidRPr="001B53A8">
        <w:rPr>
          <w:lang w:val="sr-Latn-BA"/>
        </w:rPr>
        <w:t>su</w:t>
      </w:r>
      <w:r w:rsidR="0014689B" w:rsidRPr="001B53A8">
        <w:rPr>
          <w:lang w:val="sr-Latn-BA"/>
        </w:rPr>
        <w:t xml:space="preserve"> </w:t>
      </w:r>
      <w:r w:rsidRPr="001B53A8">
        <w:rPr>
          <w:lang w:val="sr-Latn-BA"/>
        </w:rPr>
        <w:t>preduslovi</w:t>
      </w:r>
      <w:r w:rsidR="0014689B" w:rsidRPr="001B53A8">
        <w:rPr>
          <w:lang w:val="sr-Latn-BA"/>
        </w:rPr>
        <w:t xml:space="preserve"> </w:t>
      </w:r>
      <w:r w:rsidRPr="001B53A8">
        <w:rPr>
          <w:lang w:val="sr-Latn-BA"/>
        </w:rPr>
        <w:t>za</w:t>
      </w:r>
      <w:r w:rsidR="0014689B" w:rsidRPr="001B53A8">
        <w:rPr>
          <w:lang w:val="sr-Latn-BA"/>
        </w:rPr>
        <w:t xml:space="preserve"> </w:t>
      </w:r>
      <w:r w:rsidRPr="001B53A8">
        <w:rPr>
          <w:lang w:val="sr-Latn-BA"/>
        </w:rPr>
        <w:t>otvorena</w:t>
      </w:r>
      <w:r w:rsidR="0014689B" w:rsidRPr="001B53A8">
        <w:rPr>
          <w:lang w:val="sr-Latn-BA"/>
        </w:rPr>
        <w:t xml:space="preserve"> </w:t>
      </w:r>
      <w:r w:rsidRPr="001B53A8">
        <w:rPr>
          <w:lang w:val="sr-Latn-BA"/>
        </w:rPr>
        <w:t>akcionarska</w:t>
      </w:r>
      <w:r w:rsidR="0014689B" w:rsidRPr="001B53A8">
        <w:rPr>
          <w:lang w:val="sr-Latn-BA"/>
        </w:rPr>
        <w:t xml:space="preserve"> </w:t>
      </w:r>
      <w:r w:rsidRPr="001B53A8">
        <w:rPr>
          <w:lang w:val="sr-Latn-BA"/>
        </w:rPr>
        <w:t>društva</w:t>
      </w:r>
      <w:r w:rsidR="0014689B" w:rsidRPr="001B53A8">
        <w:rPr>
          <w:lang w:val="sr-Latn-BA"/>
        </w:rPr>
        <w:t xml:space="preserve"> </w:t>
      </w:r>
      <w:r w:rsidRPr="001B53A8">
        <w:rPr>
          <w:lang w:val="sr-Latn-BA"/>
        </w:rPr>
        <w:t>koja</w:t>
      </w:r>
      <w:r w:rsidR="0014689B" w:rsidRPr="001B53A8">
        <w:rPr>
          <w:lang w:val="sr-Latn-BA"/>
        </w:rPr>
        <w:t xml:space="preserve"> </w:t>
      </w:r>
      <w:r w:rsidRPr="001B53A8">
        <w:rPr>
          <w:lang w:val="sr-Latn-BA"/>
        </w:rPr>
        <w:t>nemaju</w:t>
      </w:r>
      <w:r w:rsidR="0014689B" w:rsidRPr="001B53A8">
        <w:rPr>
          <w:lang w:val="sr-Latn-BA"/>
        </w:rPr>
        <w:t xml:space="preserve"> </w:t>
      </w:r>
      <w:r w:rsidRPr="001B53A8">
        <w:rPr>
          <w:lang w:val="sr-Latn-BA"/>
        </w:rPr>
        <w:t>interes</w:t>
      </w:r>
      <w:r w:rsidR="0014689B" w:rsidRPr="001B53A8">
        <w:rPr>
          <w:lang w:val="sr-Latn-BA"/>
        </w:rPr>
        <w:t xml:space="preserve"> </w:t>
      </w:r>
      <w:r w:rsidRPr="001B53A8">
        <w:rPr>
          <w:lang w:val="sr-Latn-BA"/>
        </w:rPr>
        <w:t>ili</w:t>
      </w:r>
      <w:r w:rsidR="0014689B" w:rsidRPr="001B53A8">
        <w:rPr>
          <w:lang w:val="sr-Latn-BA"/>
        </w:rPr>
        <w:t xml:space="preserve"> </w:t>
      </w:r>
      <w:r w:rsidRPr="001B53A8">
        <w:rPr>
          <w:lang w:val="sr-Latn-BA"/>
        </w:rPr>
        <w:t>uslove</w:t>
      </w:r>
      <w:r w:rsidR="0014689B" w:rsidRPr="001B53A8">
        <w:rPr>
          <w:lang w:val="sr-Latn-BA"/>
        </w:rPr>
        <w:t xml:space="preserve"> </w:t>
      </w:r>
      <w:r w:rsidRPr="001B53A8">
        <w:rPr>
          <w:lang w:val="sr-Latn-BA"/>
        </w:rPr>
        <w:t>za</w:t>
      </w:r>
      <w:r w:rsidR="0014689B" w:rsidRPr="001B53A8">
        <w:rPr>
          <w:lang w:val="sr-Latn-BA"/>
        </w:rPr>
        <w:t xml:space="preserve"> </w:t>
      </w:r>
      <w:r w:rsidRPr="001B53A8">
        <w:rPr>
          <w:lang w:val="sr-Latn-BA"/>
        </w:rPr>
        <w:t>ovakvu</w:t>
      </w:r>
      <w:r w:rsidR="0014689B" w:rsidRPr="001B53A8">
        <w:rPr>
          <w:lang w:val="sr-Latn-BA"/>
        </w:rPr>
        <w:t xml:space="preserve"> </w:t>
      </w:r>
      <w:r w:rsidRPr="001B53A8">
        <w:rPr>
          <w:lang w:val="sr-Latn-BA"/>
        </w:rPr>
        <w:t>pravnu</w:t>
      </w:r>
      <w:r w:rsidR="0014689B" w:rsidRPr="001B53A8">
        <w:rPr>
          <w:lang w:val="sr-Latn-BA"/>
        </w:rPr>
        <w:t xml:space="preserve"> </w:t>
      </w:r>
      <w:r w:rsidRPr="001B53A8">
        <w:rPr>
          <w:lang w:val="sr-Latn-BA"/>
        </w:rPr>
        <w:t>formu</w:t>
      </w:r>
      <w:r w:rsidR="0014689B" w:rsidRPr="001B53A8">
        <w:rPr>
          <w:lang w:val="sr-Latn-BA"/>
        </w:rPr>
        <w:t xml:space="preserve">, </w:t>
      </w:r>
      <w:r w:rsidRPr="001B53A8">
        <w:rPr>
          <w:lang w:val="sr-Latn-BA"/>
        </w:rPr>
        <w:t>da</w:t>
      </w:r>
      <w:r w:rsidR="0014689B" w:rsidRPr="001B53A8">
        <w:rPr>
          <w:lang w:val="sr-Latn-BA"/>
        </w:rPr>
        <w:t xml:space="preserve"> </w:t>
      </w:r>
      <w:r w:rsidRPr="001B53A8">
        <w:rPr>
          <w:lang w:val="sr-Latn-BA"/>
        </w:rPr>
        <w:t>mogu</w:t>
      </w:r>
      <w:r w:rsidR="0014689B" w:rsidRPr="001B53A8">
        <w:rPr>
          <w:lang w:val="sr-Latn-BA"/>
        </w:rPr>
        <w:t xml:space="preserve"> </w:t>
      </w:r>
      <w:r w:rsidRPr="001B53A8">
        <w:rPr>
          <w:lang w:val="sr-Latn-BA"/>
        </w:rPr>
        <w:t>da</w:t>
      </w:r>
      <w:r w:rsidR="0014689B" w:rsidRPr="001B53A8">
        <w:rPr>
          <w:lang w:val="sr-Latn-BA"/>
        </w:rPr>
        <w:t xml:space="preserve"> </w:t>
      </w:r>
      <w:r w:rsidRPr="001B53A8">
        <w:rPr>
          <w:lang w:val="sr-Latn-BA"/>
        </w:rPr>
        <w:t>je</w:t>
      </w:r>
      <w:r w:rsidR="0014689B" w:rsidRPr="001B53A8">
        <w:rPr>
          <w:lang w:val="sr-Latn-BA"/>
        </w:rPr>
        <w:t xml:space="preserve"> </w:t>
      </w:r>
      <w:r w:rsidRPr="001B53A8">
        <w:rPr>
          <w:lang w:val="sr-Latn-BA"/>
        </w:rPr>
        <w:t>promijene</w:t>
      </w:r>
      <w:r w:rsidR="0014689B" w:rsidRPr="001B53A8">
        <w:rPr>
          <w:lang w:val="sr-Latn-BA"/>
        </w:rPr>
        <w:t xml:space="preserve"> </w:t>
      </w:r>
      <w:r w:rsidRPr="001B53A8">
        <w:rPr>
          <w:lang w:val="sr-Latn-BA"/>
        </w:rPr>
        <w:t>odnosno</w:t>
      </w:r>
      <w:r w:rsidR="0014689B" w:rsidRPr="001B53A8">
        <w:rPr>
          <w:lang w:val="sr-Latn-BA"/>
        </w:rPr>
        <w:t xml:space="preserve"> </w:t>
      </w:r>
      <w:r w:rsidRPr="001B53A8">
        <w:rPr>
          <w:lang w:val="sr-Latn-BA"/>
        </w:rPr>
        <w:t>da</w:t>
      </w:r>
      <w:r w:rsidR="0014689B" w:rsidRPr="001B53A8">
        <w:rPr>
          <w:lang w:val="sr-Latn-BA"/>
        </w:rPr>
        <w:t xml:space="preserve"> </w:t>
      </w:r>
      <w:r w:rsidRPr="001B53A8">
        <w:rPr>
          <w:lang w:val="sr-Latn-BA"/>
        </w:rPr>
        <w:t>se</w:t>
      </w:r>
      <w:r w:rsidR="0014689B" w:rsidRPr="001B53A8">
        <w:rPr>
          <w:lang w:val="sr-Latn-BA"/>
        </w:rPr>
        <w:t xml:space="preserve"> </w:t>
      </w:r>
      <w:r w:rsidRPr="001B53A8">
        <w:rPr>
          <w:lang w:val="sr-Latn-BA"/>
        </w:rPr>
        <w:t>isklјuče</w:t>
      </w:r>
      <w:r w:rsidR="0014689B" w:rsidRPr="001B53A8">
        <w:rPr>
          <w:lang w:val="sr-Latn-BA"/>
        </w:rPr>
        <w:t xml:space="preserve"> </w:t>
      </w:r>
      <w:r w:rsidRPr="001B53A8">
        <w:rPr>
          <w:lang w:val="sr-Latn-BA"/>
        </w:rPr>
        <w:t>iz</w:t>
      </w:r>
      <w:r w:rsidR="0014689B" w:rsidRPr="001B53A8">
        <w:rPr>
          <w:lang w:val="sr-Latn-BA"/>
        </w:rPr>
        <w:t xml:space="preserve"> </w:t>
      </w:r>
      <w:r w:rsidRPr="001B53A8">
        <w:rPr>
          <w:lang w:val="sr-Latn-BA"/>
        </w:rPr>
        <w:t>berzanskog</w:t>
      </w:r>
      <w:r w:rsidR="0014689B" w:rsidRPr="001B53A8">
        <w:rPr>
          <w:lang w:val="sr-Latn-BA"/>
        </w:rPr>
        <w:t xml:space="preserve"> </w:t>
      </w:r>
      <w:r w:rsidRPr="001B53A8">
        <w:rPr>
          <w:lang w:val="sr-Latn-BA"/>
        </w:rPr>
        <w:t>sistema</w:t>
      </w:r>
      <w:r w:rsidR="0014689B" w:rsidRPr="001B53A8">
        <w:rPr>
          <w:lang w:val="sr-Latn-BA"/>
        </w:rPr>
        <w:t xml:space="preserve"> </w:t>
      </w:r>
      <w:r w:rsidRPr="001B53A8">
        <w:rPr>
          <w:lang w:val="sr-Latn-BA"/>
        </w:rPr>
        <w:t>trgovanja</w:t>
      </w:r>
      <w:r w:rsidR="00815F76" w:rsidRPr="001B53A8">
        <w:rPr>
          <w:lang w:val="sr-Latn-BA"/>
        </w:rPr>
        <w:t xml:space="preserve">. </w:t>
      </w:r>
      <w:bookmarkStart w:id="61" w:name="_Toc321408895"/>
      <w:bookmarkEnd w:id="29"/>
      <w:bookmarkEnd w:id="30"/>
      <w:bookmarkEnd w:id="58"/>
      <w:bookmarkEnd w:id="59"/>
      <w:bookmarkEnd w:id="60"/>
    </w:p>
    <w:p w14:paraId="24CBB6CF" w14:textId="53EE246F" w:rsidR="009628CE" w:rsidRPr="001B53A8" w:rsidRDefault="00003F34" w:rsidP="006B6E0C">
      <w:pPr>
        <w:pStyle w:val="Heading1"/>
        <w:shd w:val="clear" w:color="auto" w:fill="auto"/>
        <w:spacing w:before="360" w:line="240" w:lineRule="auto"/>
        <w:ind w:left="567" w:hanging="567"/>
        <w:rPr>
          <w:rFonts w:ascii="Times New Roman" w:hAnsi="Times New Roman"/>
          <w:caps w:val="0"/>
          <w:color w:val="002060"/>
          <w:lang w:val="sr-Latn-BA"/>
        </w:rPr>
      </w:pPr>
      <w:bookmarkStart w:id="62" w:name="_Toc167962114"/>
      <w:r w:rsidRPr="001B53A8">
        <w:rPr>
          <w:rFonts w:ascii="Times New Roman" w:hAnsi="Times New Roman"/>
          <w:caps w:val="0"/>
          <w:color w:val="002060"/>
          <w:lang w:val="sr-Latn-BA"/>
        </w:rPr>
        <w:t>IZDAVANјE</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DOZVOLA</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I</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SAGLASNOSTI</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UČESNICIMA</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NA</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TRŽIŠTU</w:t>
      </w:r>
      <w:bookmarkStart w:id="63" w:name="_Toc194970101"/>
      <w:bookmarkStart w:id="64" w:name="_Toc194970139"/>
      <w:bookmarkEnd w:id="61"/>
      <w:bookmarkEnd w:id="62"/>
    </w:p>
    <w:p w14:paraId="3630E3A3" w14:textId="14C4878D" w:rsidR="000255CC" w:rsidRPr="001B53A8" w:rsidRDefault="00003F34" w:rsidP="006B6E0C">
      <w:pPr>
        <w:pStyle w:val="Heading2"/>
        <w:spacing w:before="240" w:after="0" w:line="240" w:lineRule="auto"/>
        <w:ind w:left="578" w:hanging="578"/>
        <w:rPr>
          <w:rFonts w:ascii="Times New Roman" w:hAnsi="Times New Roman"/>
          <w:sz w:val="24"/>
          <w:lang w:val="sr-Latn-BA"/>
        </w:rPr>
      </w:pPr>
      <w:bookmarkStart w:id="65" w:name="_Toc167962115"/>
      <w:r w:rsidRPr="001B53A8">
        <w:rPr>
          <w:rFonts w:ascii="Times New Roman" w:hAnsi="Times New Roman"/>
          <w:sz w:val="24"/>
          <w:lang w:val="sr-Latn-BA"/>
        </w:rPr>
        <w:t>Izdavanje</w:t>
      </w:r>
      <w:r w:rsidR="000255CC" w:rsidRPr="001B53A8">
        <w:rPr>
          <w:rFonts w:ascii="Times New Roman" w:hAnsi="Times New Roman"/>
          <w:sz w:val="24"/>
          <w:lang w:val="sr-Latn-BA"/>
        </w:rPr>
        <w:t xml:space="preserve"> </w:t>
      </w:r>
      <w:r w:rsidRPr="001B53A8">
        <w:rPr>
          <w:rFonts w:ascii="Times New Roman" w:hAnsi="Times New Roman"/>
          <w:sz w:val="24"/>
          <w:lang w:val="sr-Latn-BA"/>
        </w:rPr>
        <w:t>dozvola</w:t>
      </w:r>
      <w:r w:rsidR="000255CC" w:rsidRPr="001B53A8">
        <w:rPr>
          <w:rFonts w:ascii="Times New Roman" w:hAnsi="Times New Roman"/>
          <w:sz w:val="24"/>
          <w:lang w:val="sr-Latn-BA"/>
        </w:rPr>
        <w:t xml:space="preserve"> </w:t>
      </w:r>
      <w:r w:rsidRPr="001B53A8">
        <w:rPr>
          <w:rFonts w:ascii="Times New Roman" w:hAnsi="Times New Roman"/>
          <w:sz w:val="24"/>
          <w:lang w:val="sr-Latn-BA"/>
        </w:rPr>
        <w:t>i</w:t>
      </w:r>
      <w:r w:rsidR="000255CC" w:rsidRPr="001B53A8">
        <w:rPr>
          <w:rFonts w:ascii="Times New Roman" w:hAnsi="Times New Roman"/>
          <w:sz w:val="24"/>
          <w:lang w:val="sr-Latn-BA"/>
        </w:rPr>
        <w:t xml:space="preserve"> </w:t>
      </w:r>
      <w:r w:rsidRPr="001B53A8">
        <w:rPr>
          <w:rFonts w:ascii="Times New Roman" w:hAnsi="Times New Roman"/>
          <w:sz w:val="24"/>
          <w:lang w:val="sr-Latn-BA"/>
        </w:rPr>
        <w:t>saglasnosti</w:t>
      </w:r>
      <w:r w:rsidR="000255CC" w:rsidRPr="001B53A8">
        <w:rPr>
          <w:rFonts w:ascii="Times New Roman" w:hAnsi="Times New Roman"/>
          <w:sz w:val="24"/>
          <w:lang w:val="sr-Latn-BA"/>
        </w:rPr>
        <w:t xml:space="preserve"> </w:t>
      </w:r>
      <w:r w:rsidRPr="001B53A8">
        <w:rPr>
          <w:rFonts w:ascii="Times New Roman" w:hAnsi="Times New Roman"/>
          <w:sz w:val="24"/>
          <w:lang w:val="sr-Latn-BA"/>
        </w:rPr>
        <w:t>učesnicima</w:t>
      </w:r>
      <w:r w:rsidR="000255CC" w:rsidRPr="001B53A8">
        <w:rPr>
          <w:rFonts w:ascii="Times New Roman" w:hAnsi="Times New Roman"/>
          <w:sz w:val="24"/>
          <w:lang w:val="sr-Latn-BA"/>
        </w:rPr>
        <w:t xml:space="preserve"> </w:t>
      </w:r>
      <w:r w:rsidRPr="001B53A8">
        <w:rPr>
          <w:rFonts w:ascii="Times New Roman" w:hAnsi="Times New Roman"/>
          <w:sz w:val="24"/>
          <w:lang w:val="sr-Latn-BA"/>
        </w:rPr>
        <w:t>na</w:t>
      </w:r>
      <w:r w:rsidR="000255CC" w:rsidRPr="001B53A8">
        <w:rPr>
          <w:rFonts w:ascii="Times New Roman" w:hAnsi="Times New Roman"/>
          <w:sz w:val="24"/>
          <w:lang w:val="sr-Latn-BA"/>
        </w:rPr>
        <w:t xml:space="preserve"> </w:t>
      </w:r>
      <w:r w:rsidRPr="001B53A8">
        <w:rPr>
          <w:rFonts w:ascii="Times New Roman" w:hAnsi="Times New Roman"/>
          <w:sz w:val="24"/>
          <w:lang w:val="sr-Latn-BA"/>
        </w:rPr>
        <w:t>tržištu</w:t>
      </w:r>
      <w:r w:rsidR="000255CC" w:rsidRPr="001B53A8">
        <w:rPr>
          <w:rFonts w:ascii="Times New Roman" w:hAnsi="Times New Roman"/>
          <w:sz w:val="24"/>
          <w:lang w:val="sr-Latn-BA"/>
        </w:rPr>
        <w:t xml:space="preserve"> </w:t>
      </w:r>
      <w:r w:rsidRPr="001B53A8">
        <w:rPr>
          <w:rFonts w:ascii="Times New Roman" w:hAnsi="Times New Roman"/>
          <w:sz w:val="24"/>
          <w:lang w:val="sr-Latn-BA"/>
        </w:rPr>
        <w:t>u</w:t>
      </w:r>
      <w:r w:rsidR="00E735DE" w:rsidRPr="001B53A8">
        <w:rPr>
          <w:rFonts w:ascii="Times New Roman" w:hAnsi="Times New Roman"/>
          <w:sz w:val="24"/>
          <w:lang w:val="sr-Latn-BA"/>
        </w:rPr>
        <w:t xml:space="preserve"> </w:t>
      </w:r>
      <w:r w:rsidRPr="001B53A8">
        <w:rPr>
          <w:rFonts w:ascii="Times New Roman" w:hAnsi="Times New Roman"/>
          <w:sz w:val="24"/>
          <w:lang w:val="sr-Latn-BA"/>
        </w:rPr>
        <w:t>skladu</w:t>
      </w:r>
      <w:r w:rsidR="00E735DE" w:rsidRPr="001B53A8">
        <w:rPr>
          <w:rFonts w:ascii="Times New Roman" w:hAnsi="Times New Roman"/>
          <w:sz w:val="24"/>
          <w:lang w:val="sr-Latn-BA"/>
        </w:rPr>
        <w:t xml:space="preserve"> </w:t>
      </w:r>
      <w:r w:rsidRPr="001B53A8">
        <w:rPr>
          <w:rFonts w:ascii="Times New Roman" w:hAnsi="Times New Roman"/>
          <w:sz w:val="24"/>
          <w:lang w:val="sr-Latn-BA"/>
        </w:rPr>
        <w:t>sa</w:t>
      </w:r>
      <w:r w:rsidR="00E735DE" w:rsidRPr="001B53A8">
        <w:rPr>
          <w:rFonts w:ascii="Times New Roman" w:hAnsi="Times New Roman"/>
          <w:sz w:val="24"/>
          <w:lang w:val="sr-Latn-BA"/>
        </w:rPr>
        <w:t xml:space="preserve"> </w:t>
      </w:r>
      <w:r w:rsidRPr="001B53A8">
        <w:rPr>
          <w:rFonts w:ascii="Times New Roman" w:hAnsi="Times New Roman"/>
          <w:sz w:val="24"/>
          <w:lang w:val="sr-Latn-BA"/>
        </w:rPr>
        <w:t>Zakonom</w:t>
      </w:r>
      <w:r w:rsidR="000255CC" w:rsidRPr="001B53A8">
        <w:rPr>
          <w:rFonts w:ascii="Times New Roman" w:hAnsi="Times New Roman"/>
          <w:sz w:val="24"/>
          <w:lang w:val="sr-Latn-BA"/>
        </w:rPr>
        <w:t xml:space="preserve"> </w:t>
      </w:r>
      <w:r w:rsidRPr="001B53A8">
        <w:rPr>
          <w:rFonts w:ascii="Times New Roman" w:hAnsi="Times New Roman"/>
          <w:sz w:val="24"/>
          <w:lang w:val="sr-Latn-BA"/>
        </w:rPr>
        <w:t>o</w:t>
      </w:r>
      <w:r w:rsidR="000255CC" w:rsidRPr="001B53A8">
        <w:rPr>
          <w:rFonts w:ascii="Times New Roman" w:hAnsi="Times New Roman"/>
          <w:sz w:val="24"/>
          <w:lang w:val="sr-Latn-BA"/>
        </w:rPr>
        <w:t xml:space="preserve"> </w:t>
      </w:r>
      <w:r w:rsidRPr="001B53A8">
        <w:rPr>
          <w:rFonts w:ascii="Times New Roman" w:hAnsi="Times New Roman"/>
          <w:sz w:val="24"/>
          <w:lang w:val="sr-Latn-BA"/>
        </w:rPr>
        <w:t>tržištu</w:t>
      </w:r>
      <w:r w:rsidR="000255CC" w:rsidRPr="001B53A8">
        <w:rPr>
          <w:rFonts w:ascii="Times New Roman" w:hAnsi="Times New Roman"/>
          <w:sz w:val="24"/>
          <w:lang w:val="sr-Latn-BA"/>
        </w:rPr>
        <w:t xml:space="preserve"> </w:t>
      </w:r>
      <w:r w:rsidRPr="001B53A8">
        <w:rPr>
          <w:rFonts w:ascii="Times New Roman" w:hAnsi="Times New Roman"/>
          <w:sz w:val="24"/>
          <w:lang w:val="sr-Latn-BA"/>
        </w:rPr>
        <w:t>hartija</w:t>
      </w:r>
      <w:r w:rsidR="000255CC" w:rsidRPr="001B53A8">
        <w:rPr>
          <w:rFonts w:ascii="Times New Roman" w:hAnsi="Times New Roman"/>
          <w:sz w:val="24"/>
          <w:lang w:val="sr-Latn-BA"/>
        </w:rPr>
        <w:t xml:space="preserve"> </w:t>
      </w:r>
      <w:r w:rsidRPr="001B53A8">
        <w:rPr>
          <w:rFonts w:ascii="Times New Roman" w:hAnsi="Times New Roman"/>
          <w:sz w:val="24"/>
          <w:lang w:val="sr-Latn-BA"/>
        </w:rPr>
        <w:t>od</w:t>
      </w:r>
      <w:r w:rsidR="000255CC" w:rsidRPr="001B53A8">
        <w:rPr>
          <w:rFonts w:ascii="Times New Roman" w:hAnsi="Times New Roman"/>
          <w:sz w:val="24"/>
          <w:lang w:val="sr-Latn-BA"/>
        </w:rPr>
        <w:t xml:space="preserve"> </w:t>
      </w:r>
      <w:r w:rsidRPr="001B53A8">
        <w:rPr>
          <w:rFonts w:ascii="Times New Roman" w:hAnsi="Times New Roman"/>
          <w:sz w:val="24"/>
          <w:lang w:val="sr-Latn-BA"/>
        </w:rPr>
        <w:t>vrijednosti</w:t>
      </w:r>
      <w:bookmarkEnd w:id="65"/>
    </w:p>
    <w:p w14:paraId="0C99C626" w14:textId="38E80ADD" w:rsidR="000255CC" w:rsidRPr="001B53A8" w:rsidRDefault="00003F34" w:rsidP="006B6E0C">
      <w:pPr>
        <w:spacing w:after="0" w:line="240" w:lineRule="auto"/>
        <w:ind w:firstLine="567"/>
        <w:rPr>
          <w:rFonts w:eastAsia="Times New Roman"/>
          <w:lang w:val="sr-Latn-BA" w:eastAsia="sr-Latn-CS"/>
        </w:rPr>
      </w:pPr>
      <w:r w:rsidRPr="001B53A8">
        <w:rPr>
          <w:lang w:val="sr-Latn-BA"/>
        </w:rPr>
        <w:t>U</w:t>
      </w:r>
      <w:r w:rsidR="000255CC" w:rsidRPr="001B53A8">
        <w:rPr>
          <w:lang w:val="sr-Latn-BA"/>
        </w:rPr>
        <w:t xml:space="preserve"> </w:t>
      </w:r>
      <w:r w:rsidRPr="001B53A8">
        <w:rPr>
          <w:lang w:val="sr-Latn-BA"/>
        </w:rPr>
        <w:t>skladu</w:t>
      </w:r>
      <w:r w:rsidR="000255CC" w:rsidRPr="001B53A8">
        <w:rPr>
          <w:lang w:val="sr-Latn-BA"/>
        </w:rPr>
        <w:t xml:space="preserve"> </w:t>
      </w:r>
      <w:r w:rsidRPr="001B53A8">
        <w:rPr>
          <w:lang w:val="sr-Latn-BA"/>
        </w:rPr>
        <w:t>sa</w:t>
      </w:r>
      <w:r w:rsidR="000255CC" w:rsidRPr="001B53A8">
        <w:rPr>
          <w:lang w:val="sr-Latn-BA"/>
        </w:rPr>
        <w:t xml:space="preserve"> </w:t>
      </w:r>
      <w:r w:rsidRPr="001B53A8">
        <w:rPr>
          <w:lang w:val="sr-Latn-BA"/>
        </w:rPr>
        <w:t>Zakonom</w:t>
      </w:r>
      <w:r w:rsidR="000255CC" w:rsidRPr="001B53A8">
        <w:rPr>
          <w:lang w:val="sr-Latn-BA"/>
        </w:rPr>
        <w:t xml:space="preserve"> </w:t>
      </w:r>
      <w:r w:rsidRPr="001B53A8">
        <w:rPr>
          <w:lang w:val="sr-Latn-BA"/>
        </w:rPr>
        <w:t>o</w:t>
      </w:r>
      <w:r w:rsidR="000255CC" w:rsidRPr="001B53A8">
        <w:rPr>
          <w:lang w:val="sr-Latn-BA"/>
        </w:rPr>
        <w:t xml:space="preserve"> </w:t>
      </w:r>
      <w:r w:rsidRPr="001B53A8">
        <w:rPr>
          <w:lang w:val="sr-Latn-BA"/>
        </w:rPr>
        <w:t>tržištu</w:t>
      </w:r>
      <w:r w:rsidR="000255CC" w:rsidRPr="001B53A8">
        <w:rPr>
          <w:lang w:val="sr-Latn-BA"/>
        </w:rPr>
        <w:t xml:space="preserve"> </w:t>
      </w:r>
      <w:r w:rsidRPr="001B53A8">
        <w:rPr>
          <w:lang w:val="sr-Latn-BA"/>
        </w:rPr>
        <w:t>hartija</w:t>
      </w:r>
      <w:r w:rsidR="000255CC" w:rsidRPr="001B53A8">
        <w:rPr>
          <w:lang w:val="sr-Latn-BA"/>
        </w:rPr>
        <w:t xml:space="preserve"> </w:t>
      </w:r>
      <w:r w:rsidRPr="001B53A8">
        <w:rPr>
          <w:lang w:val="sr-Latn-BA"/>
        </w:rPr>
        <w:t>od</w:t>
      </w:r>
      <w:r w:rsidR="000255CC" w:rsidRPr="001B53A8">
        <w:rPr>
          <w:lang w:val="sr-Latn-BA"/>
        </w:rPr>
        <w:t xml:space="preserve"> </w:t>
      </w:r>
      <w:r w:rsidRPr="001B53A8">
        <w:rPr>
          <w:lang w:val="sr-Latn-BA"/>
        </w:rPr>
        <w:t>vrijednosti</w:t>
      </w:r>
      <w:r w:rsidR="000255CC" w:rsidRPr="001B53A8">
        <w:rPr>
          <w:lang w:val="sr-Latn-BA"/>
        </w:rPr>
        <w:t xml:space="preserve">, </w:t>
      </w:r>
      <w:r w:rsidRPr="001B53A8">
        <w:rPr>
          <w:lang w:val="sr-Latn-BA"/>
        </w:rPr>
        <w:t>Komisija</w:t>
      </w:r>
      <w:r w:rsidR="000255CC" w:rsidRPr="001B53A8">
        <w:rPr>
          <w:lang w:val="sr-Latn-BA"/>
        </w:rPr>
        <w:t xml:space="preserve"> </w:t>
      </w:r>
      <w:r w:rsidRPr="001B53A8">
        <w:rPr>
          <w:lang w:val="sr-Latn-BA"/>
        </w:rPr>
        <w:t>za</w:t>
      </w:r>
      <w:r w:rsidR="000255CC" w:rsidRPr="001B53A8">
        <w:rPr>
          <w:lang w:val="sr-Latn-BA"/>
        </w:rPr>
        <w:t xml:space="preserve"> </w:t>
      </w:r>
      <w:r w:rsidRPr="001B53A8">
        <w:rPr>
          <w:lang w:val="sr-Latn-BA"/>
        </w:rPr>
        <w:t>hartije</w:t>
      </w:r>
      <w:r w:rsidR="000255CC" w:rsidRPr="001B53A8">
        <w:rPr>
          <w:lang w:val="sr-Latn-BA"/>
        </w:rPr>
        <w:t xml:space="preserve"> </w:t>
      </w:r>
      <w:r w:rsidRPr="001B53A8">
        <w:rPr>
          <w:lang w:val="sr-Latn-BA"/>
        </w:rPr>
        <w:t>od</w:t>
      </w:r>
      <w:r w:rsidR="000255CC" w:rsidRPr="001B53A8">
        <w:rPr>
          <w:lang w:val="sr-Latn-BA"/>
        </w:rPr>
        <w:t xml:space="preserve"> </w:t>
      </w:r>
      <w:r w:rsidRPr="001B53A8">
        <w:rPr>
          <w:lang w:val="sr-Latn-BA"/>
        </w:rPr>
        <w:t>vrijednosti</w:t>
      </w:r>
      <w:r w:rsidR="000255CC" w:rsidRPr="001B53A8">
        <w:rPr>
          <w:lang w:val="sr-Latn-BA"/>
        </w:rPr>
        <w:t xml:space="preserve"> </w:t>
      </w:r>
      <w:r w:rsidRPr="001B53A8">
        <w:rPr>
          <w:lang w:val="sr-Latn-BA"/>
        </w:rPr>
        <w:t>je</w:t>
      </w:r>
      <w:r w:rsidR="000255CC" w:rsidRPr="001B53A8">
        <w:rPr>
          <w:lang w:val="sr-Latn-BA"/>
        </w:rPr>
        <w:t xml:space="preserve"> </w:t>
      </w:r>
      <w:r w:rsidRPr="001B53A8">
        <w:rPr>
          <w:lang w:val="sr-Latn-BA"/>
        </w:rPr>
        <w:t>nadležna</w:t>
      </w:r>
      <w:r w:rsidR="000255CC" w:rsidRPr="001B53A8">
        <w:rPr>
          <w:lang w:val="sr-Latn-BA"/>
        </w:rPr>
        <w:t xml:space="preserve"> </w:t>
      </w:r>
      <w:r w:rsidRPr="001B53A8">
        <w:rPr>
          <w:lang w:val="sr-Latn-BA"/>
        </w:rPr>
        <w:t>da</w:t>
      </w:r>
      <w:r w:rsidR="000255CC" w:rsidRPr="001B53A8">
        <w:rPr>
          <w:lang w:val="sr-Latn-BA"/>
        </w:rPr>
        <w:t xml:space="preserve"> </w:t>
      </w:r>
      <w:r w:rsidRPr="001B53A8">
        <w:rPr>
          <w:lang w:val="sr-Latn-BA"/>
        </w:rPr>
        <w:t>daje</w:t>
      </w:r>
      <w:r w:rsidR="000255CC" w:rsidRPr="001B53A8">
        <w:rPr>
          <w:lang w:val="sr-Latn-BA"/>
        </w:rPr>
        <w:t xml:space="preserve"> </w:t>
      </w:r>
      <w:r w:rsidRPr="001B53A8">
        <w:rPr>
          <w:lang w:val="sr-Latn-BA"/>
        </w:rPr>
        <w:t>dozvole</w:t>
      </w:r>
      <w:r w:rsidR="000255CC" w:rsidRPr="001B53A8">
        <w:rPr>
          <w:lang w:val="sr-Latn-BA"/>
        </w:rPr>
        <w:t xml:space="preserve"> </w:t>
      </w:r>
      <w:r w:rsidRPr="001B53A8">
        <w:rPr>
          <w:lang w:val="sr-Latn-BA"/>
        </w:rPr>
        <w:t>za</w:t>
      </w:r>
      <w:r w:rsidR="000255CC" w:rsidRPr="001B53A8">
        <w:rPr>
          <w:lang w:val="sr-Latn-BA"/>
        </w:rPr>
        <w:t xml:space="preserve"> </w:t>
      </w:r>
      <w:r w:rsidRPr="001B53A8">
        <w:rPr>
          <w:lang w:val="sr-Latn-BA"/>
        </w:rPr>
        <w:t>rad</w:t>
      </w:r>
      <w:r w:rsidR="000255CC" w:rsidRPr="001B53A8">
        <w:rPr>
          <w:lang w:val="sr-Latn-BA"/>
        </w:rPr>
        <w:t xml:space="preserve">, </w:t>
      </w:r>
      <w:r w:rsidRPr="001B53A8">
        <w:rPr>
          <w:lang w:val="sr-Latn-BA"/>
        </w:rPr>
        <w:t>odnosno</w:t>
      </w:r>
      <w:r w:rsidR="000255CC" w:rsidRPr="001B53A8">
        <w:rPr>
          <w:lang w:val="sr-Latn-BA"/>
        </w:rPr>
        <w:t xml:space="preserve"> </w:t>
      </w:r>
      <w:r w:rsidRPr="001B53A8">
        <w:rPr>
          <w:lang w:val="sr-Latn-BA"/>
        </w:rPr>
        <w:t>poslovanje</w:t>
      </w:r>
      <w:r w:rsidR="000255CC" w:rsidRPr="001B53A8">
        <w:rPr>
          <w:lang w:val="sr-Latn-BA"/>
        </w:rPr>
        <w:t xml:space="preserve"> (</w:t>
      </w:r>
      <w:r w:rsidRPr="001B53A8">
        <w:rPr>
          <w:lang w:val="sr-Latn-BA"/>
        </w:rPr>
        <w:t>u</w:t>
      </w:r>
      <w:r w:rsidR="000255CC" w:rsidRPr="001B53A8">
        <w:rPr>
          <w:lang w:val="sr-Latn-BA"/>
        </w:rPr>
        <w:t xml:space="preserve"> </w:t>
      </w:r>
      <w:r w:rsidRPr="001B53A8">
        <w:rPr>
          <w:lang w:val="sr-Latn-BA"/>
        </w:rPr>
        <w:t>sklopu</w:t>
      </w:r>
      <w:r w:rsidR="000255CC" w:rsidRPr="001B53A8">
        <w:rPr>
          <w:lang w:val="sr-Latn-BA"/>
        </w:rPr>
        <w:t xml:space="preserve"> </w:t>
      </w:r>
      <w:r w:rsidRPr="001B53A8">
        <w:rPr>
          <w:lang w:val="sr-Latn-BA"/>
        </w:rPr>
        <w:t>kojih</w:t>
      </w:r>
      <w:r w:rsidR="000255CC" w:rsidRPr="001B53A8">
        <w:rPr>
          <w:lang w:val="sr-Latn-BA"/>
        </w:rPr>
        <w:t xml:space="preserve"> </w:t>
      </w:r>
      <w:r w:rsidRPr="001B53A8">
        <w:rPr>
          <w:lang w:val="sr-Latn-BA"/>
        </w:rPr>
        <w:t>se</w:t>
      </w:r>
      <w:r w:rsidR="000255CC" w:rsidRPr="001B53A8">
        <w:rPr>
          <w:lang w:val="sr-Latn-BA"/>
        </w:rPr>
        <w:t xml:space="preserve"> </w:t>
      </w:r>
      <w:r w:rsidRPr="001B53A8">
        <w:rPr>
          <w:lang w:val="sr-Latn-BA"/>
        </w:rPr>
        <w:t>izdaju</w:t>
      </w:r>
      <w:r w:rsidR="000255CC" w:rsidRPr="001B53A8">
        <w:rPr>
          <w:lang w:val="sr-Latn-BA"/>
        </w:rPr>
        <w:t xml:space="preserve"> </w:t>
      </w:r>
      <w:r w:rsidRPr="001B53A8">
        <w:rPr>
          <w:lang w:val="sr-Latn-BA"/>
        </w:rPr>
        <w:t>i</w:t>
      </w:r>
      <w:r w:rsidR="000255CC" w:rsidRPr="001B53A8">
        <w:rPr>
          <w:lang w:val="sr-Latn-BA"/>
        </w:rPr>
        <w:t xml:space="preserve"> </w:t>
      </w:r>
      <w:r w:rsidRPr="001B53A8">
        <w:rPr>
          <w:lang w:val="sr-Latn-BA"/>
        </w:rPr>
        <w:t>saglasnosti</w:t>
      </w:r>
      <w:r w:rsidR="000255CC" w:rsidRPr="001B53A8">
        <w:rPr>
          <w:lang w:val="sr-Latn-BA"/>
        </w:rPr>
        <w:t xml:space="preserve"> </w:t>
      </w:r>
      <w:r w:rsidRPr="001B53A8">
        <w:rPr>
          <w:lang w:val="sr-Latn-BA"/>
        </w:rPr>
        <w:t>na</w:t>
      </w:r>
      <w:r w:rsidR="000255CC" w:rsidRPr="001B53A8">
        <w:rPr>
          <w:lang w:val="sr-Latn-BA"/>
        </w:rPr>
        <w:t xml:space="preserve"> </w:t>
      </w:r>
      <w:r w:rsidRPr="001B53A8">
        <w:rPr>
          <w:lang w:val="sr-Latn-BA"/>
        </w:rPr>
        <w:t>opšta</w:t>
      </w:r>
      <w:r w:rsidR="000255CC" w:rsidRPr="001B53A8">
        <w:rPr>
          <w:lang w:val="sr-Latn-BA"/>
        </w:rPr>
        <w:t xml:space="preserve"> </w:t>
      </w:r>
      <w:r w:rsidRPr="001B53A8">
        <w:rPr>
          <w:lang w:val="sr-Latn-BA"/>
        </w:rPr>
        <w:t>akta</w:t>
      </w:r>
      <w:r w:rsidR="000255CC" w:rsidRPr="001B53A8">
        <w:rPr>
          <w:lang w:val="sr-Latn-BA"/>
        </w:rPr>
        <w:t xml:space="preserve">, </w:t>
      </w:r>
      <w:r w:rsidRPr="001B53A8">
        <w:rPr>
          <w:lang w:val="sr-Latn-BA"/>
        </w:rPr>
        <w:t>te</w:t>
      </w:r>
      <w:r w:rsidR="000255CC" w:rsidRPr="001B53A8">
        <w:rPr>
          <w:lang w:val="sr-Latn-BA"/>
        </w:rPr>
        <w:t xml:space="preserve"> </w:t>
      </w:r>
      <w:r w:rsidRPr="001B53A8">
        <w:rPr>
          <w:lang w:val="sr-Latn-BA"/>
        </w:rPr>
        <w:t>izmjene</w:t>
      </w:r>
      <w:r w:rsidR="000255CC" w:rsidRPr="001B53A8">
        <w:rPr>
          <w:lang w:val="sr-Latn-BA"/>
        </w:rPr>
        <w:t xml:space="preserve"> </w:t>
      </w:r>
      <w:r w:rsidRPr="001B53A8">
        <w:rPr>
          <w:lang w:val="sr-Latn-BA"/>
        </w:rPr>
        <w:t>i</w:t>
      </w:r>
      <w:r w:rsidR="000255CC" w:rsidRPr="001B53A8">
        <w:rPr>
          <w:lang w:val="sr-Latn-BA"/>
        </w:rPr>
        <w:t xml:space="preserve"> </w:t>
      </w:r>
      <w:r w:rsidRPr="001B53A8">
        <w:rPr>
          <w:lang w:val="sr-Latn-BA"/>
        </w:rPr>
        <w:t>dopune</w:t>
      </w:r>
      <w:r w:rsidR="000255CC" w:rsidRPr="001B53A8">
        <w:rPr>
          <w:lang w:val="sr-Latn-BA"/>
        </w:rPr>
        <w:t xml:space="preserve"> </w:t>
      </w:r>
      <w:r w:rsidRPr="001B53A8">
        <w:rPr>
          <w:lang w:val="sr-Latn-BA"/>
        </w:rPr>
        <w:t>istih</w:t>
      </w:r>
      <w:r w:rsidR="000255CC" w:rsidRPr="001B53A8">
        <w:rPr>
          <w:lang w:val="sr-Latn-BA"/>
        </w:rPr>
        <w:t>)</w:t>
      </w:r>
      <w:r w:rsidR="008F6836" w:rsidRPr="001B53A8">
        <w:rPr>
          <w:lang w:val="sr-Latn-BA"/>
        </w:rPr>
        <w:t>:</w:t>
      </w:r>
      <w:r w:rsidR="000255CC" w:rsidRPr="001B53A8">
        <w:rPr>
          <w:lang w:val="sr-Latn-BA"/>
        </w:rPr>
        <w:t xml:space="preserve"> </w:t>
      </w:r>
      <w:r w:rsidRPr="001B53A8">
        <w:rPr>
          <w:lang w:val="sr-Latn-BA"/>
        </w:rPr>
        <w:t>berzanskim</w:t>
      </w:r>
      <w:r w:rsidR="000255CC" w:rsidRPr="001B53A8">
        <w:rPr>
          <w:lang w:val="sr-Latn-BA"/>
        </w:rPr>
        <w:t xml:space="preserve"> </w:t>
      </w:r>
      <w:r w:rsidRPr="001B53A8">
        <w:rPr>
          <w:lang w:val="sr-Latn-BA"/>
        </w:rPr>
        <w:t>posrednicima</w:t>
      </w:r>
      <w:r w:rsidR="000255CC" w:rsidRPr="001B53A8">
        <w:rPr>
          <w:lang w:val="sr-Latn-BA"/>
        </w:rPr>
        <w:t>,</w:t>
      </w:r>
      <w:r w:rsidR="008F6836" w:rsidRPr="001B53A8">
        <w:rPr>
          <w:lang w:val="sr-Latn-BA"/>
        </w:rPr>
        <w:t xml:space="preserve"> </w:t>
      </w:r>
      <w:r w:rsidRPr="001B53A8">
        <w:rPr>
          <w:lang w:val="sr-Latn-BA"/>
        </w:rPr>
        <w:t>bankama</w:t>
      </w:r>
      <w:r w:rsidR="000255CC" w:rsidRPr="001B53A8">
        <w:rPr>
          <w:lang w:val="sr-Latn-BA"/>
        </w:rPr>
        <w:t xml:space="preserve"> </w:t>
      </w:r>
      <w:r w:rsidRPr="001B53A8">
        <w:rPr>
          <w:lang w:val="sr-Latn-BA"/>
        </w:rPr>
        <w:t>za</w:t>
      </w:r>
      <w:r w:rsidR="000255CC" w:rsidRPr="001B53A8">
        <w:rPr>
          <w:lang w:val="sr-Latn-BA"/>
        </w:rPr>
        <w:t xml:space="preserve"> </w:t>
      </w:r>
      <w:r w:rsidRPr="001B53A8">
        <w:rPr>
          <w:lang w:val="sr-Latn-BA"/>
        </w:rPr>
        <w:t>obavlјanje</w:t>
      </w:r>
      <w:r w:rsidR="000255CC" w:rsidRPr="001B53A8">
        <w:rPr>
          <w:lang w:val="sr-Latn-BA"/>
        </w:rPr>
        <w:t xml:space="preserve"> </w:t>
      </w:r>
      <w:r w:rsidRPr="001B53A8">
        <w:rPr>
          <w:lang w:val="sr-Latn-BA"/>
        </w:rPr>
        <w:t>kastodi</w:t>
      </w:r>
      <w:r w:rsidR="000255CC" w:rsidRPr="001B53A8">
        <w:rPr>
          <w:lang w:val="sr-Latn-BA"/>
        </w:rPr>
        <w:t xml:space="preserve"> </w:t>
      </w:r>
      <w:r w:rsidRPr="001B53A8">
        <w:rPr>
          <w:lang w:val="sr-Latn-BA"/>
        </w:rPr>
        <w:t>poslova</w:t>
      </w:r>
      <w:r w:rsidR="000255CC" w:rsidRPr="001B53A8">
        <w:rPr>
          <w:lang w:val="sr-Latn-BA"/>
        </w:rPr>
        <w:t>,</w:t>
      </w:r>
      <w:r w:rsidR="008F6836" w:rsidRPr="001B53A8">
        <w:rPr>
          <w:lang w:val="sr-Latn-BA"/>
        </w:rPr>
        <w:t xml:space="preserve"> </w:t>
      </w:r>
      <w:r w:rsidRPr="001B53A8">
        <w:rPr>
          <w:lang w:val="sr-Latn-BA"/>
        </w:rPr>
        <w:t>berzi</w:t>
      </w:r>
      <w:r w:rsidR="000255CC" w:rsidRPr="001B53A8">
        <w:rPr>
          <w:lang w:val="sr-Latn-BA"/>
        </w:rPr>
        <w:t xml:space="preserve"> </w:t>
      </w:r>
      <w:r w:rsidRPr="001B53A8">
        <w:rPr>
          <w:lang w:val="sr-Latn-BA"/>
        </w:rPr>
        <w:t>i</w:t>
      </w:r>
      <w:r w:rsidR="000255CC" w:rsidRPr="001B53A8">
        <w:rPr>
          <w:lang w:val="sr-Latn-BA"/>
        </w:rPr>
        <w:t xml:space="preserve"> </w:t>
      </w:r>
      <w:r w:rsidRPr="001B53A8">
        <w:rPr>
          <w:lang w:val="sr-Latn-BA"/>
        </w:rPr>
        <w:t>drugom</w:t>
      </w:r>
      <w:r w:rsidR="000255CC" w:rsidRPr="001B53A8">
        <w:rPr>
          <w:lang w:val="sr-Latn-BA"/>
        </w:rPr>
        <w:t xml:space="preserve"> </w:t>
      </w:r>
      <w:r w:rsidRPr="001B53A8">
        <w:rPr>
          <w:lang w:val="sr-Latn-BA"/>
        </w:rPr>
        <w:t>uređenom</w:t>
      </w:r>
      <w:r w:rsidR="000255CC" w:rsidRPr="001B53A8">
        <w:rPr>
          <w:lang w:val="sr-Latn-BA"/>
        </w:rPr>
        <w:t xml:space="preserve"> </w:t>
      </w:r>
      <w:r w:rsidRPr="001B53A8">
        <w:rPr>
          <w:lang w:val="sr-Latn-BA"/>
        </w:rPr>
        <w:t>javnom</w:t>
      </w:r>
      <w:r w:rsidR="000255CC" w:rsidRPr="001B53A8">
        <w:rPr>
          <w:lang w:val="sr-Latn-BA"/>
        </w:rPr>
        <w:t xml:space="preserve"> </w:t>
      </w:r>
      <w:r w:rsidRPr="001B53A8">
        <w:rPr>
          <w:lang w:val="sr-Latn-BA"/>
        </w:rPr>
        <w:t>tržištu</w:t>
      </w:r>
      <w:r w:rsidR="000255CC" w:rsidRPr="001B53A8">
        <w:rPr>
          <w:lang w:val="sr-Latn-BA"/>
        </w:rPr>
        <w:t>,</w:t>
      </w:r>
      <w:r w:rsidR="008F6836" w:rsidRPr="001B53A8">
        <w:rPr>
          <w:lang w:val="sr-Latn-BA"/>
        </w:rPr>
        <w:t xml:space="preserve"> </w:t>
      </w:r>
      <w:r w:rsidRPr="001B53A8">
        <w:rPr>
          <w:lang w:val="sr-Latn-BA"/>
        </w:rPr>
        <w:t>Centralnom</w:t>
      </w:r>
      <w:r w:rsidR="000255CC" w:rsidRPr="001B53A8">
        <w:rPr>
          <w:lang w:val="sr-Latn-BA"/>
        </w:rPr>
        <w:t xml:space="preserve"> </w:t>
      </w:r>
      <w:r w:rsidRPr="001B53A8">
        <w:rPr>
          <w:lang w:val="sr-Latn-BA"/>
        </w:rPr>
        <w:t>registru</w:t>
      </w:r>
      <w:r w:rsidR="000255CC" w:rsidRPr="001B53A8">
        <w:rPr>
          <w:lang w:val="sr-Latn-BA"/>
        </w:rPr>
        <w:t xml:space="preserve"> </w:t>
      </w:r>
      <w:r w:rsidRPr="001B53A8">
        <w:rPr>
          <w:lang w:val="sr-Latn-BA"/>
        </w:rPr>
        <w:t>hartija</w:t>
      </w:r>
      <w:r w:rsidR="000255CC" w:rsidRPr="001B53A8">
        <w:rPr>
          <w:lang w:val="sr-Latn-BA"/>
        </w:rPr>
        <w:t xml:space="preserve"> </w:t>
      </w:r>
      <w:r w:rsidRPr="001B53A8">
        <w:rPr>
          <w:lang w:val="sr-Latn-BA"/>
        </w:rPr>
        <w:t>od</w:t>
      </w:r>
      <w:r w:rsidR="000255CC" w:rsidRPr="001B53A8">
        <w:rPr>
          <w:lang w:val="sr-Latn-BA"/>
        </w:rPr>
        <w:t xml:space="preserve"> </w:t>
      </w:r>
      <w:r w:rsidRPr="001B53A8">
        <w:rPr>
          <w:lang w:val="sr-Latn-BA"/>
        </w:rPr>
        <w:t>vrijednosti</w:t>
      </w:r>
      <w:r w:rsidR="000255CC" w:rsidRPr="001B53A8">
        <w:rPr>
          <w:lang w:val="sr-Latn-BA"/>
        </w:rPr>
        <w:t>,</w:t>
      </w:r>
      <w:r w:rsidR="008F6836" w:rsidRPr="001B53A8">
        <w:rPr>
          <w:lang w:val="sr-Latn-BA"/>
        </w:rPr>
        <w:t xml:space="preserve"> </w:t>
      </w:r>
      <w:r w:rsidRPr="001B53A8">
        <w:rPr>
          <w:lang w:val="sr-Latn-BA"/>
        </w:rPr>
        <w:t>kao</w:t>
      </w:r>
      <w:r w:rsidR="000255CC" w:rsidRPr="001B53A8">
        <w:rPr>
          <w:lang w:val="sr-Latn-BA"/>
        </w:rPr>
        <w:t xml:space="preserve"> </w:t>
      </w:r>
      <w:r w:rsidRPr="001B53A8">
        <w:rPr>
          <w:lang w:val="sr-Latn-BA"/>
        </w:rPr>
        <w:t>i</w:t>
      </w:r>
      <w:r w:rsidR="000255CC" w:rsidRPr="001B53A8">
        <w:rPr>
          <w:lang w:val="sr-Latn-BA"/>
        </w:rPr>
        <w:t xml:space="preserve"> </w:t>
      </w:r>
      <w:r w:rsidRPr="001B53A8">
        <w:rPr>
          <w:lang w:val="sr-Latn-BA"/>
        </w:rPr>
        <w:t>organima</w:t>
      </w:r>
      <w:r w:rsidR="000255CC" w:rsidRPr="001B53A8">
        <w:rPr>
          <w:lang w:val="sr-Latn-BA"/>
        </w:rPr>
        <w:t xml:space="preserve"> </w:t>
      </w:r>
      <w:r w:rsidRPr="001B53A8">
        <w:rPr>
          <w:lang w:val="sr-Latn-BA"/>
        </w:rPr>
        <w:t>tih</w:t>
      </w:r>
      <w:r w:rsidR="000255CC" w:rsidRPr="001B53A8">
        <w:rPr>
          <w:lang w:val="sr-Latn-BA"/>
        </w:rPr>
        <w:t xml:space="preserve"> </w:t>
      </w:r>
      <w:r w:rsidRPr="001B53A8">
        <w:rPr>
          <w:lang w:val="sr-Latn-BA"/>
        </w:rPr>
        <w:t>društava</w:t>
      </w:r>
      <w:r w:rsidR="000255CC" w:rsidRPr="001B53A8">
        <w:rPr>
          <w:lang w:val="sr-Latn-BA"/>
        </w:rPr>
        <w:t xml:space="preserve"> (</w:t>
      </w:r>
      <w:r w:rsidRPr="001B53A8">
        <w:rPr>
          <w:lang w:val="sr-Latn-BA"/>
        </w:rPr>
        <w:t>direktoru</w:t>
      </w:r>
      <w:r w:rsidR="000255CC" w:rsidRPr="001B53A8">
        <w:rPr>
          <w:lang w:val="sr-Latn-BA"/>
        </w:rPr>
        <w:t xml:space="preserve">, </w:t>
      </w:r>
      <w:r w:rsidRPr="001B53A8">
        <w:rPr>
          <w:lang w:val="sr-Latn-BA"/>
        </w:rPr>
        <w:t>članovima</w:t>
      </w:r>
      <w:r w:rsidR="000255CC" w:rsidRPr="001B53A8">
        <w:rPr>
          <w:lang w:val="sr-Latn-BA"/>
        </w:rPr>
        <w:t xml:space="preserve"> </w:t>
      </w:r>
      <w:r w:rsidRPr="001B53A8">
        <w:rPr>
          <w:lang w:val="sr-Latn-BA"/>
        </w:rPr>
        <w:t>upravnog</w:t>
      </w:r>
      <w:r w:rsidR="000255CC" w:rsidRPr="001B53A8">
        <w:rPr>
          <w:lang w:val="sr-Latn-BA"/>
        </w:rPr>
        <w:t xml:space="preserve"> </w:t>
      </w:r>
      <w:r w:rsidRPr="001B53A8">
        <w:rPr>
          <w:lang w:val="sr-Latn-BA"/>
        </w:rPr>
        <w:t>odbora</w:t>
      </w:r>
      <w:r w:rsidR="000255CC" w:rsidRPr="001B53A8">
        <w:rPr>
          <w:lang w:val="sr-Latn-BA"/>
        </w:rPr>
        <w:t xml:space="preserve">, </w:t>
      </w:r>
      <w:r w:rsidRPr="001B53A8">
        <w:rPr>
          <w:lang w:val="sr-Latn-BA"/>
        </w:rPr>
        <w:t>članovima</w:t>
      </w:r>
      <w:r w:rsidR="000255CC" w:rsidRPr="001B53A8">
        <w:rPr>
          <w:lang w:val="sr-Latn-BA"/>
        </w:rPr>
        <w:t xml:space="preserve"> </w:t>
      </w:r>
      <w:r w:rsidRPr="001B53A8">
        <w:rPr>
          <w:lang w:val="sr-Latn-BA"/>
        </w:rPr>
        <w:t>nadzornog</w:t>
      </w:r>
      <w:r w:rsidR="000255CC" w:rsidRPr="001B53A8">
        <w:rPr>
          <w:lang w:val="sr-Latn-BA"/>
        </w:rPr>
        <w:t xml:space="preserve"> </w:t>
      </w:r>
      <w:r w:rsidRPr="001B53A8">
        <w:rPr>
          <w:lang w:val="sr-Latn-BA"/>
        </w:rPr>
        <w:t>odbora</w:t>
      </w:r>
      <w:r w:rsidR="000255CC" w:rsidRPr="001B53A8">
        <w:rPr>
          <w:lang w:val="sr-Latn-BA"/>
        </w:rPr>
        <w:t xml:space="preserve">), </w:t>
      </w:r>
      <w:r w:rsidRPr="001B53A8">
        <w:rPr>
          <w:lang w:val="sr-Latn-BA"/>
        </w:rPr>
        <w:t>te</w:t>
      </w:r>
      <w:r w:rsidR="008F6836" w:rsidRPr="001B53A8">
        <w:rPr>
          <w:lang w:val="sr-Latn-BA"/>
        </w:rPr>
        <w:t xml:space="preserve"> </w:t>
      </w:r>
      <w:r w:rsidRPr="001B53A8">
        <w:rPr>
          <w:lang w:val="sr-Latn-BA"/>
        </w:rPr>
        <w:t>fizičkim</w:t>
      </w:r>
      <w:r w:rsidR="000255CC" w:rsidRPr="001B53A8">
        <w:rPr>
          <w:lang w:val="sr-Latn-BA"/>
        </w:rPr>
        <w:t xml:space="preserve"> </w:t>
      </w:r>
      <w:r w:rsidRPr="001B53A8">
        <w:rPr>
          <w:lang w:val="sr-Latn-BA"/>
        </w:rPr>
        <w:t>licima</w:t>
      </w:r>
      <w:r w:rsidR="000255CC" w:rsidRPr="001B53A8">
        <w:rPr>
          <w:lang w:val="sr-Latn-BA"/>
        </w:rPr>
        <w:t xml:space="preserve"> </w:t>
      </w:r>
      <w:r w:rsidRPr="001B53A8">
        <w:rPr>
          <w:lang w:val="sr-Latn-BA"/>
        </w:rPr>
        <w:t>za</w:t>
      </w:r>
      <w:r w:rsidR="000255CC" w:rsidRPr="001B53A8">
        <w:rPr>
          <w:lang w:val="sr-Latn-BA"/>
        </w:rPr>
        <w:t xml:space="preserve"> </w:t>
      </w:r>
      <w:r w:rsidRPr="001B53A8">
        <w:rPr>
          <w:lang w:val="sr-Latn-BA"/>
        </w:rPr>
        <w:t>obavlјanje</w:t>
      </w:r>
      <w:r w:rsidR="000255CC" w:rsidRPr="001B53A8">
        <w:rPr>
          <w:lang w:val="sr-Latn-BA"/>
        </w:rPr>
        <w:t xml:space="preserve"> </w:t>
      </w:r>
      <w:r w:rsidRPr="001B53A8">
        <w:rPr>
          <w:lang w:val="sr-Latn-BA"/>
        </w:rPr>
        <w:t>poslova</w:t>
      </w:r>
      <w:r w:rsidR="000255CC" w:rsidRPr="001B53A8">
        <w:rPr>
          <w:lang w:val="sr-Latn-BA"/>
        </w:rPr>
        <w:t xml:space="preserve"> </w:t>
      </w:r>
      <w:r w:rsidRPr="001B53A8">
        <w:rPr>
          <w:lang w:val="sr-Latn-BA"/>
        </w:rPr>
        <w:t>sa</w:t>
      </w:r>
      <w:r w:rsidR="000255CC" w:rsidRPr="001B53A8">
        <w:rPr>
          <w:lang w:val="sr-Latn-BA"/>
        </w:rPr>
        <w:t xml:space="preserve"> </w:t>
      </w:r>
      <w:r w:rsidRPr="001B53A8">
        <w:rPr>
          <w:lang w:val="sr-Latn-BA"/>
        </w:rPr>
        <w:t>hartijama</w:t>
      </w:r>
      <w:r w:rsidR="000255CC" w:rsidRPr="001B53A8">
        <w:rPr>
          <w:lang w:val="sr-Latn-BA"/>
        </w:rPr>
        <w:t xml:space="preserve"> </w:t>
      </w:r>
      <w:r w:rsidRPr="001B53A8">
        <w:rPr>
          <w:lang w:val="sr-Latn-BA"/>
        </w:rPr>
        <w:t>od</w:t>
      </w:r>
      <w:r w:rsidR="000255CC" w:rsidRPr="001B53A8">
        <w:rPr>
          <w:lang w:val="sr-Latn-BA"/>
        </w:rPr>
        <w:t xml:space="preserve"> </w:t>
      </w:r>
      <w:r w:rsidRPr="001B53A8">
        <w:rPr>
          <w:lang w:val="sr-Latn-BA"/>
        </w:rPr>
        <w:t>vrijednosti</w:t>
      </w:r>
      <w:r w:rsidR="000255CC" w:rsidRPr="001B53A8">
        <w:rPr>
          <w:lang w:val="sr-Latn-BA"/>
        </w:rPr>
        <w:t xml:space="preserve">, </w:t>
      </w:r>
      <w:r w:rsidRPr="001B53A8">
        <w:rPr>
          <w:lang w:val="sr-Latn-BA"/>
        </w:rPr>
        <w:t>kod</w:t>
      </w:r>
      <w:r w:rsidR="000255CC" w:rsidRPr="001B53A8">
        <w:rPr>
          <w:lang w:val="sr-Latn-BA"/>
        </w:rPr>
        <w:t xml:space="preserve"> </w:t>
      </w:r>
      <w:r w:rsidRPr="001B53A8">
        <w:rPr>
          <w:lang w:val="sr-Latn-BA"/>
        </w:rPr>
        <w:t>tih</w:t>
      </w:r>
      <w:r w:rsidR="008F6836" w:rsidRPr="001B53A8">
        <w:rPr>
          <w:lang w:val="sr-Latn-BA"/>
        </w:rPr>
        <w:t xml:space="preserve"> </w:t>
      </w:r>
      <w:r w:rsidRPr="001B53A8">
        <w:rPr>
          <w:lang w:val="sr-Latn-BA"/>
        </w:rPr>
        <w:t>pravnih</w:t>
      </w:r>
      <w:r w:rsidR="000255CC" w:rsidRPr="001B53A8">
        <w:rPr>
          <w:lang w:val="sr-Latn-BA"/>
        </w:rPr>
        <w:t xml:space="preserve"> </w:t>
      </w:r>
      <w:r w:rsidRPr="001B53A8">
        <w:rPr>
          <w:lang w:val="sr-Latn-BA"/>
        </w:rPr>
        <w:t>lica</w:t>
      </w:r>
      <w:r w:rsidR="000255CC" w:rsidRPr="001B53A8">
        <w:rPr>
          <w:lang w:val="sr-Latn-BA"/>
        </w:rPr>
        <w:t xml:space="preserve">, </w:t>
      </w:r>
      <w:r w:rsidRPr="001B53A8">
        <w:rPr>
          <w:lang w:val="sr-Latn-BA"/>
        </w:rPr>
        <w:t>u</w:t>
      </w:r>
      <w:r w:rsidR="000255CC" w:rsidRPr="001B53A8">
        <w:rPr>
          <w:lang w:val="sr-Latn-BA"/>
        </w:rPr>
        <w:t xml:space="preserve"> </w:t>
      </w:r>
      <w:r w:rsidRPr="001B53A8">
        <w:rPr>
          <w:lang w:val="sr-Latn-BA"/>
        </w:rPr>
        <w:t>slјedećim</w:t>
      </w:r>
      <w:r w:rsidR="000255CC" w:rsidRPr="001B53A8">
        <w:rPr>
          <w:lang w:val="sr-Latn-BA"/>
        </w:rPr>
        <w:t xml:space="preserve"> </w:t>
      </w:r>
      <w:r w:rsidRPr="001B53A8">
        <w:rPr>
          <w:lang w:val="sr-Latn-BA"/>
        </w:rPr>
        <w:t>zvanjima</w:t>
      </w:r>
      <w:r w:rsidR="000255CC" w:rsidRPr="001B53A8">
        <w:rPr>
          <w:lang w:val="sr-Latn-BA"/>
        </w:rPr>
        <w:t>:</w:t>
      </w:r>
      <w:r w:rsidR="008F6836" w:rsidRPr="001B53A8">
        <w:rPr>
          <w:lang w:val="sr-Latn-BA"/>
        </w:rPr>
        <w:t xml:space="preserve"> </w:t>
      </w:r>
      <w:r w:rsidRPr="001B53A8">
        <w:rPr>
          <w:rFonts w:eastAsia="Times New Roman"/>
          <w:lang w:val="sr-Latn-BA" w:eastAsia="sr-Latn-CS"/>
        </w:rPr>
        <w:t>broker</w:t>
      </w:r>
      <w:r w:rsidR="007B4320" w:rsidRPr="001B53A8">
        <w:rPr>
          <w:rFonts w:eastAsia="Times New Roman"/>
          <w:lang w:val="sr-Latn-BA" w:eastAsia="sr-Latn-CS"/>
        </w:rPr>
        <w:t>,</w:t>
      </w:r>
      <w:r w:rsidR="007B4320" w:rsidRPr="001B53A8">
        <w:rPr>
          <w:lang w:val="sr-Latn-BA"/>
        </w:rPr>
        <w:t xml:space="preserve"> </w:t>
      </w:r>
      <w:r w:rsidRPr="001B53A8">
        <w:rPr>
          <w:lang w:val="sr-Latn-BA"/>
        </w:rPr>
        <w:t>investicioni</w:t>
      </w:r>
      <w:r w:rsidR="000255CC" w:rsidRPr="001B53A8">
        <w:rPr>
          <w:rFonts w:eastAsia="Times New Roman"/>
          <w:lang w:val="sr-Latn-BA" w:eastAsia="sr-Latn-CS"/>
        </w:rPr>
        <w:t xml:space="preserve"> </w:t>
      </w:r>
      <w:r w:rsidRPr="001B53A8">
        <w:rPr>
          <w:rFonts w:eastAsia="Times New Roman"/>
          <w:lang w:val="sr-Latn-BA" w:eastAsia="sr-Latn-CS"/>
        </w:rPr>
        <w:t>savjetnik</w:t>
      </w:r>
      <w:r w:rsidR="007B4320" w:rsidRPr="001B53A8">
        <w:rPr>
          <w:rFonts w:eastAsia="Times New Roman"/>
          <w:lang w:val="sr-Latn-BA" w:eastAsia="sr-Latn-CS"/>
        </w:rPr>
        <w:t xml:space="preserve"> </w:t>
      </w:r>
      <w:r w:rsidRPr="001B53A8">
        <w:rPr>
          <w:rFonts w:eastAsia="Times New Roman"/>
          <w:lang w:val="sr-Latn-BA" w:eastAsia="sr-Latn-CS"/>
        </w:rPr>
        <w:t>i</w:t>
      </w:r>
      <w:r w:rsidR="008F6836" w:rsidRPr="001B53A8">
        <w:rPr>
          <w:rFonts w:eastAsia="Times New Roman"/>
          <w:lang w:val="sr-Latn-BA" w:eastAsia="sr-Latn-CS"/>
        </w:rPr>
        <w:t xml:space="preserve"> </w:t>
      </w:r>
      <w:r w:rsidRPr="001B53A8">
        <w:rPr>
          <w:lang w:val="sr-Latn-BA"/>
        </w:rPr>
        <w:t>investicioni</w:t>
      </w:r>
      <w:r w:rsidR="007B4320" w:rsidRPr="001B53A8">
        <w:rPr>
          <w:rFonts w:eastAsia="Times New Roman"/>
          <w:lang w:val="sr-Latn-BA" w:eastAsia="sr-Latn-CS"/>
        </w:rPr>
        <w:t xml:space="preserve"> </w:t>
      </w:r>
      <w:r w:rsidRPr="001B53A8">
        <w:rPr>
          <w:rFonts w:eastAsia="Times New Roman"/>
          <w:lang w:val="sr-Latn-BA" w:eastAsia="sr-Latn-CS"/>
        </w:rPr>
        <w:t>menadžer</w:t>
      </w:r>
      <w:r w:rsidR="000255CC" w:rsidRPr="001B53A8">
        <w:rPr>
          <w:rFonts w:eastAsia="Times New Roman"/>
          <w:lang w:val="sr-Latn-BA" w:eastAsia="sr-Latn-CS"/>
        </w:rPr>
        <w:t>.</w:t>
      </w:r>
    </w:p>
    <w:p w14:paraId="025362CB" w14:textId="50FF33CD" w:rsidR="000255CC" w:rsidRPr="001B53A8" w:rsidRDefault="00003F34" w:rsidP="006B6E0C">
      <w:pPr>
        <w:spacing w:after="0" w:line="240" w:lineRule="auto"/>
        <w:ind w:firstLine="567"/>
        <w:rPr>
          <w:lang w:val="sr-Latn-BA"/>
        </w:rPr>
      </w:pPr>
      <w:r w:rsidRPr="001B53A8">
        <w:rPr>
          <w:lang w:val="sr-Latn-BA"/>
        </w:rPr>
        <w:t>Komisija</w:t>
      </w:r>
      <w:r w:rsidR="000255CC" w:rsidRPr="001B53A8">
        <w:rPr>
          <w:lang w:val="sr-Latn-BA"/>
        </w:rPr>
        <w:t xml:space="preserve"> </w:t>
      </w:r>
      <w:r w:rsidRPr="001B53A8">
        <w:rPr>
          <w:lang w:val="sr-Latn-BA"/>
        </w:rPr>
        <w:t>izdaje</w:t>
      </w:r>
      <w:r w:rsidR="000255CC" w:rsidRPr="001B53A8">
        <w:rPr>
          <w:lang w:val="sr-Latn-BA"/>
        </w:rPr>
        <w:t xml:space="preserve"> </w:t>
      </w:r>
      <w:r w:rsidRPr="001B53A8">
        <w:rPr>
          <w:lang w:val="sr-Latn-BA"/>
        </w:rPr>
        <w:t>dozvolu</w:t>
      </w:r>
      <w:r w:rsidR="000255CC" w:rsidRPr="001B53A8">
        <w:rPr>
          <w:lang w:val="sr-Latn-BA"/>
        </w:rPr>
        <w:t xml:space="preserve"> </w:t>
      </w:r>
      <w:r w:rsidRPr="001B53A8">
        <w:rPr>
          <w:b/>
          <w:lang w:val="sr-Latn-BA"/>
        </w:rPr>
        <w:t>berzanskim</w:t>
      </w:r>
      <w:r w:rsidR="00F97133" w:rsidRPr="001B53A8">
        <w:rPr>
          <w:b/>
          <w:lang w:val="sr-Latn-BA"/>
        </w:rPr>
        <w:t xml:space="preserve"> </w:t>
      </w:r>
      <w:r w:rsidRPr="001B53A8">
        <w:rPr>
          <w:b/>
          <w:lang w:val="sr-Latn-BA"/>
        </w:rPr>
        <w:t>posrednicima</w:t>
      </w:r>
      <w:r w:rsidR="00F97133" w:rsidRPr="001B53A8">
        <w:rPr>
          <w:lang w:val="sr-Latn-BA"/>
        </w:rPr>
        <w:t xml:space="preserve"> </w:t>
      </w:r>
      <w:r w:rsidRPr="001B53A8">
        <w:rPr>
          <w:lang w:val="sr-Latn-BA"/>
        </w:rPr>
        <w:t>u</w:t>
      </w:r>
      <w:r w:rsidR="00F97133" w:rsidRPr="001B53A8">
        <w:rPr>
          <w:lang w:val="sr-Latn-BA"/>
        </w:rPr>
        <w:t xml:space="preserve"> </w:t>
      </w:r>
      <w:r w:rsidRPr="001B53A8">
        <w:rPr>
          <w:lang w:val="sr-Latn-BA"/>
        </w:rPr>
        <w:t>skladu</w:t>
      </w:r>
      <w:r w:rsidR="00F97133" w:rsidRPr="001B53A8">
        <w:rPr>
          <w:lang w:val="sr-Latn-BA"/>
        </w:rPr>
        <w:t xml:space="preserve"> </w:t>
      </w:r>
      <w:r w:rsidRPr="001B53A8">
        <w:rPr>
          <w:lang w:val="sr-Latn-BA"/>
        </w:rPr>
        <w:t>sa</w:t>
      </w:r>
      <w:r w:rsidR="00F97133" w:rsidRPr="001B53A8">
        <w:rPr>
          <w:lang w:val="sr-Latn-BA"/>
        </w:rPr>
        <w:t xml:space="preserve"> </w:t>
      </w:r>
      <w:r w:rsidRPr="001B53A8">
        <w:rPr>
          <w:lang w:val="sr-Latn-BA"/>
        </w:rPr>
        <w:t>članom</w:t>
      </w:r>
      <w:r w:rsidR="00F97133" w:rsidRPr="001B53A8">
        <w:rPr>
          <w:lang w:val="sr-Latn-BA"/>
        </w:rPr>
        <w:t xml:space="preserve"> 62. </w:t>
      </w:r>
      <w:r w:rsidRPr="001B53A8">
        <w:rPr>
          <w:lang w:val="sr-Latn-BA"/>
        </w:rPr>
        <w:t>Zakona</w:t>
      </w:r>
      <w:r w:rsidR="00F97133" w:rsidRPr="001B53A8">
        <w:rPr>
          <w:lang w:val="sr-Latn-BA"/>
        </w:rPr>
        <w:t xml:space="preserve"> </w:t>
      </w:r>
      <w:r w:rsidRPr="001B53A8">
        <w:rPr>
          <w:lang w:val="sr-Latn-BA"/>
        </w:rPr>
        <w:t>o</w:t>
      </w:r>
      <w:r w:rsidR="00F97133" w:rsidRPr="001B53A8">
        <w:rPr>
          <w:lang w:val="sr-Latn-BA"/>
        </w:rPr>
        <w:t xml:space="preserve"> </w:t>
      </w:r>
      <w:r w:rsidRPr="001B53A8">
        <w:rPr>
          <w:lang w:val="sr-Latn-BA"/>
        </w:rPr>
        <w:t>tržištu</w:t>
      </w:r>
      <w:r w:rsidR="00F97133" w:rsidRPr="001B53A8">
        <w:rPr>
          <w:lang w:val="sr-Latn-BA"/>
        </w:rPr>
        <w:t xml:space="preserve"> </w:t>
      </w:r>
      <w:r w:rsidRPr="001B53A8">
        <w:rPr>
          <w:lang w:val="sr-Latn-BA"/>
        </w:rPr>
        <w:t>hartija</w:t>
      </w:r>
      <w:r w:rsidR="00F97133" w:rsidRPr="001B53A8">
        <w:rPr>
          <w:lang w:val="sr-Latn-BA"/>
        </w:rPr>
        <w:t xml:space="preserve"> </w:t>
      </w:r>
      <w:r w:rsidRPr="001B53A8">
        <w:rPr>
          <w:lang w:val="sr-Latn-BA"/>
        </w:rPr>
        <w:t>od</w:t>
      </w:r>
      <w:r w:rsidR="00F97133" w:rsidRPr="001B53A8">
        <w:rPr>
          <w:lang w:val="sr-Latn-BA"/>
        </w:rPr>
        <w:t xml:space="preserve"> </w:t>
      </w:r>
      <w:r w:rsidRPr="001B53A8">
        <w:rPr>
          <w:lang w:val="sr-Latn-BA"/>
        </w:rPr>
        <w:t>vrijednosti</w:t>
      </w:r>
      <w:r w:rsidR="00F97133" w:rsidRPr="001B53A8">
        <w:rPr>
          <w:lang w:val="sr-Latn-BA"/>
        </w:rPr>
        <w:t xml:space="preserve">, </w:t>
      </w:r>
      <w:r w:rsidRPr="001B53A8">
        <w:rPr>
          <w:lang w:val="sr-Latn-BA"/>
        </w:rPr>
        <w:t>i</w:t>
      </w:r>
      <w:r w:rsidR="00F97133" w:rsidRPr="001B53A8">
        <w:rPr>
          <w:lang w:val="sr-Latn-BA"/>
        </w:rPr>
        <w:t xml:space="preserve"> </w:t>
      </w:r>
      <w:r w:rsidRPr="001B53A8">
        <w:rPr>
          <w:lang w:val="sr-Latn-BA"/>
        </w:rPr>
        <w:t>to</w:t>
      </w:r>
      <w:r w:rsidR="00F97133" w:rsidRPr="001B53A8">
        <w:rPr>
          <w:lang w:val="sr-Latn-BA"/>
        </w:rPr>
        <w:t xml:space="preserve"> </w:t>
      </w:r>
      <w:r w:rsidRPr="001B53A8">
        <w:rPr>
          <w:lang w:val="sr-Latn-BA"/>
        </w:rPr>
        <w:t>za</w:t>
      </w:r>
      <w:r w:rsidR="00F97133" w:rsidRPr="001B53A8">
        <w:rPr>
          <w:lang w:val="sr-Latn-BA"/>
        </w:rPr>
        <w:t xml:space="preserve"> </w:t>
      </w:r>
      <w:r w:rsidRPr="001B53A8">
        <w:rPr>
          <w:lang w:val="sr-Latn-BA"/>
        </w:rPr>
        <w:t>brokerske</w:t>
      </w:r>
      <w:r w:rsidR="00F97133" w:rsidRPr="001B53A8">
        <w:rPr>
          <w:lang w:val="sr-Latn-BA"/>
        </w:rPr>
        <w:t xml:space="preserve"> </w:t>
      </w:r>
      <w:r w:rsidRPr="001B53A8">
        <w:rPr>
          <w:lang w:val="sr-Latn-BA"/>
        </w:rPr>
        <w:t>poslove</w:t>
      </w:r>
      <w:r w:rsidR="00F97133" w:rsidRPr="001B53A8">
        <w:rPr>
          <w:lang w:val="sr-Latn-BA"/>
        </w:rPr>
        <w:t xml:space="preserve">, </w:t>
      </w:r>
      <w:r w:rsidRPr="001B53A8">
        <w:rPr>
          <w:lang w:val="sr-Latn-BA"/>
        </w:rPr>
        <w:t>dilerske</w:t>
      </w:r>
      <w:r w:rsidR="000255CC" w:rsidRPr="001B53A8">
        <w:rPr>
          <w:lang w:val="sr-Latn-BA"/>
        </w:rPr>
        <w:t xml:space="preserve"> </w:t>
      </w:r>
      <w:r w:rsidRPr="001B53A8">
        <w:rPr>
          <w:lang w:val="sr-Latn-BA"/>
        </w:rPr>
        <w:t>poslove</w:t>
      </w:r>
      <w:r w:rsidR="00F97133" w:rsidRPr="001B53A8">
        <w:rPr>
          <w:lang w:val="sr-Latn-BA"/>
        </w:rPr>
        <w:t xml:space="preserve">, </w:t>
      </w:r>
      <w:r w:rsidRPr="001B53A8">
        <w:rPr>
          <w:lang w:val="sr-Latn-BA"/>
        </w:rPr>
        <w:t>poslove</w:t>
      </w:r>
      <w:r w:rsidR="000255CC" w:rsidRPr="001B53A8">
        <w:rPr>
          <w:lang w:val="sr-Latn-BA"/>
        </w:rPr>
        <w:t xml:space="preserve"> </w:t>
      </w:r>
      <w:r w:rsidRPr="001B53A8">
        <w:rPr>
          <w:lang w:val="sr-Latn-BA"/>
        </w:rPr>
        <w:t>podrške</w:t>
      </w:r>
      <w:r w:rsidR="00F97133" w:rsidRPr="001B53A8">
        <w:rPr>
          <w:lang w:val="sr-Latn-BA"/>
        </w:rPr>
        <w:t xml:space="preserve"> </w:t>
      </w:r>
      <w:r w:rsidRPr="001B53A8">
        <w:rPr>
          <w:lang w:val="sr-Latn-BA"/>
        </w:rPr>
        <w:t>tržištu</w:t>
      </w:r>
      <w:r w:rsidR="00F97133" w:rsidRPr="001B53A8">
        <w:rPr>
          <w:lang w:val="sr-Latn-BA"/>
        </w:rPr>
        <w:t xml:space="preserve">, </w:t>
      </w:r>
      <w:r w:rsidRPr="001B53A8">
        <w:rPr>
          <w:lang w:val="sr-Latn-BA"/>
        </w:rPr>
        <w:t>poslove</w:t>
      </w:r>
      <w:r w:rsidR="000255CC" w:rsidRPr="001B53A8">
        <w:rPr>
          <w:lang w:val="sr-Latn-BA"/>
        </w:rPr>
        <w:t xml:space="preserve"> </w:t>
      </w:r>
      <w:r w:rsidRPr="001B53A8">
        <w:rPr>
          <w:lang w:val="sr-Latn-BA"/>
        </w:rPr>
        <w:t>upravlјanja</w:t>
      </w:r>
      <w:r w:rsidR="000255CC" w:rsidRPr="001B53A8">
        <w:rPr>
          <w:lang w:val="sr-Latn-BA"/>
        </w:rPr>
        <w:t xml:space="preserve"> </w:t>
      </w:r>
      <w:r w:rsidRPr="001B53A8">
        <w:rPr>
          <w:lang w:val="sr-Latn-BA"/>
        </w:rPr>
        <w:t>portfelјom</w:t>
      </w:r>
      <w:r w:rsidR="00F97133" w:rsidRPr="001B53A8">
        <w:rPr>
          <w:lang w:val="sr-Latn-BA"/>
        </w:rPr>
        <w:t xml:space="preserve">, </w:t>
      </w:r>
      <w:r w:rsidRPr="001B53A8">
        <w:rPr>
          <w:lang w:val="sr-Latn-BA"/>
        </w:rPr>
        <w:t>poslove</w:t>
      </w:r>
      <w:r w:rsidR="000255CC" w:rsidRPr="001B53A8">
        <w:rPr>
          <w:lang w:val="sr-Latn-BA"/>
        </w:rPr>
        <w:t xml:space="preserve"> </w:t>
      </w:r>
      <w:r w:rsidRPr="001B53A8">
        <w:rPr>
          <w:lang w:val="sr-Latn-BA"/>
        </w:rPr>
        <w:t>agenta</w:t>
      </w:r>
      <w:r w:rsidR="000255CC" w:rsidRPr="001B53A8">
        <w:rPr>
          <w:lang w:val="sr-Latn-BA"/>
        </w:rPr>
        <w:t xml:space="preserve"> </w:t>
      </w:r>
      <w:r w:rsidRPr="001B53A8">
        <w:rPr>
          <w:lang w:val="sr-Latn-BA"/>
        </w:rPr>
        <w:t>emisije</w:t>
      </w:r>
      <w:r w:rsidR="00F97133" w:rsidRPr="001B53A8">
        <w:rPr>
          <w:lang w:val="sr-Latn-BA"/>
        </w:rPr>
        <w:t xml:space="preserve">, </w:t>
      </w:r>
      <w:r w:rsidRPr="001B53A8">
        <w:rPr>
          <w:lang w:val="sr-Latn-BA"/>
        </w:rPr>
        <w:t>poslove</w:t>
      </w:r>
      <w:r w:rsidR="000255CC" w:rsidRPr="001B53A8">
        <w:rPr>
          <w:lang w:val="sr-Latn-BA"/>
        </w:rPr>
        <w:t xml:space="preserve"> </w:t>
      </w:r>
      <w:r w:rsidRPr="001B53A8">
        <w:rPr>
          <w:lang w:val="sr-Latn-BA"/>
        </w:rPr>
        <w:t>preuzimanja</w:t>
      </w:r>
      <w:r w:rsidR="000255CC" w:rsidRPr="001B53A8">
        <w:rPr>
          <w:lang w:val="sr-Latn-BA"/>
        </w:rPr>
        <w:t xml:space="preserve"> </w:t>
      </w:r>
      <w:r w:rsidRPr="001B53A8">
        <w:rPr>
          <w:lang w:val="sr-Latn-BA"/>
        </w:rPr>
        <w:t>emisije</w:t>
      </w:r>
      <w:r w:rsidR="00F97133" w:rsidRPr="001B53A8">
        <w:rPr>
          <w:lang w:val="sr-Latn-BA"/>
        </w:rPr>
        <w:t xml:space="preserve">, </w:t>
      </w:r>
      <w:r w:rsidRPr="001B53A8">
        <w:rPr>
          <w:lang w:val="sr-Latn-BA"/>
        </w:rPr>
        <w:t>poslove</w:t>
      </w:r>
      <w:r w:rsidR="000255CC" w:rsidRPr="001B53A8">
        <w:rPr>
          <w:lang w:val="sr-Latn-BA"/>
        </w:rPr>
        <w:t xml:space="preserve"> </w:t>
      </w:r>
      <w:r w:rsidRPr="001B53A8">
        <w:rPr>
          <w:lang w:val="sr-Latn-BA"/>
        </w:rPr>
        <w:t>investicionog</w:t>
      </w:r>
      <w:r w:rsidR="000255CC" w:rsidRPr="001B53A8">
        <w:rPr>
          <w:lang w:val="sr-Latn-BA"/>
        </w:rPr>
        <w:t xml:space="preserve"> </w:t>
      </w:r>
      <w:r w:rsidRPr="001B53A8">
        <w:rPr>
          <w:lang w:val="sr-Latn-BA"/>
        </w:rPr>
        <w:t>savjetovanja</w:t>
      </w:r>
      <w:r w:rsidR="000255CC" w:rsidRPr="001B53A8">
        <w:rPr>
          <w:lang w:val="sr-Latn-BA"/>
        </w:rPr>
        <w:t xml:space="preserve"> </w:t>
      </w:r>
      <w:r w:rsidRPr="001B53A8">
        <w:rPr>
          <w:lang w:val="sr-Latn-BA"/>
        </w:rPr>
        <w:t>i</w:t>
      </w:r>
      <w:r w:rsidR="00F97133" w:rsidRPr="001B53A8">
        <w:rPr>
          <w:lang w:val="sr-Latn-BA"/>
        </w:rPr>
        <w:t xml:space="preserve"> </w:t>
      </w:r>
      <w:r w:rsidRPr="001B53A8">
        <w:rPr>
          <w:lang w:val="sr-Latn-BA"/>
        </w:rPr>
        <w:t>kastodi</w:t>
      </w:r>
      <w:r w:rsidR="000255CC" w:rsidRPr="001B53A8">
        <w:rPr>
          <w:lang w:val="sr-Latn-BA"/>
        </w:rPr>
        <w:t xml:space="preserve"> </w:t>
      </w:r>
      <w:r w:rsidRPr="001B53A8">
        <w:rPr>
          <w:lang w:val="sr-Latn-BA"/>
        </w:rPr>
        <w:t>poslove</w:t>
      </w:r>
      <w:r w:rsidR="000255CC" w:rsidRPr="001B53A8">
        <w:rPr>
          <w:lang w:val="sr-Latn-BA"/>
        </w:rPr>
        <w:t>.</w:t>
      </w:r>
    </w:p>
    <w:p w14:paraId="5401C80F" w14:textId="03229B42" w:rsidR="000255CC" w:rsidRPr="001B53A8" w:rsidRDefault="00003F34" w:rsidP="006B6E0C">
      <w:pPr>
        <w:spacing w:after="0" w:line="240" w:lineRule="auto"/>
        <w:ind w:firstLine="567"/>
        <w:rPr>
          <w:lang w:val="sr-Latn-BA"/>
        </w:rPr>
      </w:pPr>
      <w:r w:rsidRPr="001B53A8">
        <w:rPr>
          <w:lang w:val="sr-Latn-BA"/>
        </w:rPr>
        <w:t>U</w:t>
      </w:r>
      <w:r w:rsidR="0075526B" w:rsidRPr="001B53A8">
        <w:rPr>
          <w:lang w:val="sr-Latn-BA"/>
        </w:rPr>
        <w:t xml:space="preserve"> </w:t>
      </w:r>
      <w:r w:rsidRPr="001B53A8">
        <w:rPr>
          <w:lang w:val="sr-Latn-BA"/>
        </w:rPr>
        <w:t>postupku</w:t>
      </w:r>
      <w:r w:rsidR="0075526B" w:rsidRPr="001B53A8">
        <w:rPr>
          <w:lang w:val="sr-Latn-BA"/>
        </w:rPr>
        <w:t xml:space="preserve"> </w:t>
      </w:r>
      <w:r w:rsidRPr="001B53A8">
        <w:rPr>
          <w:lang w:val="sr-Latn-BA"/>
        </w:rPr>
        <w:t>rješavanja</w:t>
      </w:r>
      <w:r w:rsidR="0075526B" w:rsidRPr="001B53A8">
        <w:rPr>
          <w:lang w:val="sr-Latn-BA"/>
        </w:rPr>
        <w:t xml:space="preserve"> </w:t>
      </w:r>
      <w:r w:rsidRPr="001B53A8">
        <w:rPr>
          <w:lang w:val="sr-Latn-BA"/>
        </w:rPr>
        <w:t>navedenih</w:t>
      </w:r>
      <w:r w:rsidR="0075526B" w:rsidRPr="001B53A8">
        <w:rPr>
          <w:lang w:val="sr-Latn-BA"/>
        </w:rPr>
        <w:t xml:space="preserve"> </w:t>
      </w:r>
      <w:r w:rsidRPr="001B53A8">
        <w:rPr>
          <w:lang w:val="sr-Latn-BA"/>
        </w:rPr>
        <w:t>podnesaka</w:t>
      </w:r>
      <w:r w:rsidR="0075526B" w:rsidRPr="001B53A8">
        <w:rPr>
          <w:lang w:val="sr-Latn-BA"/>
        </w:rPr>
        <w:t xml:space="preserve">, </w:t>
      </w:r>
      <w:r w:rsidRPr="001B53A8">
        <w:rPr>
          <w:lang w:val="sr-Latn-BA"/>
        </w:rPr>
        <w:t>Komisija</w:t>
      </w:r>
      <w:r w:rsidR="0075526B" w:rsidRPr="001B53A8">
        <w:rPr>
          <w:lang w:val="sr-Latn-BA"/>
        </w:rPr>
        <w:t xml:space="preserve"> </w:t>
      </w:r>
      <w:r w:rsidRPr="001B53A8">
        <w:rPr>
          <w:lang w:val="sr-Latn-BA"/>
        </w:rPr>
        <w:t>primjenjuje</w:t>
      </w:r>
      <w:r w:rsidR="0075526B" w:rsidRPr="001B53A8">
        <w:rPr>
          <w:lang w:val="sr-Latn-BA"/>
        </w:rPr>
        <w:t xml:space="preserve"> </w:t>
      </w:r>
      <w:r w:rsidRPr="001B53A8">
        <w:rPr>
          <w:lang w:val="sr-Latn-BA"/>
        </w:rPr>
        <w:t>i</w:t>
      </w:r>
      <w:r w:rsidR="0075526B" w:rsidRPr="001B53A8">
        <w:rPr>
          <w:lang w:val="sr-Latn-BA"/>
        </w:rPr>
        <w:t xml:space="preserve"> </w:t>
      </w:r>
      <w:r w:rsidRPr="001B53A8">
        <w:rPr>
          <w:lang w:val="sr-Latn-BA"/>
        </w:rPr>
        <w:t>odredbe</w:t>
      </w:r>
      <w:r w:rsidR="0075526B" w:rsidRPr="001B53A8">
        <w:rPr>
          <w:lang w:val="sr-Latn-BA"/>
        </w:rPr>
        <w:t xml:space="preserve"> </w:t>
      </w:r>
      <w:r w:rsidRPr="001B53A8">
        <w:rPr>
          <w:lang w:val="sr-Latn-BA"/>
        </w:rPr>
        <w:t>Pravilnika</w:t>
      </w:r>
      <w:r w:rsidR="0075526B" w:rsidRPr="001B53A8">
        <w:rPr>
          <w:lang w:val="sr-Latn-BA"/>
        </w:rPr>
        <w:t xml:space="preserve"> </w:t>
      </w:r>
      <w:r w:rsidRPr="001B53A8">
        <w:rPr>
          <w:lang w:val="sr-Latn-BA"/>
        </w:rPr>
        <w:t>o</w:t>
      </w:r>
      <w:r w:rsidR="0075526B" w:rsidRPr="001B53A8">
        <w:rPr>
          <w:lang w:val="sr-Latn-BA"/>
        </w:rPr>
        <w:t xml:space="preserve"> </w:t>
      </w:r>
      <w:r w:rsidRPr="001B53A8">
        <w:rPr>
          <w:lang w:val="sr-Latn-BA"/>
        </w:rPr>
        <w:t>poslovanju</w:t>
      </w:r>
      <w:r w:rsidR="0075526B" w:rsidRPr="001B53A8">
        <w:rPr>
          <w:lang w:val="sr-Latn-BA"/>
        </w:rPr>
        <w:t xml:space="preserve"> </w:t>
      </w:r>
      <w:r w:rsidRPr="001B53A8">
        <w:rPr>
          <w:lang w:val="sr-Latn-BA"/>
        </w:rPr>
        <w:t>berzanskih</w:t>
      </w:r>
      <w:r w:rsidR="0075526B" w:rsidRPr="001B53A8">
        <w:rPr>
          <w:lang w:val="sr-Latn-BA"/>
        </w:rPr>
        <w:t xml:space="preserve"> </w:t>
      </w:r>
      <w:r w:rsidRPr="001B53A8">
        <w:rPr>
          <w:lang w:val="sr-Latn-BA"/>
        </w:rPr>
        <w:t>posrednika</w:t>
      </w:r>
      <w:r w:rsidR="00B45844" w:rsidRPr="001B53A8">
        <w:rPr>
          <w:rStyle w:val="FootnoteReference"/>
          <w:lang w:val="sr-Latn-BA"/>
        </w:rPr>
        <w:footnoteReference w:id="11"/>
      </w:r>
      <w:r w:rsidR="0075526B" w:rsidRPr="001B53A8">
        <w:rPr>
          <w:lang w:val="sr-Latn-BA"/>
        </w:rPr>
        <w:t xml:space="preserve">, </w:t>
      </w:r>
      <w:r w:rsidRPr="001B53A8">
        <w:rPr>
          <w:lang w:val="sr-Latn-BA"/>
        </w:rPr>
        <w:t>te</w:t>
      </w:r>
      <w:r w:rsidR="0075526B" w:rsidRPr="001B53A8">
        <w:rPr>
          <w:lang w:val="sr-Latn-BA"/>
        </w:rPr>
        <w:t xml:space="preserve"> </w:t>
      </w:r>
      <w:r w:rsidRPr="001B53A8">
        <w:rPr>
          <w:lang w:val="sr-Latn-BA"/>
        </w:rPr>
        <w:t>Pravilnika</w:t>
      </w:r>
      <w:r w:rsidR="0075526B" w:rsidRPr="001B53A8">
        <w:rPr>
          <w:lang w:val="sr-Latn-BA"/>
        </w:rPr>
        <w:t xml:space="preserve"> </w:t>
      </w:r>
      <w:r w:rsidRPr="001B53A8">
        <w:rPr>
          <w:lang w:val="sr-Latn-BA"/>
        </w:rPr>
        <w:t>o</w:t>
      </w:r>
      <w:r w:rsidR="0075526B" w:rsidRPr="001B53A8">
        <w:rPr>
          <w:lang w:val="sr-Latn-BA"/>
        </w:rPr>
        <w:t xml:space="preserve"> </w:t>
      </w:r>
      <w:r w:rsidRPr="001B53A8">
        <w:rPr>
          <w:lang w:val="sr-Latn-BA"/>
        </w:rPr>
        <w:t>uslovima</w:t>
      </w:r>
      <w:r w:rsidR="0075526B" w:rsidRPr="001B53A8">
        <w:rPr>
          <w:lang w:val="sr-Latn-BA"/>
        </w:rPr>
        <w:t xml:space="preserve"> </w:t>
      </w:r>
      <w:r w:rsidRPr="001B53A8">
        <w:rPr>
          <w:lang w:val="sr-Latn-BA"/>
        </w:rPr>
        <w:t>i</w:t>
      </w:r>
      <w:r w:rsidR="0075526B" w:rsidRPr="001B53A8">
        <w:rPr>
          <w:lang w:val="sr-Latn-BA"/>
        </w:rPr>
        <w:t xml:space="preserve"> </w:t>
      </w:r>
      <w:r w:rsidRPr="001B53A8">
        <w:rPr>
          <w:lang w:val="sr-Latn-BA"/>
        </w:rPr>
        <w:t>postupku</w:t>
      </w:r>
      <w:r w:rsidR="0075526B" w:rsidRPr="001B53A8">
        <w:rPr>
          <w:lang w:val="sr-Latn-BA"/>
        </w:rPr>
        <w:t xml:space="preserve"> </w:t>
      </w:r>
      <w:r w:rsidRPr="001B53A8">
        <w:rPr>
          <w:lang w:val="sr-Latn-BA"/>
        </w:rPr>
        <w:t>izdavanja</w:t>
      </w:r>
      <w:r w:rsidR="0075526B" w:rsidRPr="001B53A8">
        <w:rPr>
          <w:lang w:val="sr-Latn-BA"/>
        </w:rPr>
        <w:t xml:space="preserve"> </w:t>
      </w:r>
      <w:r w:rsidRPr="001B53A8">
        <w:rPr>
          <w:lang w:val="sr-Latn-BA"/>
        </w:rPr>
        <w:t>dozvole</w:t>
      </w:r>
      <w:r w:rsidR="0075526B" w:rsidRPr="001B53A8">
        <w:rPr>
          <w:lang w:val="sr-Latn-BA"/>
        </w:rPr>
        <w:t xml:space="preserve"> </w:t>
      </w:r>
      <w:r w:rsidRPr="001B53A8">
        <w:rPr>
          <w:lang w:val="sr-Latn-BA"/>
        </w:rPr>
        <w:t>berzanskom</w:t>
      </w:r>
      <w:r w:rsidR="0075526B" w:rsidRPr="001B53A8">
        <w:rPr>
          <w:lang w:val="sr-Latn-BA"/>
        </w:rPr>
        <w:t xml:space="preserve"> </w:t>
      </w:r>
      <w:r w:rsidRPr="001B53A8">
        <w:rPr>
          <w:lang w:val="sr-Latn-BA"/>
        </w:rPr>
        <w:t>posredniku</w:t>
      </w:r>
      <w:r w:rsidR="0075526B" w:rsidRPr="001B53A8">
        <w:rPr>
          <w:lang w:val="sr-Latn-BA"/>
        </w:rPr>
        <w:t xml:space="preserve"> </w:t>
      </w:r>
      <w:r w:rsidRPr="001B53A8">
        <w:rPr>
          <w:lang w:val="sr-Latn-BA"/>
        </w:rPr>
        <w:t>za</w:t>
      </w:r>
      <w:r w:rsidR="0075526B" w:rsidRPr="001B53A8">
        <w:rPr>
          <w:lang w:val="sr-Latn-BA"/>
        </w:rPr>
        <w:t xml:space="preserve"> </w:t>
      </w:r>
      <w:r w:rsidRPr="001B53A8">
        <w:rPr>
          <w:lang w:val="sr-Latn-BA"/>
        </w:rPr>
        <w:t>obavlјanje</w:t>
      </w:r>
      <w:r w:rsidR="0075526B" w:rsidRPr="001B53A8">
        <w:rPr>
          <w:lang w:val="sr-Latn-BA"/>
        </w:rPr>
        <w:t xml:space="preserve"> </w:t>
      </w:r>
      <w:r w:rsidRPr="001B53A8">
        <w:rPr>
          <w:lang w:val="sr-Latn-BA"/>
        </w:rPr>
        <w:t>poslova</w:t>
      </w:r>
      <w:r w:rsidR="0075526B" w:rsidRPr="001B53A8">
        <w:rPr>
          <w:lang w:val="sr-Latn-BA"/>
        </w:rPr>
        <w:t xml:space="preserve"> </w:t>
      </w:r>
      <w:r w:rsidRPr="001B53A8">
        <w:rPr>
          <w:lang w:val="sr-Latn-BA"/>
        </w:rPr>
        <w:t>sa</w:t>
      </w:r>
      <w:r w:rsidR="0075526B" w:rsidRPr="001B53A8">
        <w:rPr>
          <w:lang w:val="sr-Latn-BA"/>
        </w:rPr>
        <w:t xml:space="preserve"> </w:t>
      </w:r>
      <w:r w:rsidRPr="001B53A8">
        <w:rPr>
          <w:lang w:val="sr-Latn-BA"/>
        </w:rPr>
        <w:t>hartijama</w:t>
      </w:r>
      <w:r w:rsidR="0075526B" w:rsidRPr="001B53A8">
        <w:rPr>
          <w:lang w:val="sr-Latn-BA"/>
        </w:rPr>
        <w:t xml:space="preserve"> </w:t>
      </w:r>
      <w:r w:rsidRPr="001B53A8">
        <w:rPr>
          <w:lang w:val="sr-Latn-BA"/>
        </w:rPr>
        <w:t>od</w:t>
      </w:r>
      <w:r w:rsidR="0075526B" w:rsidRPr="001B53A8">
        <w:rPr>
          <w:lang w:val="sr-Latn-BA"/>
        </w:rPr>
        <w:t xml:space="preserve"> </w:t>
      </w:r>
      <w:r w:rsidRPr="001B53A8">
        <w:rPr>
          <w:lang w:val="sr-Latn-BA"/>
        </w:rPr>
        <w:t>vrijednosti</w:t>
      </w:r>
      <w:r w:rsidR="00B45844" w:rsidRPr="001B53A8">
        <w:rPr>
          <w:rStyle w:val="FootnoteReference"/>
          <w:lang w:val="sr-Latn-BA"/>
        </w:rPr>
        <w:footnoteReference w:id="12"/>
      </w:r>
      <w:r w:rsidR="000255CC" w:rsidRPr="001B53A8">
        <w:rPr>
          <w:lang w:val="sr-Latn-BA"/>
        </w:rPr>
        <w:t>.</w:t>
      </w:r>
    </w:p>
    <w:tbl>
      <w:tblPr>
        <w:tblStyle w:val="LightGrid-Accent11"/>
        <w:tblpPr w:leftFromText="180" w:rightFromText="180" w:vertAnchor="text" w:horzAnchor="margin" w:tblpY="145"/>
        <w:tblW w:w="9322" w:type="dxa"/>
        <w:tblLayout w:type="fixed"/>
        <w:tblLook w:val="0420" w:firstRow="1" w:lastRow="0" w:firstColumn="0" w:lastColumn="0" w:noHBand="0" w:noVBand="1"/>
      </w:tblPr>
      <w:tblGrid>
        <w:gridCol w:w="392"/>
        <w:gridCol w:w="2835"/>
        <w:gridCol w:w="1276"/>
        <w:gridCol w:w="3543"/>
        <w:gridCol w:w="1276"/>
      </w:tblGrid>
      <w:tr w:rsidR="00DB7B1C" w:rsidRPr="001B53A8" w14:paraId="0695C52F" w14:textId="77777777" w:rsidTr="007B4320">
        <w:trPr>
          <w:cnfStyle w:val="100000000000" w:firstRow="1" w:lastRow="0" w:firstColumn="0" w:lastColumn="0" w:oddVBand="0" w:evenVBand="0" w:oddHBand="0" w:evenHBand="0" w:firstRowFirstColumn="0" w:firstRowLastColumn="0" w:lastRowFirstColumn="0" w:lastRowLastColumn="0"/>
          <w:trHeight w:val="570"/>
        </w:trPr>
        <w:tc>
          <w:tcPr>
            <w:tcW w:w="392" w:type="dxa"/>
            <w:hideMark/>
          </w:tcPr>
          <w:p w14:paraId="2FDF384D" w14:textId="46CFBF1C" w:rsidR="00DB7B1C" w:rsidRPr="001B53A8" w:rsidRDefault="00003F34" w:rsidP="007B4320">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R</w:t>
            </w:r>
            <w:r w:rsidR="00906C9F"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b</w:t>
            </w:r>
            <w:r w:rsidR="00DB7B1C" w:rsidRPr="001B53A8">
              <w:rPr>
                <w:rFonts w:ascii="Times New Roman" w:eastAsia="Times New Roman" w:hAnsi="Times New Roman" w:cs="Times New Roman"/>
                <w:sz w:val="20"/>
                <w:szCs w:val="20"/>
                <w:lang w:val="sr-Latn-BA" w:eastAsia="sr-Latn-CS"/>
              </w:rPr>
              <w:t>.</w:t>
            </w:r>
          </w:p>
        </w:tc>
        <w:tc>
          <w:tcPr>
            <w:tcW w:w="2835" w:type="dxa"/>
            <w:hideMark/>
          </w:tcPr>
          <w:p w14:paraId="217FB9B7" w14:textId="1525652A" w:rsidR="00DB7B1C" w:rsidRPr="001B53A8" w:rsidRDefault="00003F34" w:rsidP="007B4320">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Naziv</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berzanskog</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posrednika</w:t>
            </w:r>
          </w:p>
        </w:tc>
        <w:tc>
          <w:tcPr>
            <w:tcW w:w="1276" w:type="dxa"/>
          </w:tcPr>
          <w:p w14:paraId="3C046FDB" w14:textId="21817E13" w:rsidR="00DB7B1C" w:rsidRPr="001B53A8" w:rsidRDefault="00003F34" w:rsidP="007B4320">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Datum</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osnivanja</w:t>
            </w:r>
          </w:p>
        </w:tc>
        <w:tc>
          <w:tcPr>
            <w:tcW w:w="3543" w:type="dxa"/>
            <w:vAlign w:val="center"/>
            <w:hideMark/>
          </w:tcPr>
          <w:p w14:paraId="1143FE40" w14:textId="1DDDBC93" w:rsidR="00DB7B1C" w:rsidRPr="001B53A8" w:rsidRDefault="00003F34" w:rsidP="007B4320">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Poslovi</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obuhvaćeni</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dozvolom</w:t>
            </w:r>
          </w:p>
        </w:tc>
        <w:tc>
          <w:tcPr>
            <w:tcW w:w="1276" w:type="dxa"/>
            <w:vAlign w:val="center"/>
            <w:hideMark/>
          </w:tcPr>
          <w:p w14:paraId="787DA0FB" w14:textId="3736C3B0" w:rsidR="00DB7B1C" w:rsidRPr="001B53A8" w:rsidRDefault="00003F34" w:rsidP="007B4320">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Važenje</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dozvole</w:t>
            </w:r>
          </w:p>
        </w:tc>
      </w:tr>
      <w:tr w:rsidR="00DB7B1C" w:rsidRPr="001B53A8" w14:paraId="1F9D43B0" w14:textId="77777777" w:rsidTr="007B4320">
        <w:trPr>
          <w:cnfStyle w:val="000000100000" w:firstRow="0" w:lastRow="0" w:firstColumn="0" w:lastColumn="0" w:oddVBand="0" w:evenVBand="0" w:oddHBand="1" w:evenHBand="0" w:firstRowFirstColumn="0" w:firstRowLastColumn="0" w:lastRowFirstColumn="0" w:lastRowLastColumn="0"/>
          <w:trHeight w:val="226"/>
        </w:trPr>
        <w:tc>
          <w:tcPr>
            <w:tcW w:w="392" w:type="dxa"/>
            <w:vMerge w:val="restart"/>
            <w:shd w:val="clear" w:color="auto" w:fill="DBE5F1" w:themeFill="accent1" w:themeFillTint="33"/>
            <w:hideMark/>
          </w:tcPr>
          <w:p w14:paraId="3ABA4343"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w:t>
            </w:r>
          </w:p>
        </w:tc>
        <w:tc>
          <w:tcPr>
            <w:tcW w:w="2835" w:type="dxa"/>
            <w:vMerge w:val="restart"/>
            <w:shd w:val="clear" w:color="auto" w:fill="DBE5F1" w:themeFill="accent1" w:themeFillTint="33"/>
            <w:hideMark/>
          </w:tcPr>
          <w:p w14:paraId="74EF4582" w14:textId="0C187736" w:rsidR="00DB7B1C"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Nova</w:t>
            </w:r>
            <w:r w:rsidR="00E2729B"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banka</w:t>
            </w:r>
            <w:r w:rsidR="00E2729B"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w:t>
            </w:r>
            <w:r w:rsidR="00E2729B" w:rsidRPr="001B53A8">
              <w:rPr>
                <w:rFonts w:ascii="Times New Roman" w:eastAsia="Times New Roman" w:hAnsi="Times New Roman" w:cs="Times New Roman"/>
                <w:sz w:val="20"/>
                <w:szCs w:val="20"/>
                <w:lang w:val="sr-Latn-BA" w:eastAsia="sr-Latn-CS"/>
              </w:rPr>
              <w:t>.</w:t>
            </w:r>
            <w:r w:rsidRPr="001B53A8">
              <w:rPr>
                <w:rFonts w:ascii="Times New Roman" w:eastAsia="Times New Roman" w:hAnsi="Times New Roman" w:cs="Times New Roman"/>
                <w:sz w:val="20"/>
                <w:szCs w:val="20"/>
                <w:lang w:val="sr-Latn-BA" w:eastAsia="sr-Latn-CS"/>
              </w:rPr>
              <w:t>d</w:t>
            </w:r>
            <w:r w:rsidR="00E2729B"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Banja</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Luka</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Filijala</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za</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poslove</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sa</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hartijama</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od</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vrijednosti</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Nova</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Broker</w:t>
            </w:r>
          </w:p>
        </w:tc>
        <w:tc>
          <w:tcPr>
            <w:tcW w:w="1276" w:type="dxa"/>
            <w:vMerge w:val="restart"/>
            <w:shd w:val="clear" w:color="auto" w:fill="DBE5F1" w:themeFill="accent1" w:themeFillTint="33"/>
          </w:tcPr>
          <w:p w14:paraId="1A4A901A"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19.04.2001.</w:t>
            </w:r>
          </w:p>
        </w:tc>
        <w:tc>
          <w:tcPr>
            <w:tcW w:w="3543" w:type="dxa"/>
            <w:tcBorders>
              <w:bottom w:val="single" w:sz="2" w:space="0" w:color="365F91" w:themeColor="accent1" w:themeShade="BF"/>
            </w:tcBorders>
            <w:shd w:val="clear" w:color="auto" w:fill="DBE5F1" w:themeFill="accent1" w:themeFillTint="33"/>
            <w:hideMark/>
          </w:tcPr>
          <w:p w14:paraId="3987034C" w14:textId="119A91A5" w:rsidR="00DB7B1C"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Brokerski</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poslovi</w:t>
            </w:r>
            <w:r w:rsidR="00B81AB5"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w:t>
            </w:r>
          </w:p>
        </w:tc>
        <w:tc>
          <w:tcPr>
            <w:tcW w:w="1276" w:type="dxa"/>
            <w:vMerge w:val="restart"/>
            <w:shd w:val="clear" w:color="auto" w:fill="DBE5F1" w:themeFill="accent1" w:themeFillTint="33"/>
            <w:hideMark/>
          </w:tcPr>
          <w:p w14:paraId="0B9649E3" w14:textId="3E4AA2DB" w:rsidR="00DB7B1C" w:rsidRPr="001B53A8" w:rsidRDefault="00434025" w:rsidP="007B4320">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19.04.</w:t>
            </w:r>
            <w:r w:rsidR="00BF6D48" w:rsidRPr="001B53A8">
              <w:rPr>
                <w:rFonts w:ascii="Times New Roman" w:eastAsia="Times New Roman" w:hAnsi="Times New Roman" w:cs="Times New Roman"/>
                <w:sz w:val="20"/>
                <w:szCs w:val="20"/>
                <w:lang w:val="sr-Latn-BA" w:eastAsia="sr-Latn-CS"/>
              </w:rPr>
              <w:t>2026</w:t>
            </w:r>
            <w:r w:rsidR="00DB7B1C" w:rsidRPr="001B53A8">
              <w:rPr>
                <w:rFonts w:ascii="Times New Roman" w:eastAsia="Times New Roman" w:hAnsi="Times New Roman" w:cs="Times New Roman"/>
                <w:sz w:val="20"/>
                <w:szCs w:val="20"/>
                <w:lang w:val="sr-Latn-BA" w:eastAsia="sr-Latn-CS"/>
              </w:rPr>
              <w:t>.</w:t>
            </w:r>
          </w:p>
        </w:tc>
      </w:tr>
      <w:tr w:rsidR="00DB7B1C" w:rsidRPr="001B53A8" w14:paraId="017EA9E4" w14:textId="77777777" w:rsidTr="007B4320">
        <w:trPr>
          <w:cnfStyle w:val="000000010000" w:firstRow="0" w:lastRow="0" w:firstColumn="0" w:lastColumn="0" w:oddVBand="0" w:evenVBand="0" w:oddHBand="0" w:evenHBand="1" w:firstRowFirstColumn="0" w:firstRowLastColumn="0" w:lastRowFirstColumn="0" w:lastRowLastColumn="0"/>
          <w:trHeight w:val="531"/>
        </w:trPr>
        <w:tc>
          <w:tcPr>
            <w:tcW w:w="392" w:type="dxa"/>
            <w:vMerge/>
          </w:tcPr>
          <w:p w14:paraId="6F3A6F95"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2835" w:type="dxa"/>
            <w:vMerge/>
          </w:tcPr>
          <w:p w14:paraId="2FD78D42" w14:textId="77777777" w:rsidR="00DB7B1C" w:rsidRPr="001B53A8" w:rsidRDefault="00DB7B1C" w:rsidP="007B4320">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tcPr>
          <w:p w14:paraId="7B52E6A1"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3543" w:type="dxa"/>
            <w:tcBorders>
              <w:top w:val="single" w:sz="2" w:space="0" w:color="365F91" w:themeColor="accent1" w:themeShade="BF"/>
            </w:tcBorders>
            <w:shd w:val="clear" w:color="auto" w:fill="DBE5F1" w:themeFill="accent1" w:themeFillTint="33"/>
          </w:tcPr>
          <w:p w14:paraId="36669D88" w14:textId="5F2FF5EB" w:rsidR="00DB7B1C"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Dilerski</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poslovi</w:t>
            </w:r>
            <w:r w:rsidR="00B81AB5" w:rsidRPr="001B53A8">
              <w:rPr>
                <w:rFonts w:ascii="Times New Roman" w:eastAsia="Times New Roman" w:hAnsi="Times New Roman" w:cs="Times New Roman"/>
                <w:sz w:val="20"/>
                <w:szCs w:val="20"/>
                <w:lang w:val="sr-Latn-BA" w:eastAsia="sr-Latn-CS"/>
              </w:rPr>
              <w:t>.</w:t>
            </w:r>
          </w:p>
        </w:tc>
        <w:tc>
          <w:tcPr>
            <w:tcW w:w="1276" w:type="dxa"/>
            <w:vMerge/>
          </w:tcPr>
          <w:p w14:paraId="19B64B97"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r>
      <w:tr w:rsidR="00DB7B1C" w:rsidRPr="001B53A8" w14:paraId="235BA944" w14:textId="77777777" w:rsidTr="007B4320">
        <w:trPr>
          <w:cnfStyle w:val="000000100000" w:firstRow="0" w:lastRow="0" w:firstColumn="0" w:lastColumn="0" w:oddVBand="0" w:evenVBand="0" w:oddHBand="1" w:evenHBand="0" w:firstRowFirstColumn="0" w:firstRowLastColumn="0" w:lastRowFirstColumn="0" w:lastRowLastColumn="0"/>
          <w:trHeight w:val="103"/>
        </w:trPr>
        <w:tc>
          <w:tcPr>
            <w:tcW w:w="392" w:type="dxa"/>
            <w:vMerge w:val="restart"/>
            <w:shd w:val="clear" w:color="auto" w:fill="auto"/>
            <w:hideMark/>
          </w:tcPr>
          <w:p w14:paraId="73482E9F"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w:t>
            </w:r>
          </w:p>
        </w:tc>
        <w:tc>
          <w:tcPr>
            <w:tcW w:w="2835" w:type="dxa"/>
            <w:vMerge w:val="restart"/>
            <w:shd w:val="clear" w:color="auto" w:fill="auto"/>
            <w:hideMark/>
          </w:tcPr>
          <w:p w14:paraId="33317CB4" w14:textId="15B5556B" w:rsidR="00DB7B1C"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Eurobroker</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w:t>
            </w:r>
            <w:r w:rsidR="00DB7B1C" w:rsidRPr="001B53A8">
              <w:rPr>
                <w:rFonts w:ascii="Times New Roman" w:eastAsia="Times New Roman" w:hAnsi="Times New Roman" w:cs="Times New Roman"/>
                <w:sz w:val="20"/>
                <w:szCs w:val="20"/>
                <w:lang w:val="sr-Latn-BA" w:eastAsia="sr-Latn-CS"/>
              </w:rPr>
              <w:t>.</w:t>
            </w:r>
            <w:r w:rsidRPr="001B53A8">
              <w:rPr>
                <w:rFonts w:ascii="Times New Roman" w:eastAsia="Times New Roman" w:hAnsi="Times New Roman" w:cs="Times New Roman"/>
                <w:sz w:val="20"/>
                <w:szCs w:val="20"/>
                <w:lang w:val="sr-Latn-BA" w:eastAsia="sr-Latn-CS"/>
              </w:rPr>
              <w:t>d</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Banja</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Luka</w:t>
            </w:r>
          </w:p>
        </w:tc>
        <w:tc>
          <w:tcPr>
            <w:tcW w:w="1276" w:type="dxa"/>
            <w:vMerge w:val="restart"/>
            <w:shd w:val="clear" w:color="auto" w:fill="auto"/>
          </w:tcPr>
          <w:p w14:paraId="0C89DCD6" w14:textId="77777777" w:rsidR="00DB7B1C" w:rsidRPr="001B53A8" w:rsidRDefault="00DB7B1C" w:rsidP="007B4320">
            <w:pPr>
              <w:spacing w:after="0" w:line="240" w:lineRule="auto"/>
              <w:ind w:firstLine="0"/>
              <w:jc w:val="center"/>
              <w:rPr>
                <w:rStyle w:val="FontStyle22"/>
                <w:rFonts w:ascii="Times New Roman" w:hAnsi="Times New Roman" w:cs="Times New Roman"/>
                <w:sz w:val="20"/>
                <w:szCs w:val="20"/>
                <w:lang w:val="sr-Latn-BA" w:eastAsia="sr-Cyrl-CS"/>
              </w:rPr>
            </w:pPr>
            <w:r w:rsidRPr="001B53A8">
              <w:rPr>
                <w:rStyle w:val="FontStyle22"/>
                <w:rFonts w:ascii="Times New Roman" w:hAnsi="Times New Roman" w:cs="Times New Roman"/>
                <w:sz w:val="20"/>
                <w:szCs w:val="20"/>
                <w:lang w:val="sr-Latn-BA" w:eastAsia="sr-Cyrl-CS"/>
              </w:rPr>
              <w:t>24.04.2001.</w:t>
            </w:r>
          </w:p>
        </w:tc>
        <w:tc>
          <w:tcPr>
            <w:tcW w:w="3543" w:type="dxa"/>
            <w:shd w:val="clear" w:color="auto" w:fill="auto"/>
            <w:hideMark/>
          </w:tcPr>
          <w:p w14:paraId="1FE9B03F" w14:textId="24E5DBC8" w:rsidR="00DB7B1C"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Brokerski</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poslovi</w:t>
            </w:r>
            <w:r w:rsidR="00333009" w:rsidRPr="001B53A8">
              <w:rPr>
                <w:rFonts w:ascii="Times New Roman" w:eastAsia="Times New Roman" w:hAnsi="Times New Roman" w:cs="Times New Roman"/>
                <w:sz w:val="20"/>
                <w:szCs w:val="20"/>
                <w:lang w:val="sr-Latn-BA" w:eastAsia="sr-Latn-CS"/>
              </w:rPr>
              <w:t>,</w:t>
            </w:r>
          </w:p>
        </w:tc>
        <w:tc>
          <w:tcPr>
            <w:tcW w:w="1276" w:type="dxa"/>
            <w:vMerge w:val="restart"/>
            <w:shd w:val="clear" w:color="auto" w:fill="auto"/>
            <w:hideMark/>
          </w:tcPr>
          <w:p w14:paraId="631B24B2" w14:textId="2881DFB5"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r w:rsidRPr="001B53A8">
              <w:rPr>
                <w:rStyle w:val="FontStyle22"/>
                <w:rFonts w:ascii="Times New Roman" w:hAnsi="Times New Roman" w:cs="Times New Roman"/>
                <w:lang w:val="sr-Latn-BA" w:eastAsia="sr-Cyrl-CS"/>
              </w:rPr>
              <w:t>12.07.</w:t>
            </w:r>
            <w:r w:rsidR="00BF6D48" w:rsidRPr="001B53A8">
              <w:rPr>
                <w:rStyle w:val="FontStyle22"/>
                <w:rFonts w:ascii="Times New Roman" w:hAnsi="Times New Roman" w:cs="Times New Roman"/>
                <w:lang w:val="sr-Latn-BA" w:eastAsia="sr-Cyrl-CS"/>
              </w:rPr>
              <w:t>2026</w:t>
            </w:r>
            <w:r w:rsidRPr="001B53A8">
              <w:rPr>
                <w:rStyle w:val="FontStyle22"/>
                <w:rFonts w:ascii="Times New Roman" w:hAnsi="Times New Roman" w:cs="Times New Roman"/>
                <w:lang w:val="sr-Latn-BA" w:eastAsia="sr-Cyrl-CS"/>
              </w:rPr>
              <w:t xml:space="preserve">. </w:t>
            </w:r>
          </w:p>
        </w:tc>
      </w:tr>
      <w:tr w:rsidR="00DB7B1C" w:rsidRPr="001B53A8" w14:paraId="554ACD45" w14:textId="77777777" w:rsidTr="007B4320">
        <w:trPr>
          <w:cnfStyle w:val="000000010000" w:firstRow="0" w:lastRow="0" w:firstColumn="0" w:lastColumn="0" w:oddVBand="0" w:evenVBand="0" w:oddHBand="0" w:evenHBand="1" w:firstRowFirstColumn="0" w:firstRowLastColumn="0" w:lastRowFirstColumn="0" w:lastRowLastColumn="0"/>
          <w:trHeight w:val="54"/>
        </w:trPr>
        <w:tc>
          <w:tcPr>
            <w:tcW w:w="392" w:type="dxa"/>
            <w:vMerge/>
            <w:shd w:val="clear" w:color="auto" w:fill="auto"/>
          </w:tcPr>
          <w:p w14:paraId="0E795F10"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2835" w:type="dxa"/>
            <w:vMerge/>
            <w:shd w:val="clear" w:color="auto" w:fill="auto"/>
          </w:tcPr>
          <w:p w14:paraId="6140959E" w14:textId="77777777" w:rsidR="00DB7B1C" w:rsidRPr="001B53A8" w:rsidRDefault="00DB7B1C" w:rsidP="007B4320">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shd w:val="clear" w:color="auto" w:fill="auto"/>
          </w:tcPr>
          <w:p w14:paraId="05B8C012" w14:textId="77777777" w:rsidR="00DB7B1C" w:rsidRPr="001B53A8" w:rsidRDefault="00DB7B1C" w:rsidP="007B4320">
            <w:pPr>
              <w:spacing w:after="0" w:line="240" w:lineRule="auto"/>
              <w:ind w:firstLine="0"/>
              <w:jc w:val="center"/>
              <w:rPr>
                <w:rStyle w:val="FontStyle22"/>
                <w:rFonts w:ascii="Times New Roman" w:hAnsi="Times New Roman" w:cs="Times New Roman"/>
                <w:sz w:val="20"/>
                <w:szCs w:val="20"/>
                <w:lang w:val="sr-Latn-BA" w:eastAsia="sr-Cyrl-CS"/>
              </w:rPr>
            </w:pPr>
          </w:p>
        </w:tc>
        <w:tc>
          <w:tcPr>
            <w:tcW w:w="3543" w:type="dxa"/>
            <w:shd w:val="clear" w:color="auto" w:fill="auto"/>
          </w:tcPr>
          <w:p w14:paraId="1BAD14B5" w14:textId="7E1D4FAF" w:rsidR="00DB7B1C"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Dilerski</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poslovi</w:t>
            </w:r>
            <w:r w:rsidR="00DB7B1C" w:rsidRPr="001B53A8">
              <w:rPr>
                <w:rFonts w:ascii="Times New Roman" w:eastAsia="Times New Roman" w:hAnsi="Times New Roman" w:cs="Times New Roman"/>
                <w:sz w:val="20"/>
                <w:szCs w:val="20"/>
                <w:lang w:val="sr-Latn-BA" w:eastAsia="sr-Latn-CS"/>
              </w:rPr>
              <w:t>,</w:t>
            </w:r>
          </w:p>
        </w:tc>
        <w:tc>
          <w:tcPr>
            <w:tcW w:w="1276" w:type="dxa"/>
            <w:vMerge/>
            <w:shd w:val="clear" w:color="auto" w:fill="FFFFFF" w:themeFill="background1"/>
          </w:tcPr>
          <w:p w14:paraId="5A0036FF" w14:textId="77777777" w:rsidR="00DB7B1C" w:rsidRPr="001B53A8" w:rsidRDefault="00DB7B1C" w:rsidP="007B4320">
            <w:pPr>
              <w:spacing w:after="0" w:line="240" w:lineRule="auto"/>
              <w:ind w:firstLine="0"/>
              <w:jc w:val="center"/>
              <w:rPr>
                <w:rStyle w:val="FontStyle22"/>
                <w:rFonts w:ascii="Times New Roman" w:hAnsi="Times New Roman" w:cs="Times New Roman"/>
                <w:lang w:val="sr-Latn-BA" w:eastAsia="sr-Cyrl-CS"/>
              </w:rPr>
            </w:pPr>
          </w:p>
        </w:tc>
      </w:tr>
      <w:tr w:rsidR="00DB7B1C" w:rsidRPr="001B53A8" w14:paraId="2593B1B8" w14:textId="77777777" w:rsidTr="007B4320">
        <w:trPr>
          <w:cnfStyle w:val="000000100000" w:firstRow="0" w:lastRow="0" w:firstColumn="0" w:lastColumn="0" w:oddVBand="0" w:evenVBand="0" w:oddHBand="1" w:evenHBand="0" w:firstRowFirstColumn="0" w:firstRowLastColumn="0" w:lastRowFirstColumn="0" w:lastRowLastColumn="0"/>
          <w:trHeight w:val="54"/>
        </w:trPr>
        <w:tc>
          <w:tcPr>
            <w:tcW w:w="392" w:type="dxa"/>
            <w:vMerge/>
            <w:shd w:val="clear" w:color="auto" w:fill="auto"/>
          </w:tcPr>
          <w:p w14:paraId="31B1BAD7"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2835" w:type="dxa"/>
            <w:vMerge/>
            <w:shd w:val="clear" w:color="auto" w:fill="auto"/>
          </w:tcPr>
          <w:p w14:paraId="0A599DBB" w14:textId="77777777" w:rsidR="00DB7B1C" w:rsidRPr="001B53A8" w:rsidRDefault="00DB7B1C" w:rsidP="007B4320">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shd w:val="clear" w:color="auto" w:fill="auto"/>
          </w:tcPr>
          <w:p w14:paraId="2B04B752" w14:textId="77777777" w:rsidR="00DB7B1C" w:rsidRPr="001B53A8" w:rsidRDefault="00DB7B1C" w:rsidP="007B4320">
            <w:pPr>
              <w:spacing w:after="0" w:line="240" w:lineRule="auto"/>
              <w:ind w:firstLine="0"/>
              <w:jc w:val="center"/>
              <w:rPr>
                <w:rStyle w:val="FontStyle22"/>
                <w:rFonts w:ascii="Times New Roman" w:hAnsi="Times New Roman" w:cs="Times New Roman"/>
                <w:sz w:val="20"/>
                <w:szCs w:val="20"/>
                <w:lang w:val="sr-Latn-BA" w:eastAsia="sr-Cyrl-CS"/>
              </w:rPr>
            </w:pPr>
          </w:p>
        </w:tc>
        <w:tc>
          <w:tcPr>
            <w:tcW w:w="3543" w:type="dxa"/>
            <w:shd w:val="clear" w:color="auto" w:fill="auto"/>
          </w:tcPr>
          <w:p w14:paraId="6EF99AF4" w14:textId="41DAAEF4" w:rsidR="00DB7B1C"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Poslovi</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agenta</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emisije</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w:t>
            </w:r>
          </w:p>
        </w:tc>
        <w:tc>
          <w:tcPr>
            <w:tcW w:w="1276" w:type="dxa"/>
            <w:vMerge/>
            <w:shd w:val="clear" w:color="auto" w:fill="FFFFFF" w:themeFill="background1"/>
          </w:tcPr>
          <w:p w14:paraId="78BA7E7E" w14:textId="77777777" w:rsidR="00DB7B1C" w:rsidRPr="001B53A8" w:rsidRDefault="00DB7B1C" w:rsidP="007B4320">
            <w:pPr>
              <w:spacing w:after="0" w:line="240" w:lineRule="auto"/>
              <w:ind w:firstLine="0"/>
              <w:jc w:val="center"/>
              <w:rPr>
                <w:rStyle w:val="FontStyle22"/>
                <w:rFonts w:ascii="Times New Roman" w:hAnsi="Times New Roman" w:cs="Times New Roman"/>
                <w:lang w:val="sr-Latn-BA" w:eastAsia="sr-Cyrl-CS"/>
              </w:rPr>
            </w:pPr>
          </w:p>
        </w:tc>
      </w:tr>
      <w:tr w:rsidR="00DB7B1C" w:rsidRPr="001B53A8" w14:paraId="158B66A6" w14:textId="77777777" w:rsidTr="007B4320">
        <w:trPr>
          <w:cnfStyle w:val="000000010000" w:firstRow="0" w:lastRow="0" w:firstColumn="0" w:lastColumn="0" w:oddVBand="0" w:evenVBand="0" w:oddHBand="0" w:evenHBand="1" w:firstRowFirstColumn="0" w:firstRowLastColumn="0" w:lastRowFirstColumn="0" w:lastRowLastColumn="0"/>
          <w:trHeight w:val="54"/>
        </w:trPr>
        <w:tc>
          <w:tcPr>
            <w:tcW w:w="392" w:type="dxa"/>
            <w:vMerge/>
            <w:shd w:val="clear" w:color="auto" w:fill="auto"/>
          </w:tcPr>
          <w:p w14:paraId="2E15A2C2"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2835" w:type="dxa"/>
            <w:vMerge/>
            <w:shd w:val="clear" w:color="auto" w:fill="auto"/>
          </w:tcPr>
          <w:p w14:paraId="0F11A7D3" w14:textId="77777777" w:rsidR="00DB7B1C" w:rsidRPr="001B53A8" w:rsidRDefault="00DB7B1C" w:rsidP="007B4320">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shd w:val="clear" w:color="auto" w:fill="auto"/>
          </w:tcPr>
          <w:p w14:paraId="335FF7BC" w14:textId="77777777" w:rsidR="00DB7B1C" w:rsidRPr="001B53A8" w:rsidRDefault="00DB7B1C" w:rsidP="007B4320">
            <w:pPr>
              <w:spacing w:after="0" w:line="240" w:lineRule="auto"/>
              <w:ind w:firstLine="0"/>
              <w:jc w:val="center"/>
              <w:rPr>
                <w:rStyle w:val="FontStyle22"/>
                <w:rFonts w:ascii="Times New Roman" w:hAnsi="Times New Roman" w:cs="Times New Roman"/>
                <w:sz w:val="20"/>
                <w:szCs w:val="20"/>
                <w:lang w:val="sr-Latn-BA" w:eastAsia="sr-Cyrl-CS"/>
              </w:rPr>
            </w:pPr>
          </w:p>
        </w:tc>
        <w:tc>
          <w:tcPr>
            <w:tcW w:w="3543" w:type="dxa"/>
            <w:shd w:val="clear" w:color="auto" w:fill="auto"/>
          </w:tcPr>
          <w:p w14:paraId="03AFB5FA" w14:textId="48552380" w:rsidR="00DB7B1C"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Poslovi</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investicionog</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savjetovanja</w:t>
            </w:r>
            <w:r w:rsidR="00333009" w:rsidRPr="001B53A8">
              <w:rPr>
                <w:rFonts w:ascii="Times New Roman" w:eastAsia="Times New Roman" w:hAnsi="Times New Roman" w:cs="Times New Roman"/>
                <w:sz w:val="20"/>
                <w:szCs w:val="20"/>
                <w:lang w:val="sr-Latn-BA" w:eastAsia="sr-Latn-CS"/>
              </w:rPr>
              <w:t>.</w:t>
            </w:r>
          </w:p>
        </w:tc>
        <w:tc>
          <w:tcPr>
            <w:tcW w:w="1276" w:type="dxa"/>
            <w:vMerge/>
            <w:shd w:val="clear" w:color="auto" w:fill="FFFFFF" w:themeFill="background1"/>
          </w:tcPr>
          <w:p w14:paraId="06E4E0A9" w14:textId="77777777" w:rsidR="00DB7B1C" w:rsidRPr="001B53A8" w:rsidRDefault="00DB7B1C" w:rsidP="007B4320">
            <w:pPr>
              <w:spacing w:after="0" w:line="240" w:lineRule="auto"/>
              <w:ind w:firstLine="0"/>
              <w:jc w:val="center"/>
              <w:rPr>
                <w:rStyle w:val="FontStyle22"/>
                <w:rFonts w:ascii="Times New Roman" w:hAnsi="Times New Roman" w:cs="Times New Roman"/>
                <w:lang w:val="sr-Latn-BA" w:eastAsia="sr-Cyrl-CS"/>
              </w:rPr>
            </w:pPr>
          </w:p>
        </w:tc>
      </w:tr>
      <w:tr w:rsidR="007B4320" w:rsidRPr="001B53A8" w14:paraId="6BBBB821" w14:textId="77777777" w:rsidTr="007B4320">
        <w:trPr>
          <w:cnfStyle w:val="000000100000" w:firstRow="0" w:lastRow="0" w:firstColumn="0" w:lastColumn="0" w:oddVBand="0" w:evenVBand="0" w:oddHBand="1" w:evenHBand="0" w:firstRowFirstColumn="0" w:firstRowLastColumn="0" w:lastRowFirstColumn="0" w:lastRowLastColumn="0"/>
          <w:trHeight w:val="236"/>
        </w:trPr>
        <w:tc>
          <w:tcPr>
            <w:tcW w:w="392" w:type="dxa"/>
            <w:vMerge w:val="restart"/>
            <w:shd w:val="clear" w:color="auto" w:fill="DBE5F1" w:themeFill="accent1" w:themeFillTint="33"/>
            <w:hideMark/>
          </w:tcPr>
          <w:p w14:paraId="1FEDAB13" w14:textId="77777777" w:rsidR="007B4320" w:rsidRPr="001B53A8" w:rsidRDefault="007B4320" w:rsidP="007B4320">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3.</w:t>
            </w:r>
          </w:p>
        </w:tc>
        <w:tc>
          <w:tcPr>
            <w:tcW w:w="2835" w:type="dxa"/>
            <w:vMerge w:val="restart"/>
            <w:shd w:val="clear" w:color="auto" w:fill="DBE5F1" w:themeFill="accent1" w:themeFillTint="33"/>
            <w:hideMark/>
          </w:tcPr>
          <w:p w14:paraId="7BC8B74A" w14:textId="23809690" w:rsidR="007B4320"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Monet</w:t>
            </w:r>
            <w:r w:rsidR="007B4320"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Broker</w:t>
            </w:r>
            <w:r w:rsidR="007B4320"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w:t>
            </w:r>
            <w:r w:rsidR="007B4320" w:rsidRPr="001B53A8">
              <w:rPr>
                <w:rFonts w:ascii="Times New Roman" w:eastAsia="Times New Roman" w:hAnsi="Times New Roman" w:cs="Times New Roman"/>
                <w:sz w:val="20"/>
                <w:szCs w:val="20"/>
                <w:lang w:val="sr-Latn-BA" w:eastAsia="sr-Latn-CS"/>
              </w:rPr>
              <w:t>.</w:t>
            </w:r>
            <w:r w:rsidRPr="001B53A8">
              <w:rPr>
                <w:rFonts w:ascii="Times New Roman" w:eastAsia="Times New Roman" w:hAnsi="Times New Roman" w:cs="Times New Roman"/>
                <w:sz w:val="20"/>
                <w:szCs w:val="20"/>
                <w:lang w:val="sr-Latn-BA" w:eastAsia="sr-Latn-CS"/>
              </w:rPr>
              <w:t>d</w:t>
            </w:r>
            <w:r w:rsidR="007B4320" w:rsidRPr="001B53A8">
              <w:rPr>
                <w:rFonts w:ascii="Times New Roman" w:eastAsia="Times New Roman" w:hAnsi="Times New Roman" w:cs="Times New Roman"/>
                <w:sz w:val="20"/>
                <w:szCs w:val="20"/>
                <w:lang w:val="sr-Latn-BA" w:eastAsia="sr-Latn-CS"/>
              </w:rPr>
              <w:t xml:space="preserve">. </w:t>
            </w:r>
          </w:p>
          <w:p w14:paraId="5E2C8559" w14:textId="0EF4EC9C" w:rsidR="007B4320"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Banja</w:t>
            </w:r>
            <w:r w:rsidR="007B4320"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Luka</w:t>
            </w:r>
          </w:p>
        </w:tc>
        <w:tc>
          <w:tcPr>
            <w:tcW w:w="1276" w:type="dxa"/>
            <w:vMerge w:val="restart"/>
            <w:shd w:val="clear" w:color="auto" w:fill="DBE5F1" w:themeFill="accent1" w:themeFillTint="33"/>
          </w:tcPr>
          <w:p w14:paraId="6D047DB9" w14:textId="77777777" w:rsidR="007B4320" w:rsidRPr="001B53A8" w:rsidRDefault="007B4320" w:rsidP="007B4320">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18.01.2007.</w:t>
            </w:r>
          </w:p>
        </w:tc>
        <w:tc>
          <w:tcPr>
            <w:tcW w:w="3543" w:type="dxa"/>
            <w:tcBorders>
              <w:bottom w:val="single" w:sz="2" w:space="0" w:color="365F91" w:themeColor="accent1" w:themeShade="BF"/>
            </w:tcBorders>
            <w:shd w:val="clear" w:color="auto" w:fill="DBE5F1" w:themeFill="accent1" w:themeFillTint="33"/>
            <w:hideMark/>
          </w:tcPr>
          <w:p w14:paraId="60580C9B" w14:textId="6CE2BD0E" w:rsidR="007B4320"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Brokerski</w:t>
            </w:r>
            <w:r w:rsidR="007B4320"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poslovi</w:t>
            </w:r>
            <w:r w:rsidR="007B4320" w:rsidRPr="001B53A8">
              <w:rPr>
                <w:rFonts w:ascii="Times New Roman" w:eastAsia="Times New Roman" w:hAnsi="Times New Roman" w:cs="Times New Roman"/>
                <w:sz w:val="20"/>
                <w:szCs w:val="20"/>
                <w:lang w:val="sr-Latn-BA" w:eastAsia="sr-Latn-CS"/>
              </w:rPr>
              <w:t>,</w:t>
            </w:r>
          </w:p>
        </w:tc>
        <w:tc>
          <w:tcPr>
            <w:tcW w:w="1276" w:type="dxa"/>
            <w:vMerge w:val="restart"/>
            <w:shd w:val="clear" w:color="auto" w:fill="DBE5F1" w:themeFill="accent1" w:themeFillTint="33"/>
            <w:hideMark/>
          </w:tcPr>
          <w:p w14:paraId="2CE86D74" w14:textId="2B8496D2" w:rsidR="007B4320" w:rsidRPr="001B53A8" w:rsidRDefault="007B4320" w:rsidP="007B4320">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03.12.2024.</w:t>
            </w:r>
          </w:p>
        </w:tc>
      </w:tr>
      <w:tr w:rsidR="007B4320" w:rsidRPr="001B53A8" w14:paraId="6509A0A9" w14:textId="77777777" w:rsidTr="007B4320">
        <w:trPr>
          <w:cnfStyle w:val="000000010000" w:firstRow="0" w:lastRow="0" w:firstColumn="0" w:lastColumn="0" w:oddVBand="0" w:evenVBand="0" w:oddHBand="0" w:evenHBand="1" w:firstRowFirstColumn="0" w:firstRowLastColumn="0" w:lastRowFirstColumn="0" w:lastRowLastColumn="0"/>
          <w:trHeight w:val="245"/>
        </w:trPr>
        <w:tc>
          <w:tcPr>
            <w:tcW w:w="392" w:type="dxa"/>
            <w:vMerge/>
            <w:shd w:val="clear" w:color="auto" w:fill="DBE5F1" w:themeFill="accent1" w:themeFillTint="33"/>
          </w:tcPr>
          <w:p w14:paraId="1B93C4A6" w14:textId="77777777" w:rsidR="007B4320" w:rsidRPr="001B53A8" w:rsidRDefault="007B4320"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2835" w:type="dxa"/>
            <w:vMerge/>
            <w:shd w:val="clear" w:color="auto" w:fill="DBE5F1" w:themeFill="accent1" w:themeFillTint="33"/>
          </w:tcPr>
          <w:p w14:paraId="0EEBD51F" w14:textId="77777777" w:rsidR="007B4320" w:rsidRPr="001B53A8" w:rsidRDefault="007B4320" w:rsidP="007B4320">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shd w:val="clear" w:color="auto" w:fill="DBE5F1" w:themeFill="accent1" w:themeFillTint="33"/>
          </w:tcPr>
          <w:p w14:paraId="085BBE50" w14:textId="77777777" w:rsidR="007B4320" w:rsidRPr="001B53A8" w:rsidRDefault="007B4320"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3543" w:type="dxa"/>
            <w:tcBorders>
              <w:top w:val="single" w:sz="2" w:space="0" w:color="365F91" w:themeColor="accent1" w:themeShade="BF"/>
            </w:tcBorders>
            <w:shd w:val="clear" w:color="auto" w:fill="DBE5F1" w:themeFill="accent1" w:themeFillTint="33"/>
          </w:tcPr>
          <w:p w14:paraId="42A0B171" w14:textId="312B6974" w:rsidR="007B4320"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Dilerski</w:t>
            </w:r>
            <w:r w:rsidR="007B4320"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poslovi</w:t>
            </w:r>
            <w:r w:rsidR="007B4320" w:rsidRPr="001B53A8">
              <w:rPr>
                <w:rFonts w:ascii="Times New Roman" w:eastAsia="Times New Roman" w:hAnsi="Times New Roman" w:cs="Times New Roman"/>
                <w:sz w:val="20"/>
                <w:szCs w:val="20"/>
                <w:lang w:val="sr-Latn-BA" w:eastAsia="sr-Latn-CS"/>
              </w:rPr>
              <w:t>,</w:t>
            </w:r>
          </w:p>
        </w:tc>
        <w:tc>
          <w:tcPr>
            <w:tcW w:w="1276" w:type="dxa"/>
            <w:vMerge/>
            <w:shd w:val="clear" w:color="auto" w:fill="DBE5F1" w:themeFill="accent1" w:themeFillTint="33"/>
          </w:tcPr>
          <w:p w14:paraId="29C4269A" w14:textId="31BF4DF8" w:rsidR="007B4320" w:rsidRPr="001B53A8" w:rsidRDefault="007B4320" w:rsidP="007B4320">
            <w:pPr>
              <w:spacing w:after="0" w:line="240" w:lineRule="auto"/>
              <w:ind w:firstLine="0"/>
              <w:jc w:val="center"/>
              <w:rPr>
                <w:rFonts w:ascii="Times New Roman" w:eastAsia="Times New Roman" w:hAnsi="Times New Roman" w:cs="Times New Roman"/>
                <w:sz w:val="20"/>
                <w:szCs w:val="20"/>
                <w:lang w:val="sr-Latn-BA" w:eastAsia="sr-Latn-CS"/>
              </w:rPr>
            </w:pPr>
          </w:p>
        </w:tc>
      </w:tr>
      <w:tr w:rsidR="007B4320" w:rsidRPr="001B53A8" w14:paraId="2271D6D5" w14:textId="77777777" w:rsidTr="007B4320">
        <w:trPr>
          <w:cnfStyle w:val="000000100000" w:firstRow="0" w:lastRow="0" w:firstColumn="0" w:lastColumn="0" w:oddVBand="0" w:evenVBand="0" w:oddHBand="1" w:evenHBand="0" w:firstRowFirstColumn="0" w:firstRowLastColumn="0" w:lastRowFirstColumn="0" w:lastRowLastColumn="0"/>
          <w:trHeight w:val="159"/>
        </w:trPr>
        <w:tc>
          <w:tcPr>
            <w:tcW w:w="392" w:type="dxa"/>
            <w:vMerge/>
            <w:shd w:val="clear" w:color="auto" w:fill="DBE5F1" w:themeFill="accent1" w:themeFillTint="33"/>
            <w:hideMark/>
          </w:tcPr>
          <w:p w14:paraId="3D654E82" w14:textId="77777777" w:rsidR="007B4320" w:rsidRPr="001B53A8" w:rsidRDefault="007B4320" w:rsidP="007B4320">
            <w:pPr>
              <w:spacing w:after="0" w:line="240" w:lineRule="auto"/>
              <w:ind w:firstLine="0"/>
              <w:rPr>
                <w:rFonts w:ascii="Times New Roman" w:eastAsia="Times New Roman" w:hAnsi="Times New Roman" w:cs="Times New Roman"/>
                <w:sz w:val="20"/>
                <w:szCs w:val="20"/>
                <w:lang w:val="sr-Latn-BA" w:eastAsia="sr-Latn-CS"/>
              </w:rPr>
            </w:pPr>
          </w:p>
        </w:tc>
        <w:tc>
          <w:tcPr>
            <w:tcW w:w="2835" w:type="dxa"/>
            <w:vMerge/>
            <w:shd w:val="clear" w:color="auto" w:fill="DBE5F1" w:themeFill="accent1" w:themeFillTint="33"/>
            <w:hideMark/>
          </w:tcPr>
          <w:p w14:paraId="7281A644" w14:textId="77777777" w:rsidR="007B4320" w:rsidRPr="001B53A8" w:rsidRDefault="007B4320" w:rsidP="007B4320">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shd w:val="clear" w:color="auto" w:fill="DBE5F1" w:themeFill="accent1" w:themeFillTint="33"/>
          </w:tcPr>
          <w:p w14:paraId="72D4851F" w14:textId="77777777" w:rsidR="007B4320" w:rsidRPr="001B53A8" w:rsidRDefault="007B4320" w:rsidP="007B4320">
            <w:pPr>
              <w:spacing w:after="0" w:line="240" w:lineRule="auto"/>
              <w:ind w:firstLine="0"/>
              <w:rPr>
                <w:rFonts w:ascii="Times New Roman" w:eastAsia="Times New Roman" w:hAnsi="Times New Roman" w:cs="Times New Roman"/>
                <w:sz w:val="20"/>
                <w:szCs w:val="20"/>
                <w:lang w:val="sr-Latn-BA" w:eastAsia="sr-Latn-CS"/>
              </w:rPr>
            </w:pPr>
          </w:p>
        </w:tc>
        <w:tc>
          <w:tcPr>
            <w:tcW w:w="3543" w:type="dxa"/>
            <w:shd w:val="clear" w:color="auto" w:fill="DBE5F1" w:themeFill="accent1" w:themeFillTint="33"/>
            <w:hideMark/>
          </w:tcPr>
          <w:p w14:paraId="5E03F138" w14:textId="45B469DD" w:rsidR="007B4320"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Poslovi</w:t>
            </w:r>
            <w:r w:rsidR="007B4320"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agenta</w:t>
            </w:r>
            <w:r w:rsidR="007B4320"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emisije</w:t>
            </w:r>
            <w:r w:rsidR="007B4320"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w:t>
            </w:r>
          </w:p>
        </w:tc>
        <w:tc>
          <w:tcPr>
            <w:tcW w:w="1276" w:type="dxa"/>
            <w:vMerge/>
            <w:shd w:val="clear" w:color="auto" w:fill="DBE5F1" w:themeFill="accent1" w:themeFillTint="33"/>
            <w:hideMark/>
          </w:tcPr>
          <w:p w14:paraId="5849CE07" w14:textId="3842ED1D" w:rsidR="007B4320" w:rsidRPr="001B53A8" w:rsidRDefault="007B4320" w:rsidP="007B4320">
            <w:pPr>
              <w:spacing w:after="0" w:line="240" w:lineRule="auto"/>
              <w:ind w:firstLine="0"/>
              <w:jc w:val="center"/>
              <w:rPr>
                <w:rFonts w:ascii="Times New Roman" w:eastAsia="Times New Roman" w:hAnsi="Times New Roman" w:cs="Times New Roman"/>
                <w:sz w:val="20"/>
                <w:szCs w:val="20"/>
                <w:lang w:val="sr-Latn-BA" w:eastAsia="sr-Latn-CS"/>
              </w:rPr>
            </w:pPr>
          </w:p>
        </w:tc>
      </w:tr>
      <w:tr w:rsidR="007B4320" w:rsidRPr="001B53A8" w14:paraId="20850457" w14:textId="77777777" w:rsidTr="007B4320">
        <w:trPr>
          <w:cnfStyle w:val="000000010000" w:firstRow="0" w:lastRow="0" w:firstColumn="0" w:lastColumn="0" w:oddVBand="0" w:evenVBand="0" w:oddHBand="0" w:evenHBand="1" w:firstRowFirstColumn="0" w:firstRowLastColumn="0" w:lastRowFirstColumn="0" w:lastRowLastColumn="0"/>
          <w:trHeight w:val="193"/>
        </w:trPr>
        <w:tc>
          <w:tcPr>
            <w:tcW w:w="392" w:type="dxa"/>
            <w:vMerge/>
            <w:shd w:val="clear" w:color="auto" w:fill="DBE5F1" w:themeFill="accent1" w:themeFillTint="33"/>
            <w:hideMark/>
          </w:tcPr>
          <w:p w14:paraId="044B7FA0" w14:textId="77777777" w:rsidR="007B4320" w:rsidRPr="001B53A8" w:rsidRDefault="007B4320" w:rsidP="007B4320">
            <w:pPr>
              <w:spacing w:after="0" w:line="240" w:lineRule="auto"/>
              <w:ind w:firstLine="0"/>
              <w:rPr>
                <w:rFonts w:ascii="Times New Roman" w:eastAsia="Times New Roman" w:hAnsi="Times New Roman" w:cs="Times New Roman"/>
                <w:sz w:val="20"/>
                <w:szCs w:val="20"/>
                <w:lang w:val="sr-Latn-BA" w:eastAsia="sr-Latn-CS"/>
              </w:rPr>
            </w:pPr>
          </w:p>
        </w:tc>
        <w:tc>
          <w:tcPr>
            <w:tcW w:w="2835" w:type="dxa"/>
            <w:vMerge/>
            <w:shd w:val="clear" w:color="auto" w:fill="DBE5F1" w:themeFill="accent1" w:themeFillTint="33"/>
            <w:hideMark/>
          </w:tcPr>
          <w:p w14:paraId="5F6BD339" w14:textId="77777777" w:rsidR="007B4320" w:rsidRPr="001B53A8" w:rsidRDefault="007B4320" w:rsidP="007B4320">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shd w:val="clear" w:color="auto" w:fill="DBE5F1" w:themeFill="accent1" w:themeFillTint="33"/>
          </w:tcPr>
          <w:p w14:paraId="46931117" w14:textId="77777777" w:rsidR="007B4320" w:rsidRPr="001B53A8" w:rsidRDefault="007B4320" w:rsidP="007B4320">
            <w:pPr>
              <w:spacing w:after="0" w:line="240" w:lineRule="auto"/>
              <w:ind w:firstLine="0"/>
              <w:rPr>
                <w:rFonts w:ascii="Times New Roman" w:eastAsia="Times New Roman" w:hAnsi="Times New Roman" w:cs="Times New Roman"/>
                <w:sz w:val="20"/>
                <w:szCs w:val="20"/>
                <w:lang w:val="sr-Latn-BA" w:eastAsia="sr-Latn-CS"/>
              </w:rPr>
            </w:pPr>
          </w:p>
        </w:tc>
        <w:tc>
          <w:tcPr>
            <w:tcW w:w="3543" w:type="dxa"/>
            <w:shd w:val="clear" w:color="auto" w:fill="DBE5F1" w:themeFill="accent1" w:themeFillTint="33"/>
            <w:hideMark/>
          </w:tcPr>
          <w:p w14:paraId="130381F7" w14:textId="7BCCC50E" w:rsidR="007B4320"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Poslovi</w:t>
            </w:r>
            <w:r w:rsidR="007B4320"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investicionog</w:t>
            </w:r>
            <w:r w:rsidR="007B4320"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savjetovanja</w:t>
            </w:r>
            <w:r w:rsidR="007B4320" w:rsidRPr="001B53A8">
              <w:rPr>
                <w:rFonts w:ascii="Times New Roman" w:eastAsia="Times New Roman" w:hAnsi="Times New Roman" w:cs="Times New Roman"/>
                <w:sz w:val="20"/>
                <w:szCs w:val="20"/>
                <w:lang w:val="sr-Latn-BA" w:eastAsia="sr-Latn-CS"/>
              </w:rPr>
              <w:t>.</w:t>
            </w:r>
          </w:p>
        </w:tc>
        <w:tc>
          <w:tcPr>
            <w:tcW w:w="1276" w:type="dxa"/>
            <w:vMerge/>
            <w:shd w:val="clear" w:color="auto" w:fill="DBE5F1" w:themeFill="accent1" w:themeFillTint="33"/>
            <w:hideMark/>
          </w:tcPr>
          <w:p w14:paraId="089D95B5" w14:textId="1C7D9AC5" w:rsidR="007B4320" w:rsidRPr="001B53A8" w:rsidRDefault="007B4320" w:rsidP="007B4320">
            <w:pPr>
              <w:spacing w:after="0" w:line="240" w:lineRule="auto"/>
              <w:ind w:firstLine="0"/>
              <w:jc w:val="center"/>
              <w:rPr>
                <w:rFonts w:ascii="Times New Roman" w:eastAsia="Times New Roman" w:hAnsi="Times New Roman" w:cs="Times New Roman"/>
                <w:sz w:val="20"/>
                <w:szCs w:val="20"/>
                <w:lang w:val="sr-Latn-BA" w:eastAsia="sr-Latn-CS"/>
              </w:rPr>
            </w:pPr>
          </w:p>
        </w:tc>
      </w:tr>
      <w:tr w:rsidR="00DB7B1C" w:rsidRPr="001B53A8" w14:paraId="6551A225" w14:textId="77777777" w:rsidTr="007B4320">
        <w:trPr>
          <w:cnfStyle w:val="000000100000" w:firstRow="0" w:lastRow="0" w:firstColumn="0" w:lastColumn="0" w:oddVBand="0" w:evenVBand="0" w:oddHBand="1" w:evenHBand="0" w:firstRowFirstColumn="0" w:firstRowLastColumn="0" w:lastRowFirstColumn="0" w:lastRowLastColumn="0"/>
          <w:trHeight w:val="357"/>
        </w:trPr>
        <w:tc>
          <w:tcPr>
            <w:tcW w:w="392" w:type="dxa"/>
            <w:shd w:val="clear" w:color="auto" w:fill="FFFFFF" w:themeFill="background1"/>
            <w:hideMark/>
          </w:tcPr>
          <w:p w14:paraId="2A04514D"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4.</w:t>
            </w:r>
          </w:p>
        </w:tc>
        <w:tc>
          <w:tcPr>
            <w:tcW w:w="2835" w:type="dxa"/>
            <w:shd w:val="clear" w:color="auto" w:fill="FFFFFF" w:themeFill="background1"/>
            <w:hideMark/>
          </w:tcPr>
          <w:p w14:paraId="02AFCCB2" w14:textId="65BEA0B2" w:rsidR="00DB7B1C" w:rsidRPr="001B53A8" w:rsidRDefault="00DB7B1C"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 xml:space="preserve">Raiffeisen Capital </w:t>
            </w:r>
            <w:r w:rsidR="00003F34" w:rsidRPr="001B53A8">
              <w:rPr>
                <w:rFonts w:ascii="Times New Roman" w:eastAsia="Times New Roman" w:hAnsi="Times New Roman" w:cs="Times New Roman"/>
                <w:sz w:val="20"/>
                <w:szCs w:val="20"/>
                <w:lang w:val="sr-Latn-BA" w:eastAsia="sr-Latn-CS"/>
              </w:rPr>
              <w:t>a</w:t>
            </w:r>
            <w:r w:rsidRPr="001B53A8">
              <w:rPr>
                <w:rFonts w:ascii="Times New Roman" w:eastAsia="Times New Roman" w:hAnsi="Times New Roman" w:cs="Times New Roman"/>
                <w:sz w:val="20"/>
                <w:szCs w:val="20"/>
                <w:lang w:val="sr-Latn-BA" w:eastAsia="sr-Latn-CS"/>
              </w:rPr>
              <w:t>.</w:t>
            </w:r>
            <w:r w:rsidR="00003F34" w:rsidRPr="001B53A8">
              <w:rPr>
                <w:rFonts w:ascii="Times New Roman" w:eastAsia="Times New Roman" w:hAnsi="Times New Roman" w:cs="Times New Roman"/>
                <w:sz w:val="20"/>
                <w:szCs w:val="20"/>
                <w:lang w:val="sr-Latn-BA" w:eastAsia="sr-Latn-CS"/>
              </w:rPr>
              <w:t>d</w:t>
            </w:r>
            <w:r w:rsidRPr="001B53A8">
              <w:rPr>
                <w:rFonts w:ascii="Times New Roman" w:eastAsia="Times New Roman" w:hAnsi="Times New Roman" w:cs="Times New Roman"/>
                <w:sz w:val="20"/>
                <w:szCs w:val="20"/>
                <w:lang w:val="sr-Latn-BA" w:eastAsia="sr-Latn-CS"/>
              </w:rPr>
              <w:t xml:space="preserve">. </w:t>
            </w:r>
          </w:p>
          <w:p w14:paraId="2D4C7459" w14:textId="789D7D3B" w:rsidR="00DB7B1C"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Banja</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Luka</w:t>
            </w:r>
          </w:p>
        </w:tc>
        <w:tc>
          <w:tcPr>
            <w:tcW w:w="1276" w:type="dxa"/>
            <w:shd w:val="clear" w:color="auto" w:fill="FFFFFF" w:themeFill="background1"/>
          </w:tcPr>
          <w:p w14:paraId="69185033"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02.02.2007.</w:t>
            </w:r>
          </w:p>
        </w:tc>
        <w:tc>
          <w:tcPr>
            <w:tcW w:w="3543" w:type="dxa"/>
            <w:shd w:val="clear" w:color="auto" w:fill="FFFFFF" w:themeFill="background1"/>
            <w:hideMark/>
          </w:tcPr>
          <w:p w14:paraId="64C9AB83" w14:textId="2D74E7F4" w:rsidR="00DB7B1C"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Brokerski</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poslovi</w:t>
            </w:r>
          </w:p>
        </w:tc>
        <w:tc>
          <w:tcPr>
            <w:tcW w:w="1276" w:type="dxa"/>
            <w:shd w:val="clear" w:color="auto" w:fill="FFFFFF" w:themeFill="background1"/>
            <w:hideMark/>
          </w:tcPr>
          <w:p w14:paraId="27C5AB84" w14:textId="2ACF461A" w:rsidR="00DB7B1C" w:rsidRPr="001B53A8" w:rsidRDefault="007B4320" w:rsidP="007B4320">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29.01.2025.</w:t>
            </w:r>
          </w:p>
        </w:tc>
      </w:tr>
      <w:tr w:rsidR="00DB7B1C" w:rsidRPr="001B53A8" w14:paraId="60985D82" w14:textId="77777777" w:rsidTr="007B4320">
        <w:trPr>
          <w:cnfStyle w:val="000000010000" w:firstRow="0" w:lastRow="0" w:firstColumn="0" w:lastColumn="0" w:oddVBand="0" w:evenVBand="0" w:oddHBand="0" w:evenHBand="1" w:firstRowFirstColumn="0" w:firstRowLastColumn="0" w:lastRowFirstColumn="0" w:lastRowLastColumn="0"/>
          <w:trHeight w:val="54"/>
        </w:trPr>
        <w:tc>
          <w:tcPr>
            <w:tcW w:w="392" w:type="dxa"/>
            <w:vMerge w:val="restart"/>
            <w:shd w:val="clear" w:color="auto" w:fill="DBE5F1" w:themeFill="accent1" w:themeFillTint="33"/>
          </w:tcPr>
          <w:p w14:paraId="07C65251"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5.</w:t>
            </w:r>
          </w:p>
        </w:tc>
        <w:tc>
          <w:tcPr>
            <w:tcW w:w="2835" w:type="dxa"/>
            <w:vMerge w:val="restart"/>
            <w:shd w:val="clear" w:color="auto" w:fill="DBE5F1" w:themeFill="accent1" w:themeFillTint="33"/>
          </w:tcPr>
          <w:p w14:paraId="5E509DFA" w14:textId="598F61F8" w:rsidR="00DB7B1C" w:rsidRPr="001B53A8" w:rsidRDefault="00DB7B1C"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 xml:space="preserve">Advantis Broker </w:t>
            </w:r>
            <w:r w:rsidR="00003F34" w:rsidRPr="001B53A8">
              <w:rPr>
                <w:rFonts w:ascii="Times New Roman" w:eastAsia="Times New Roman" w:hAnsi="Times New Roman" w:cs="Times New Roman"/>
                <w:sz w:val="20"/>
                <w:szCs w:val="20"/>
                <w:lang w:val="sr-Latn-BA" w:eastAsia="sr-Latn-CS"/>
              </w:rPr>
              <w:t>a</w:t>
            </w:r>
            <w:r w:rsidRPr="001B53A8">
              <w:rPr>
                <w:rFonts w:ascii="Times New Roman" w:eastAsia="Times New Roman" w:hAnsi="Times New Roman" w:cs="Times New Roman"/>
                <w:sz w:val="20"/>
                <w:szCs w:val="20"/>
                <w:lang w:val="sr-Latn-BA" w:eastAsia="sr-Latn-CS"/>
              </w:rPr>
              <w:t>.</w:t>
            </w:r>
            <w:r w:rsidR="00003F34" w:rsidRPr="001B53A8">
              <w:rPr>
                <w:rFonts w:ascii="Times New Roman" w:eastAsia="Times New Roman" w:hAnsi="Times New Roman" w:cs="Times New Roman"/>
                <w:sz w:val="20"/>
                <w:szCs w:val="20"/>
                <w:lang w:val="sr-Latn-BA" w:eastAsia="sr-Latn-CS"/>
              </w:rPr>
              <w:t>d</w:t>
            </w:r>
            <w:r w:rsidRPr="001B53A8">
              <w:rPr>
                <w:rFonts w:ascii="Times New Roman" w:eastAsia="Times New Roman" w:hAnsi="Times New Roman" w:cs="Times New Roman"/>
                <w:sz w:val="20"/>
                <w:szCs w:val="20"/>
                <w:lang w:val="sr-Latn-BA" w:eastAsia="sr-Latn-CS"/>
              </w:rPr>
              <w:t xml:space="preserve">. </w:t>
            </w:r>
          </w:p>
          <w:p w14:paraId="55C974A2" w14:textId="691FDF4A" w:rsidR="00DB7B1C"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Banja</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Luka</w:t>
            </w:r>
          </w:p>
        </w:tc>
        <w:tc>
          <w:tcPr>
            <w:tcW w:w="1276" w:type="dxa"/>
            <w:vMerge w:val="restart"/>
            <w:shd w:val="clear" w:color="auto" w:fill="DBE5F1" w:themeFill="accent1" w:themeFillTint="33"/>
          </w:tcPr>
          <w:p w14:paraId="2C8C4B83"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05.03.2007.</w:t>
            </w:r>
          </w:p>
        </w:tc>
        <w:tc>
          <w:tcPr>
            <w:tcW w:w="3543" w:type="dxa"/>
            <w:shd w:val="clear" w:color="auto" w:fill="DBE5F1" w:themeFill="accent1" w:themeFillTint="33"/>
          </w:tcPr>
          <w:p w14:paraId="1D39A035" w14:textId="26A001A8" w:rsidR="00DB7B1C"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Brokerski</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poslovi</w:t>
            </w:r>
            <w:r w:rsidR="00DB7B1C" w:rsidRPr="001B53A8">
              <w:rPr>
                <w:rFonts w:ascii="Times New Roman" w:eastAsia="Times New Roman" w:hAnsi="Times New Roman" w:cs="Times New Roman"/>
                <w:sz w:val="20"/>
                <w:szCs w:val="20"/>
                <w:lang w:val="sr-Latn-BA" w:eastAsia="sr-Latn-CS"/>
              </w:rPr>
              <w:t>,</w:t>
            </w:r>
          </w:p>
        </w:tc>
        <w:tc>
          <w:tcPr>
            <w:tcW w:w="1276" w:type="dxa"/>
            <w:vMerge w:val="restart"/>
            <w:shd w:val="clear" w:color="auto" w:fill="DBE5F1" w:themeFill="accent1" w:themeFillTint="33"/>
          </w:tcPr>
          <w:p w14:paraId="46C3CCE6" w14:textId="3057DB04"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22.12.</w:t>
            </w:r>
            <w:r w:rsidR="00BF6D48" w:rsidRPr="001B53A8">
              <w:rPr>
                <w:rFonts w:ascii="Times New Roman" w:eastAsia="Times New Roman" w:hAnsi="Times New Roman" w:cs="Times New Roman"/>
                <w:sz w:val="20"/>
                <w:szCs w:val="20"/>
                <w:lang w:val="sr-Latn-BA" w:eastAsia="sr-Latn-CS"/>
              </w:rPr>
              <w:t>2026</w:t>
            </w:r>
            <w:r w:rsidRPr="001B53A8">
              <w:rPr>
                <w:rFonts w:ascii="Times New Roman" w:eastAsia="Times New Roman" w:hAnsi="Times New Roman" w:cs="Times New Roman"/>
                <w:sz w:val="20"/>
                <w:szCs w:val="20"/>
                <w:lang w:val="sr-Latn-BA" w:eastAsia="sr-Latn-CS"/>
              </w:rPr>
              <w:t>.</w:t>
            </w:r>
          </w:p>
        </w:tc>
      </w:tr>
      <w:tr w:rsidR="00DB7B1C" w:rsidRPr="001B53A8" w14:paraId="57E4863C" w14:textId="77777777" w:rsidTr="007B4320">
        <w:trPr>
          <w:cnfStyle w:val="000000100000" w:firstRow="0" w:lastRow="0" w:firstColumn="0" w:lastColumn="0" w:oddVBand="0" w:evenVBand="0" w:oddHBand="1" w:evenHBand="0" w:firstRowFirstColumn="0" w:firstRowLastColumn="0" w:lastRowFirstColumn="0" w:lastRowLastColumn="0"/>
          <w:trHeight w:val="99"/>
        </w:trPr>
        <w:tc>
          <w:tcPr>
            <w:tcW w:w="392" w:type="dxa"/>
            <w:vMerge/>
          </w:tcPr>
          <w:p w14:paraId="504828C8"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2835" w:type="dxa"/>
            <w:vMerge/>
          </w:tcPr>
          <w:p w14:paraId="7B51515A" w14:textId="77777777" w:rsidR="00DB7B1C" w:rsidRPr="001B53A8" w:rsidRDefault="00DB7B1C" w:rsidP="007B4320">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tcPr>
          <w:p w14:paraId="79AADB95"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3543" w:type="dxa"/>
            <w:shd w:val="clear" w:color="auto" w:fill="DBE5F1" w:themeFill="accent1" w:themeFillTint="33"/>
          </w:tcPr>
          <w:p w14:paraId="2AB6E6EE" w14:textId="3385C68D" w:rsidR="00DB7B1C"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Dilerski</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poslovi</w:t>
            </w:r>
            <w:r w:rsidR="00DB7B1C" w:rsidRPr="001B53A8">
              <w:rPr>
                <w:rFonts w:ascii="Times New Roman" w:eastAsia="Times New Roman" w:hAnsi="Times New Roman" w:cs="Times New Roman"/>
                <w:sz w:val="20"/>
                <w:szCs w:val="20"/>
                <w:lang w:val="sr-Latn-BA" w:eastAsia="sr-Latn-CS"/>
              </w:rPr>
              <w:t>,</w:t>
            </w:r>
          </w:p>
        </w:tc>
        <w:tc>
          <w:tcPr>
            <w:tcW w:w="1276" w:type="dxa"/>
            <w:vMerge/>
          </w:tcPr>
          <w:p w14:paraId="45C5FF6B"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r>
      <w:tr w:rsidR="00DB7B1C" w:rsidRPr="001B53A8" w14:paraId="4AE7381A" w14:textId="77777777" w:rsidTr="007B4320">
        <w:trPr>
          <w:cnfStyle w:val="000000010000" w:firstRow="0" w:lastRow="0" w:firstColumn="0" w:lastColumn="0" w:oddVBand="0" w:evenVBand="0" w:oddHBand="0" w:evenHBand="1" w:firstRowFirstColumn="0" w:firstRowLastColumn="0" w:lastRowFirstColumn="0" w:lastRowLastColumn="0"/>
          <w:trHeight w:val="238"/>
        </w:trPr>
        <w:tc>
          <w:tcPr>
            <w:tcW w:w="392" w:type="dxa"/>
            <w:vMerge/>
          </w:tcPr>
          <w:p w14:paraId="74FE87E1"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2835" w:type="dxa"/>
            <w:vMerge/>
          </w:tcPr>
          <w:p w14:paraId="63AFCC01" w14:textId="77777777" w:rsidR="00DB7B1C" w:rsidRPr="001B53A8" w:rsidRDefault="00DB7B1C" w:rsidP="007B4320">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tcPr>
          <w:p w14:paraId="6A323992"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3543" w:type="dxa"/>
            <w:shd w:val="clear" w:color="auto" w:fill="DBE5F1" w:themeFill="accent1" w:themeFillTint="33"/>
          </w:tcPr>
          <w:p w14:paraId="23D795DE" w14:textId="58B336D8" w:rsidR="00DB7B1C"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Poslovi</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upravlјanja</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portfelјom</w:t>
            </w:r>
            <w:r w:rsidR="00DB7B1C" w:rsidRPr="001B53A8">
              <w:rPr>
                <w:rFonts w:ascii="Times New Roman" w:eastAsia="Times New Roman" w:hAnsi="Times New Roman" w:cs="Times New Roman"/>
                <w:sz w:val="20"/>
                <w:szCs w:val="20"/>
                <w:lang w:val="sr-Latn-BA" w:eastAsia="sr-Latn-CS"/>
              </w:rPr>
              <w:t>,</w:t>
            </w:r>
          </w:p>
        </w:tc>
        <w:tc>
          <w:tcPr>
            <w:tcW w:w="1276" w:type="dxa"/>
            <w:vMerge/>
          </w:tcPr>
          <w:p w14:paraId="209D3AD8"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r>
      <w:tr w:rsidR="00DB7B1C" w:rsidRPr="001B53A8" w14:paraId="2322146E" w14:textId="77777777" w:rsidTr="007B4320">
        <w:trPr>
          <w:cnfStyle w:val="000000100000" w:firstRow="0" w:lastRow="0" w:firstColumn="0" w:lastColumn="0" w:oddVBand="0" w:evenVBand="0" w:oddHBand="1" w:evenHBand="0" w:firstRowFirstColumn="0" w:firstRowLastColumn="0" w:lastRowFirstColumn="0" w:lastRowLastColumn="0"/>
          <w:trHeight w:val="54"/>
        </w:trPr>
        <w:tc>
          <w:tcPr>
            <w:tcW w:w="392" w:type="dxa"/>
            <w:vMerge/>
          </w:tcPr>
          <w:p w14:paraId="236009CD"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2835" w:type="dxa"/>
            <w:vMerge/>
          </w:tcPr>
          <w:p w14:paraId="3664B479" w14:textId="77777777" w:rsidR="00DB7B1C" w:rsidRPr="001B53A8" w:rsidRDefault="00DB7B1C" w:rsidP="007B4320">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tcPr>
          <w:p w14:paraId="506C45DF"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3543" w:type="dxa"/>
            <w:shd w:val="clear" w:color="auto" w:fill="DBE5F1" w:themeFill="accent1" w:themeFillTint="33"/>
          </w:tcPr>
          <w:p w14:paraId="64C15387" w14:textId="67C3A9A7" w:rsidR="00DB7B1C"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Poslovi</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agenta</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emisije</w:t>
            </w:r>
            <w:r w:rsidR="00DB7B1C" w:rsidRPr="001B53A8">
              <w:rPr>
                <w:rFonts w:ascii="Times New Roman" w:eastAsia="Times New Roman" w:hAnsi="Times New Roman" w:cs="Times New Roman"/>
                <w:sz w:val="20"/>
                <w:szCs w:val="20"/>
                <w:lang w:val="sr-Latn-BA" w:eastAsia="sr-Latn-CS"/>
              </w:rPr>
              <w:t>,</w:t>
            </w:r>
          </w:p>
        </w:tc>
        <w:tc>
          <w:tcPr>
            <w:tcW w:w="1276" w:type="dxa"/>
            <w:vMerge/>
          </w:tcPr>
          <w:p w14:paraId="67AE41E0"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r>
      <w:tr w:rsidR="00DB7B1C" w:rsidRPr="001B53A8" w14:paraId="25E248B0" w14:textId="77777777" w:rsidTr="007B4320">
        <w:trPr>
          <w:cnfStyle w:val="000000010000" w:firstRow="0" w:lastRow="0" w:firstColumn="0" w:lastColumn="0" w:oddVBand="0" w:evenVBand="0" w:oddHBand="0" w:evenHBand="1" w:firstRowFirstColumn="0" w:firstRowLastColumn="0" w:lastRowFirstColumn="0" w:lastRowLastColumn="0"/>
          <w:trHeight w:val="54"/>
        </w:trPr>
        <w:tc>
          <w:tcPr>
            <w:tcW w:w="392" w:type="dxa"/>
            <w:vMerge/>
          </w:tcPr>
          <w:p w14:paraId="6D768292"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2835" w:type="dxa"/>
            <w:vMerge/>
          </w:tcPr>
          <w:p w14:paraId="767C073C" w14:textId="77777777" w:rsidR="00DB7B1C" w:rsidRPr="001B53A8" w:rsidRDefault="00DB7B1C" w:rsidP="007B4320">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tcPr>
          <w:p w14:paraId="0F2E6DBB"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3543" w:type="dxa"/>
            <w:shd w:val="clear" w:color="auto" w:fill="DBE5F1" w:themeFill="accent1" w:themeFillTint="33"/>
          </w:tcPr>
          <w:p w14:paraId="033445D3" w14:textId="105B6A29" w:rsidR="00DB7B1C"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Poslovi</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podrške</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tržištu</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w:t>
            </w:r>
          </w:p>
        </w:tc>
        <w:tc>
          <w:tcPr>
            <w:tcW w:w="1276" w:type="dxa"/>
            <w:vMerge/>
          </w:tcPr>
          <w:p w14:paraId="07676D8C"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r>
      <w:tr w:rsidR="00DB7B1C" w:rsidRPr="001B53A8" w14:paraId="40C8C929" w14:textId="77777777" w:rsidTr="007B4320">
        <w:trPr>
          <w:cnfStyle w:val="000000100000" w:firstRow="0" w:lastRow="0" w:firstColumn="0" w:lastColumn="0" w:oddVBand="0" w:evenVBand="0" w:oddHBand="1" w:evenHBand="0" w:firstRowFirstColumn="0" w:firstRowLastColumn="0" w:lastRowFirstColumn="0" w:lastRowLastColumn="0"/>
          <w:trHeight w:val="54"/>
        </w:trPr>
        <w:tc>
          <w:tcPr>
            <w:tcW w:w="392" w:type="dxa"/>
            <w:vMerge/>
          </w:tcPr>
          <w:p w14:paraId="750B5494"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2835" w:type="dxa"/>
            <w:vMerge/>
          </w:tcPr>
          <w:p w14:paraId="4EB89BC0" w14:textId="77777777" w:rsidR="00DB7B1C" w:rsidRPr="001B53A8" w:rsidRDefault="00DB7B1C" w:rsidP="007B4320">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tcPr>
          <w:p w14:paraId="1B3BFF13"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3543" w:type="dxa"/>
            <w:shd w:val="clear" w:color="auto" w:fill="DBE5F1" w:themeFill="accent1" w:themeFillTint="33"/>
          </w:tcPr>
          <w:p w14:paraId="67B54C13" w14:textId="09BE07D8" w:rsidR="00DB7B1C" w:rsidRPr="001B53A8" w:rsidRDefault="00003F34" w:rsidP="007B4320">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Poslovi</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investicionog</w:t>
            </w:r>
            <w:r w:rsidR="00DB7B1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savjetovanja</w:t>
            </w:r>
            <w:r w:rsidR="00DB7B1C" w:rsidRPr="001B53A8">
              <w:rPr>
                <w:rFonts w:ascii="Times New Roman" w:eastAsia="Times New Roman" w:hAnsi="Times New Roman" w:cs="Times New Roman"/>
                <w:sz w:val="20"/>
                <w:szCs w:val="20"/>
                <w:lang w:val="sr-Latn-BA" w:eastAsia="sr-Latn-CS"/>
              </w:rPr>
              <w:t>.</w:t>
            </w:r>
          </w:p>
        </w:tc>
        <w:tc>
          <w:tcPr>
            <w:tcW w:w="1276" w:type="dxa"/>
            <w:vMerge/>
          </w:tcPr>
          <w:p w14:paraId="31345C61" w14:textId="77777777" w:rsidR="00DB7B1C" w:rsidRPr="001B53A8"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r>
    </w:tbl>
    <w:p w14:paraId="548C5E8B" w14:textId="4E8CA302" w:rsidR="000255CC" w:rsidRPr="001B53A8" w:rsidRDefault="00003F34" w:rsidP="006B6E0C">
      <w:pPr>
        <w:pStyle w:val="Caption"/>
        <w:tabs>
          <w:tab w:val="left" w:pos="1276"/>
        </w:tabs>
        <w:spacing w:after="0"/>
        <w:ind w:left="1276" w:hanging="1276"/>
        <w:jc w:val="both"/>
        <w:rPr>
          <w:rFonts w:ascii="Times New Roman" w:hAnsi="Times New Roman"/>
          <w:b w:val="0"/>
          <w:noProof/>
          <w:sz w:val="24"/>
          <w:szCs w:val="24"/>
          <w:lang w:val="sr-Latn-BA"/>
        </w:rPr>
      </w:pPr>
      <w:r w:rsidRPr="001B53A8">
        <w:rPr>
          <w:rFonts w:ascii="Times New Roman" w:hAnsi="Times New Roman"/>
          <w:sz w:val="24"/>
          <w:szCs w:val="24"/>
          <w:lang w:val="sr-Latn-BA"/>
        </w:rPr>
        <w:lastRenderedPageBreak/>
        <w:t>Tabela</w:t>
      </w:r>
      <w:r w:rsidR="000255CC" w:rsidRPr="001B53A8">
        <w:rPr>
          <w:rFonts w:ascii="Times New Roman" w:hAnsi="Times New Roman"/>
          <w:sz w:val="24"/>
          <w:szCs w:val="24"/>
          <w:lang w:val="sr-Latn-BA"/>
        </w:rPr>
        <w:t xml:space="preserve"> </w:t>
      </w:r>
      <w:r w:rsidR="00D3478F" w:rsidRPr="001B53A8">
        <w:rPr>
          <w:rFonts w:ascii="Times New Roman" w:hAnsi="Times New Roman"/>
          <w:sz w:val="24"/>
          <w:szCs w:val="24"/>
          <w:lang w:val="sr-Latn-BA"/>
        </w:rPr>
        <w:fldChar w:fldCharType="begin"/>
      </w:r>
      <w:r w:rsidR="000255CC" w:rsidRPr="001B53A8">
        <w:rPr>
          <w:rFonts w:ascii="Times New Roman" w:hAnsi="Times New Roman"/>
          <w:sz w:val="24"/>
          <w:szCs w:val="24"/>
          <w:lang w:val="sr-Latn-BA"/>
        </w:rPr>
        <w:instrText xml:space="preserve"> SEQ Табела \* ARABIC </w:instrText>
      </w:r>
      <w:r w:rsidR="00D3478F" w:rsidRPr="001B53A8">
        <w:rPr>
          <w:rFonts w:ascii="Times New Roman" w:hAnsi="Times New Roman"/>
          <w:sz w:val="24"/>
          <w:szCs w:val="24"/>
          <w:lang w:val="sr-Latn-BA"/>
        </w:rPr>
        <w:fldChar w:fldCharType="separate"/>
      </w:r>
      <w:r w:rsidR="00E00890" w:rsidRPr="001B53A8">
        <w:rPr>
          <w:rFonts w:ascii="Times New Roman" w:hAnsi="Times New Roman"/>
          <w:noProof/>
          <w:sz w:val="24"/>
          <w:szCs w:val="24"/>
          <w:lang w:val="sr-Latn-BA"/>
        </w:rPr>
        <w:t>9</w:t>
      </w:r>
      <w:r w:rsidR="00D3478F" w:rsidRPr="001B53A8">
        <w:rPr>
          <w:rFonts w:ascii="Times New Roman" w:hAnsi="Times New Roman"/>
          <w:sz w:val="24"/>
          <w:szCs w:val="24"/>
          <w:lang w:val="sr-Latn-BA"/>
        </w:rPr>
        <w:fldChar w:fldCharType="end"/>
      </w:r>
      <w:r w:rsidR="000255CC" w:rsidRPr="001B53A8">
        <w:rPr>
          <w:rFonts w:ascii="Times New Roman" w:hAnsi="Times New Roman"/>
          <w:sz w:val="24"/>
          <w:szCs w:val="24"/>
          <w:lang w:val="sr-Latn-BA"/>
        </w:rPr>
        <w:t xml:space="preserve">. </w:t>
      </w:r>
      <w:r w:rsidR="000255CC" w:rsidRPr="001B53A8">
        <w:rPr>
          <w:rFonts w:ascii="Times New Roman" w:hAnsi="Times New Roman"/>
          <w:b w:val="0"/>
          <w:noProof/>
          <w:sz w:val="24"/>
          <w:szCs w:val="24"/>
          <w:lang w:val="sr-Latn-BA"/>
        </w:rPr>
        <w:tab/>
      </w:r>
      <w:r w:rsidRPr="001B53A8">
        <w:rPr>
          <w:rFonts w:ascii="Times New Roman" w:hAnsi="Times New Roman"/>
          <w:b w:val="0"/>
          <w:noProof/>
          <w:sz w:val="24"/>
          <w:szCs w:val="24"/>
          <w:lang w:val="sr-Latn-BA"/>
        </w:rPr>
        <w:t>Pregled</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berzanskih</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posrednika</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koji</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su</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imali</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dozvolu</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za</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obavlјanje</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poslova</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sa</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hartijama</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od</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vrijednosti</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na</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dan</w:t>
      </w:r>
      <w:r w:rsidR="000255CC" w:rsidRPr="001B53A8">
        <w:rPr>
          <w:rFonts w:ascii="Times New Roman" w:hAnsi="Times New Roman"/>
          <w:b w:val="0"/>
          <w:noProof/>
          <w:sz w:val="24"/>
          <w:szCs w:val="24"/>
          <w:lang w:val="sr-Latn-BA"/>
        </w:rPr>
        <w:t xml:space="preserve"> 31.12.</w:t>
      </w:r>
      <w:r w:rsidR="00BF6D48" w:rsidRPr="001B53A8">
        <w:rPr>
          <w:rFonts w:ascii="Times New Roman" w:hAnsi="Times New Roman"/>
          <w:b w:val="0"/>
          <w:noProof/>
          <w:sz w:val="24"/>
          <w:szCs w:val="24"/>
          <w:lang w:val="sr-Latn-BA"/>
        </w:rPr>
        <w:t>2023</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godine</w:t>
      </w:r>
    </w:p>
    <w:p w14:paraId="675F328B" w14:textId="19159565" w:rsidR="000A0529" w:rsidRPr="001B53A8" w:rsidRDefault="00003F34" w:rsidP="006B6E0C">
      <w:pPr>
        <w:spacing w:line="240" w:lineRule="auto"/>
        <w:ind w:firstLine="567"/>
        <w:rPr>
          <w:rFonts w:eastAsia="Times New Roman"/>
          <w:lang w:val="sr-Latn-BA"/>
        </w:rPr>
      </w:pPr>
      <w:r w:rsidRPr="001B53A8">
        <w:rPr>
          <w:lang w:val="sr-Latn-BA"/>
        </w:rPr>
        <w:t>U</w:t>
      </w:r>
      <w:r w:rsidR="00434025" w:rsidRPr="001B53A8">
        <w:rPr>
          <w:lang w:val="sr-Latn-BA"/>
        </w:rPr>
        <w:t xml:space="preserve"> 202</w:t>
      </w:r>
      <w:r w:rsidR="00BF6D48" w:rsidRPr="001B53A8">
        <w:rPr>
          <w:lang w:val="sr-Latn-BA"/>
        </w:rPr>
        <w:t>3</w:t>
      </w:r>
      <w:r w:rsidR="000A0529" w:rsidRPr="001B53A8">
        <w:rPr>
          <w:lang w:val="sr-Latn-BA"/>
        </w:rPr>
        <w:t xml:space="preserve">. </w:t>
      </w:r>
      <w:r w:rsidRPr="001B53A8">
        <w:rPr>
          <w:lang w:val="sr-Latn-BA"/>
        </w:rPr>
        <w:t>godini</w:t>
      </w:r>
      <w:r w:rsidR="000A0529" w:rsidRPr="001B53A8">
        <w:rPr>
          <w:lang w:val="sr-Latn-BA"/>
        </w:rPr>
        <w:t xml:space="preserve"> </w:t>
      </w:r>
      <w:r w:rsidRPr="001B53A8">
        <w:rPr>
          <w:rFonts w:eastAsia="Times New Roman"/>
          <w:lang w:val="sr-Latn-BA"/>
        </w:rPr>
        <w:t>donesen</w:t>
      </w:r>
      <w:r w:rsidR="00BF6D48" w:rsidRPr="001B53A8">
        <w:rPr>
          <w:rFonts w:eastAsia="Times New Roman"/>
          <w:lang w:val="sr-Latn-BA"/>
        </w:rPr>
        <w:t xml:space="preserve">o </w:t>
      </w:r>
      <w:r w:rsidRPr="001B53A8">
        <w:rPr>
          <w:rFonts w:eastAsia="Times New Roman"/>
          <w:lang w:val="sr-Latn-BA"/>
        </w:rPr>
        <w:t>je</w:t>
      </w:r>
      <w:r w:rsidR="00BF6D48" w:rsidRPr="001B53A8">
        <w:rPr>
          <w:rFonts w:eastAsia="Times New Roman"/>
          <w:lang w:val="sr-Latn-BA"/>
        </w:rPr>
        <w:t xml:space="preserve"> </w:t>
      </w:r>
      <w:r w:rsidRPr="001B53A8">
        <w:rPr>
          <w:rFonts w:eastAsia="Times New Roman"/>
          <w:lang w:val="sr-Latn-BA"/>
        </w:rPr>
        <w:t>rješenje</w:t>
      </w:r>
      <w:r w:rsidR="00BF6D48" w:rsidRPr="001B53A8">
        <w:rPr>
          <w:rFonts w:eastAsia="Times New Roman"/>
          <w:lang w:val="sr-Latn-BA"/>
        </w:rPr>
        <w:t xml:space="preserve">, </w:t>
      </w:r>
      <w:r w:rsidRPr="001B53A8">
        <w:rPr>
          <w:rFonts w:eastAsia="Times New Roman"/>
          <w:lang w:val="sr-Latn-BA"/>
        </w:rPr>
        <w:t>kojim</w:t>
      </w:r>
      <w:r w:rsidR="00BF6D48" w:rsidRPr="001B53A8">
        <w:rPr>
          <w:rFonts w:eastAsia="Times New Roman"/>
          <w:lang w:val="sr-Latn-BA"/>
        </w:rPr>
        <w:t xml:space="preserve"> </w:t>
      </w:r>
      <w:r w:rsidRPr="001B53A8">
        <w:rPr>
          <w:rFonts w:eastAsia="Times New Roman"/>
          <w:lang w:val="sr-Latn-BA"/>
        </w:rPr>
        <w:t>Društvu</w:t>
      </w:r>
      <w:r w:rsidR="00BF6D48" w:rsidRPr="001B53A8">
        <w:rPr>
          <w:rFonts w:eastAsia="Times New Roman"/>
          <w:lang w:val="sr-Latn-BA"/>
        </w:rPr>
        <w:t xml:space="preserve"> </w:t>
      </w:r>
      <w:r w:rsidRPr="001B53A8">
        <w:rPr>
          <w:rFonts w:eastAsia="Times New Roman"/>
          <w:lang w:val="sr-Latn-BA"/>
        </w:rPr>
        <w:t>za</w:t>
      </w:r>
      <w:r w:rsidR="00BF6D48" w:rsidRPr="001B53A8">
        <w:rPr>
          <w:rFonts w:eastAsia="Times New Roman"/>
          <w:lang w:val="sr-Latn-BA"/>
        </w:rPr>
        <w:t xml:space="preserve"> </w:t>
      </w:r>
      <w:r w:rsidRPr="001B53A8">
        <w:rPr>
          <w:rFonts w:eastAsia="Times New Roman"/>
          <w:lang w:val="sr-Latn-BA"/>
        </w:rPr>
        <w:t>poslovanje</w:t>
      </w:r>
      <w:r w:rsidR="00BF6D48" w:rsidRPr="001B53A8">
        <w:rPr>
          <w:rFonts w:eastAsia="Times New Roman"/>
          <w:lang w:val="sr-Latn-BA"/>
        </w:rPr>
        <w:t xml:space="preserve"> </w:t>
      </w:r>
      <w:r w:rsidRPr="001B53A8">
        <w:rPr>
          <w:rFonts w:eastAsia="Times New Roman"/>
          <w:lang w:val="sr-Latn-BA"/>
        </w:rPr>
        <w:t>sa</w:t>
      </w:r>
      <w:r w:rsidR="00BF6D48" w:rsidRPr="001B53A8">
        <w:rPr>
          <w:rFonts w:eastAsia="Times New Roman"/>
          <w:lang w:val="sr-Latn-BA"/>
        </w:rPr>
        <w:t xml:space="preserve"> </w:t>
      </w:r>
      <w:r w:rsidRPr="001B53A8">
        <w:rPr>
          <w:rFonts w:eastAsia="Times New Roman"/>
          <w:lang w:val="sr-Latn-BA"/>
        </w:rPr>
        <w:t>hartijama</w:t>
      </w:r>
      <w:r w:rsidR="00BF6D48" w:rsidRPr="001B53A8">
        <w:rPr>
          <w:rFonts w:eastAsia="Times New Roman"/>
          <w:lang w:val="sr-Latn-BA"/>
        </w:rPr>
        <w:t xml:space="preserve"> </w:t>
      </w:r>
      <w:r w:rsidRPr="001B53A8">
        <w:rPr>
          <w:rFonts w:eastAsia="Times New Roman"/>
          <w:lang w:val="sr-Latn-BA"/>
        </w:rPr>
        <w:t>od</w:t>
      </w:r>
      <w:r w:rsidR="00BF6D48" w:rsidRPr="001B53A8">
        <w:rPr>
          <w:rFonts w:eastAsia="Times New Roman"/>
          <w:lang w:val="sr-Latn-BA"/>
        </w:rPr>
        <w:t xml:space="preserve"> </w:t>
      </w:r>
      <w:r w:rsidRPr="001B53A8">
        <w:rPr>
          <w:rFonts w:eastAsia="Times New Roman"/>
          <w:lang w:val="sr-Latn-BA"/>
        </w:rPr>
        <w:t>vrijednosti</w:t>
      </w:r>
      <w:r w:rsidR="00BF6D48" w:rsidRPr="001B53A8">
        <w:rPr>
          <w:rFonts w:eastAsia="Times New Roman"/>
          <w:lang w:val="sr-Latn-BA"/>
        </w:rPr>
        <w:t xml:space="preserve"> "ALPHA CAPITAL MANAGEMENT" </w:t>
      </w:r>
      <w:r w:rsidRPr="001B53A8">
        <w:rPr>
          <w:rFonts w:eastAsia="Times New Roman"/>
          <w:lang w:val="sr-Latn-BA"/>
        </w:rPr>
        <w:t>a</w:t>
      </w:r>
      <w:r w:rsidR="00BF6D48" w:rsidRPr="001B53A8">
        <w:rPr>
          <w:rFonts w:eastAsia="Times New Roman"/>
          <w:lang w:val="sr-Latn-BA"/>
        </w:rPr>
        <w:t>.</w:t>
      </w:r>
      <w:r w:rsidRPr="001B53A8">
        <w:rPr>
          <w:rFonts w:eastAsia="Times New Roman"/>
          <w:lang w:val="sr-Latn-BA"/>
        </w:rPr>
        <w:t>d</w:t>
      </w:r>
      <w:r w:rsidR="00BF6D48" w:rsidRPr="001B53A8">
        <w:rPr>
          <w:rFonts w:eastAsia="Times New Roman"/>
          <w:lang w:val="sr-Latn-BA"/>
        </w:rPr>
        <w:t xml:space="preserve">. </w:t>
      </w:r>
      <w:r w:rsidRPr="001B53A8">
        <w:rPr>
          <w:rFonts w:eastAsia="Times New Roman"/>
          <w:lang w:val="sr-Latn-BA"/>
        </w:rPr>
        <w:t>Banja</w:t>
      </w:r>
      <w:r w:rsidR="00BF6D48" w:rsidRPr="001B53A8">
        <w:rPr>
          <w:rFonts w:eastAsia="Times New Roman"/>
          <w:lang w:val="sr-Latn-BA"/>
        </w:rPr>
        <w:t xml:space="preserve"> </w:t>
      </w:r>
      <w:r w:rsidRPr="001B53A8">
        <w:rPr>
          <w:rFonts w:eastAsia="Times New Roman"/>
          <w:lang w:val="sr-Latn-BA"/>
        </w:rPr>
        <w:t>Luka</w:t>
      </w:r>
      <w:r w:rsidR="00BF6D48" w:rsidRPr="001B53A8">
        <w:rPr>
          <w:rFonts w:eastAsia="Times New Roman"/>
          <w:lang w:val="sr-Latn-BA"/>
        </w:rPr>
        <w:t xml:space="preserve"> </w:t>
      </w:r>
      <w:r w:rsidRPr="001B53A8">
        <w:rPr>
          <w:rFonts w:eastAsia="Times New Roman"/>
          <w:lang w:val="sr-Latn-BA"/>
        </w:rPr>
        <w:t>prestaje</w:t>
      </w:r>
      <w:r w:rsidR="00BF6D48" w:rsidRPr="001B53A8">
        <w:rPr>
          <w:rFonts w:eastAsia="Times New Roman"/>
          <w:lang w:val="sr-Latn-BA"/>
        </w:rPr>
        <w:t xml:space="preserve"> </w:t>
      </w:r>
      <w:r w:rsidRPr="001B53A8">
        <w:rPr>
          <w:rFonts w:eastAsia="Times New Roman"/>
          <w:lang w:val="sr-Latn-BA"/>
        </w:rPr>
        <w:t>da</w:t>
      </w:r>
      <w:r w:rsidR="00BF6D48" w:rsidRPr="001B53A8">
        <w:rPr>
          <w:rFonts w:eastAsia="Times New Roman"/>
          <w:lang w:val="sr-Latn-BA"/>
        </w:rPr>
        <w:t xml:space="preserve"> </w:t>
      </w:r>
      <w:r w:rsidRPr="001B53A8">
        <w:rPr>
          <w:rFonts w:eastAsia="Times New Roman"/>
          <w:lang w:val="sr-Latn-BA"/>
        </w:rPr>
        <w:t>važi</w:t>
      </w:r>
      <w:r w:rsidR="00BF6D48" w:rsidRPr="001B53A8">
        <w:rPr>
          <w:rFonts w:eastAsia="Times New Roman"/>
          <w:lang w:val="sr-Latn-BA"/>
        </w:rPr>
        <w:t xml:space="preserve"> </w:t>
      </w:r>
      <w:r w:rsidRPr="001B53A8">
        <w:rPr>
          <w:rFonts w:eastAsia="Times New Roman"/>
          <w:lang w:val="sr-Latn-BA"/>
        </w:rPr>
        <w:t>dozvola</w:t>
      </w:r>
      <w:r w:rsidR="00BF6D48" w:rsidRPr="001B53A8">
        <w:rPr>
          <w:rFonts w:eastAsia="Times New Roman"/>
          <w:lang w:val="sr-Latn-BA"/>
        </w:rPr>
        <w:t xml:space="preserve"> </w:t>
      </w:r>
      <w:r w:rsidRPr="001B53A8">
        <w:rPr>
          <w:rFonts w:eastAsia="Times New Roman"/>
          <w:lang w:val="sr-Latn-BA"/>
        </w:rPr>
        <w:t>za</w:t>
      </w:r>
      <w:r w:rsidR="00BF6D48" w:rsidRPr="001B53A8">
        <w:rPr>
          <w:rFonts w:eastAsia="Times New Roman"/>
          <w:lang w:val="sr-Latn-BA"/>
        </w:rPr>
        <w:t xml:space="preserve"> </w:t>
      </w:r>
      <w:r w:rsidRPr="001B53A8">
        <w:rPr>
          <w:rFonts w:eastAsia="Times New Roman"/>
          <w:lang w:val="sr-Latn-BA"/>
        </w:rPr>
        <w:t>poslovanje</w:t>
      </w:r>
      <w:r w:rsidR="00BF6D48" w:rsidRPr="001B53A8">
        <w:rPr>
          <w:rFonts w:eastAsia="Times New Roman"/>
          <w:lang w:val="sr-Latn-BA"/>
        </w:rPr>
        <w:t xml:space="preserve"> </w:t>
      </w:r>
      <w:r w:rsidRPr="001B53A8">
        <w:rPr>
          <w:rFonts w:eastAsia="Times New Roman"/>
          <w:lang w:val="sr-Latn-BA"/>
        </w:rPr>
        <w:t>sa</w:t>
      </w:r>
      <w:r w:rsidR="00BF6D48" w:rsidRPr="001B53A8">
        <w:rPr>
          <w:rFonts w:eastAsia="Times New Roman"/>
          <w:lang w:val="sr-Latn-BA"/>
        </w:rPr>
        <w:t xml:space="preserve"> </w:t>
      </w:r>
      <w:r w:rsidRPr="001B53A8">
        <w:rPr>
          <w:rFonts w:eastAsia="Times New Roman"/>
          <w:lang w:val="sr-Latn-BA"/>
        </w:rPr>
        <w:t>hartijama</w:t>
      </w:r>
      <w:r w:rsidR="00BF6D48" w:rsidRPr="001B53A8">
        <w:rPr>
          <w:rFonts w:eastAsia="Times New Roman"/>
          <w:lang w:val="sr-Latn-BA"/>
        </w:rPr>
        <w:t xml:space="preserve"> </w:t>
      </w:r>
      <w:r w:rsidRPr="001B53A8">
        <w:rPr>
          <w:rFonts w:eastAsia="Times New Roman"/>
          <w:lang w:val="sr-Latn-BA"/>
        </w:rPr>
        <w:t>od</w:t>
      </w:r>
      <w:r w:rsidR="00BF6D48" w:rsidRPr="001B53A8">
        <w:rPr>
          <w:rFonts w:eastAsia="Times New Roman"/>
          <w:lang w:val="sr-Latn-BA"/>
        </w:rPr>
        <w:t xml:space="preserve"> </w:t>
      </w:r>
      <w:r w:rsidRPr="001B53A8">
        <w:rPr>
          <w:rFonts w:eastAsia="Times New Roman"/>
          <w:lang w:val="sr-Latn-BA"/>
        </w:rPr>
        <w:t>vrijednosti</w:t>
      </w:r>
      <w:r w:rsidR="000A0529" w:rsidRPr="001B53A8">
        <w:rPr>
          <w:rFonts w:eastAsia="Times New Roman"/>
          <w:lang w:val="sr-Latn-BA"/>
        </w:rPr>
        <w:t>.</w:t>
      </w:r>
      <w:r w:rsidR="00BF6D48" w:rsidRPr="001B53A8">
        <w:rPr>
          <w:rFonts w:eastAsia="Times New Roman"/>
          <w:lang w:val="sr-Latn-BA"/>
        </w:rPr>
        <w:t xml:space="preserve"> </w:t>
      </w:r>
    </w:p>
    <w:p w14:paraId="7EDB1C6A" w14:textId="4C6B2CDC" w:rsidR="00BF6D48" w:rsidRPr="001B53A8" w:rsidRDefault="00003F34" w:rsidP="00BF6D48">
      <w:pPr>
        <w:spacing w:line="240" w:lineRule="auto"/>
        <w:ind w:firstLine="567"/>
        <w:rPr>
          <w:rFonts w:eastAsia="Times New Roman"/>
          <w:lang w:val="sr-Latn-BA"/>
        </w:rPr>
      </w:pPr>
      <w:r w:rsidRPr="001B53A8">
        <w:rPr>
          <w:lang w:val="sr-Latn-BA"/>
        </w:rPr>
        <w:t>U</w:t>
      </w:r>
      <w:r w:rsidR="00BF6D48" w:rsidRPr="001B53A8">
        <w:rPr>
          <w:lang w:val="sr-Latn-BA"/>
        </w:rPr>
        <w:t xml:space="preserve"> 2023. </w:t>
      </w:r>
      <w:r w:rsidRPr="001B53A8">
        <w:rPr>
          <w:lang w:val="sr-Latn-BA"/>
        </w:rPr>
        <w:t>godini</w:t>
      </w:r>
      <w:r w:rsidR="00BF6D48" w:rsidRPr="001B53A8">
        <w:rPr>
          <w:lang w:val="sr-Latn-BA"/>
        </w:rPr>
        <w:t xml:space="preserve"> </w:t>
      </w:r>
      <w:r w:rsidRPr="001B53A8">
        <w:rPr>
          <w:rFonts w:eastAsia="Times New Roman"/>
          <w:lang w:val="sr-Latn-BA"/>
        </w:rPr>
        <w:t>izdata</w:t>
      </w:r>
      <w:r w:rsidR="00BF6D48" w:rsidRPr="001B53A8">
        <w:rPr>
          <w:rFonts w:eastAsia="Times New Roman"/>
          <w:lang w:val="sr-Latn-BA"/>
        </w:rPr>
        <w:t xml:space="preserve"> </w:t>
      </w:r>
      <w:r w:rsidRPr="001B53A8">
        <w:rPr>
          <w:rFonts w:eastAsia="Times New Roman"/>
          <w:lang w:val="sr-Latn-BA"/>
        </w:rPr>
        <w:t>je</w:t>
      </w:r>
      <w:r w:rsidR="00BF6D48" w:rsidRPr="001B53A8">
        <w:rPr>
          <w:rFonts w:eastAsia="Times New Roman"/>
          <w:lang w:val="sr-Latn-BA"/>
        </w:rPr>
        <w:t xml:space="preserve"> </w:t>
      </w:r>
      <w:r w:rsidRPr="001B53A8">
        <w:rPr>
          <w:rFonts w:eastAsia="Times New Roman"/>
          <w:lang w:val="sr-Latn-BA"/>
        </w:rPr>
        <w:t>dozvola</w:t>
      </w:r>
      <w:r w:rsidR="00BF6D48" w:rsidRPr="001B53A8">
        <w:rPr>
          <w:rFonts w:eastAsia="Times New Roman"/>
          <w:lang w:val="sr-Latn-BA"/>
        </w:rPr>
        <w:t xml:space="preserve"> </w:t>
      </w:r>
      <w:r w:rsidRPr="001B53A8">
        <w:rPr>
          <w:rFonts w:eastAsia="Times New Roman"/>
          <w:lang w:val="sr-Latn-BA"/>
        </w:rPr>
        <w:t>za</w:t>
      </w:r>
      <w:r w:rsidR="00BF6D48" w:rsidRPr="001B53A8">
        <w:rPr>
          <w:rFonts w:eastAsia="Times New Roman"/>
          <w:lang w:val="sr-Latn-BA"/>
        </w:rPr>
        <w:t xml:space="preserve"> </w:t>
      </w:r>
      <w:r w:rsidRPr="001B53A8">
        <w:rPr>
          <w:rFonts w:eastAsia="Times New Roman"/>
          <w:lang w:val="sr-Latn-BA"/>
        </w:rPr>
        <w:t>obavlјanje</w:t>
      </w:r>
      <w:r w:rsidR="00BF6D48" w:rsidRPr="001B53A8">
        <w:rPr>
          <w:rFonts w:eastAsia="Times New Roman"/>
          <w:lang w:val="sr-Latn-BA"/>
        </w:rPr>
        <w:t xml:space="preserve"> </w:t>
      </w:r>
      <w:r w:rsidRPr="001B53A8">
        <w:rPr>
          <w:rFonts w:eastAsia="Times New Roman"/>
          <w:lang w:val="sr-Latn-BA"/>
        </w:rPr>
        <w:t>brokerskih</w:t>
      </w:r>
      <w:r w:rsidR="00BF6D48" w:rsidRPr="001B53A8">
        <w:rPr>
          <w:rFonts w:eastAsia="Times New Roman"/>
          <w:lang w:val="sr-Latn-BA"/>
        </w:rPr>
        <w:t xml:space="preserve"> </w:t>
      </w:r>
      <w:r w:rsidRPr="001B53A8">
        <w:rPr>
          <w:rFonts w:eastAsia="Times New Roman"/>
          <w:lang w:val="sr-Latn-BA"/>
        </w:rPr>
        <w:t>i</w:t>
      </w:r>
      <w:r w:rsidR="00BF6D48" w:rsidRPr="001B53A8">
        <w:rPr>
          <w:rFonts w:eastAsia="Times New Roman"/>
          <w:lang w:val="sr-Latn-BA"/>
        </w:rPr>
        <w:t xml:space="preserve"> </w:t>
      </w:r>
      <w:r w:rsidRPr="001B53A8">
        <w:rPr>
          <w:rFonts w:eastAsia="Times New Roman"/>
          <w:lang w:val="sr-Latn-BA"/>
        </w:rPr>
        <w:t>dilerskih</w:t>
      </w:r>
      <w:r w:rsidR="00BF6D48" w:rsidRPr="001B53A8">
        <w:rPr>
          <w:rFonts w:eastAsia="Times New Roman"/>
          <w:lang w:val="sr-Latn-BA"/>
        </w:rPr>
        <w:t xml:space="preserve"> </w:t>
      </w:r>
      <w:r w:rsidRPr="001B53A8">
        <w:rPr>
          <w:rFonts w:eastAsia="Times New Roman"/>
          <w:lang w:val="sr-Latn-BA"/>
        </w:rPr>
        <w:t>poslova</w:t>
      </w:r>
      <w:r w:rsidR="00BF6D48" w:rsidRPr="001B53A8">
        <w:rPr>
          <w:rFonts w:eastAsia="Times New Roman"/>
          <w:lang w:val="sr-Latn-BA"/>
        </w:rPr>
        <w:t xml:space="preserve"> </w:t>
      </w:r>
      <w:r w:rsidRPr="001B53A8">
        <w:rPr>
          <w:rFonts w:eastAsia="Times New Roman"/>
          <w:lang w:val="sr-Latn-BA"/>
        </w:rPr>
        <w:t>Novoj</w:t>
      </w:r>
      <w:r w:rsidR="00BF6D48" w:rsidRPr="001B53A8">
        <w:rPr>
          <w:rFonts w:eastAsia="Times New Roman"/>
          <w:lang w:val="sr-Latn-BA"/>
        </w:rPr>
        <w:t xml:space="preserve"> </w:t>
      </w:r>
      <w:r w:rsidRPr="001B53A8">
        <w:rPr>
          <w:rFonts w:eastAsia="Times New Roman"/>
          <w:lang w:val="sr-Latn-BA"/>
        </w:rPr>
        <w:t>banci</w:t>
      </w:r>
      <w:r w:rsidR="00BF6D48" w:rsidRPr="001B53A8">
        <w:rPr>
          <w:rFonts w:eastAsia="Times New Roman"/>
          <w:lang w:val="sr-Latn-BA"/>
        </w:rPr>
        <w:t xml:space="preserve"> </w:t>
      </w:r>
      <w:r w:rsidRPr="001B53A8">
        <w:rPr>
          <w:rFonts w:eastAsia="Times New Roman"/>
          <w:lang w:val="sr-Latn-BA"/>
        </w:rPr>
        <w:t>a</w:t>
      </w:r>
      <w:r w:rsidR="00BF6D48" w:rsidRPr="001B53A8">
        <w:rPr>
          <w:rFonts w:eastAsia="Times New Roman"/>
          <w:lang w:val="sr-Latn-BA"/>
        </w:rPr>
        <w:t>.</w:t>
      </w:r>
      <w:r w:rsidRPr="001B53A8">
        <w:rPr>
          <w:rFonts w:eastAsia="Times New Roman"/>
          <w:lang w:val="sr-Latn-BA"/>
        </w:rPr>
        <w:t>d</w:t>
      </w:r>
      <w:r w:rsidR="00BF6D48" w:rsidRPr="001B53A8">
        <w:rPr>
          <w:rFonts w:eastAsia="Times New Roman"/>
          <w:lang w:val="sr-Latn-BA"/>
        </w:rPr>
        <w:t xml:space="preserve">. </w:t>
      </w:r>
      <w:r w:rsidRPr="001B53A8">
        <w:rPr>
          <w:rFonts w:eastAsia="Times New Roman"/>
          <w:lang w:val="sr-Latn-BA"/>
        </w:rPr>
        <w:t>Banja</w:t>
      </w:r>
      <w:r w:rsidR="00BF6D48" w:rsidRPr="001B53A8">
        <w:rPr>
          <w:rFonts w:eastAsia="Times New Roman"/>
          <w:lang w:val="sr-Latn-BA"/>
        </w:rPr>
        <w:t xml:space="preserve"> </w:t>
      </w:r>
      <w:r w:rsidRPr="001B53A8">
        <w:rPr>
          <w:rFonts w:eastAsia="Times New Roman"/>
          <w:lang w:val="sr-Latn-BA"/>
        </w:rPr>
        <w:t>Luka</w:t>
      </w:r>
      <w:r w:rsidR="00BF6D48" w:rsidRPr="001B53A8">
        <w:rPr>
          <w:rFonts w:eastAsia="Times New Roman"/>
          <w:lang w:val="sr-Latn-BA"/>
        </w:rPr>
        <w:t xml:space="preserve">, </w:t>
      </w:r>
      <w:r w:rsidRPr="001B53A8">
        <w:rPr>
          <w:rFonts w:eastAsia="Times New Roman"/>
          <w:lang w:val="sr-Latn-BA"/>
        </w:rPr>
        <w:t>Filijala</w:t>
      </w:r>
      <w:r w:rsidR="00BF6D48" w:rsidRPr="001B53A8">
        <w:rPr>
          <w:rFonts w:eastAsia="Times New Roman"/>
          <w:lang w:val="sr-Latn-BA"/>
        </w:rPr>
        <w:t xml:space="preserve"> </w:t>
      </w:r>
      <w:r w:rsidRPr="001B53A8">
        <w:rPr>
          <w:rFonts w:eastAsia="Times New Roman"/>
          <w:lang w:val="sr-Latn-BA"/>
        </w:rPr>
        <w:t>za</w:t>
      </w:r>
      <w:r w:rsidR="00BF6D48" w:rsidRPr="001B53A8">
        <w:rPr>
          <w:rFonts w:eastAsia="Times New Roman"/>
          <w:lang w:val="sr-Latn-BA"/>
        </w:rPr>
        <w:t xml:space="preserve"> </w:t>
      </w:r>
      <w:r w:rsidRPr="001B53A8">
        <w:rPr>
          <w:rFonts w:eastAsia="Times New Roman"/>
          <w:lang w:val="sr-Latn-BA"/>
        </w:rPr>
        <w:t>poslovanje</w:t>
      </w:r>
      <w:r w:rsidR="00BF6D48" w:rsidRPr="001B53A8">
        <w:rPr>
          <w:rFonts w:eastAsia="Times New Roman"/>
          <w:lang w:val="sr-Latn-BA"/>
        </w:rPr>
        <w:t xml:space="preserve"> </w:t>
      </w:r>
      <w:r w:rsidRPr="001B53A8">
        <w:rPr>
          <w:rFonts w:eastAsia="Times New Roman"/>
          <w:lang w:val="sr-Latn-BA"/>
        </w:rPr>
        <w:t>sa</w:t>
      </w:r>
      <w:r w:rsidR="00BF6D48" w:rsidRPr="001B53A8">
        <w:rPr>
          <w:rFonts w:eastAsia="Times New Roman"/>
          <w:lang w:val="sr-Latn-BA"/>
        </w:rPr>
        <w:t xml:space="preserve"> </w:t>
      </w:r>
      <w:r w:rsidRPr="001B53A8">
        <w:rPr>
          <w:rFonts w:eastAsia="Times New Roman"/>
          <w:lang w:val="sr-Latn-BA"/>
        </w:rPr>
        <w:t>hartijama</w:t>
      </w:r>
      <w:r w:rsidR="00BF6D48" w:rsidRPr="001B53A8">
        <w:rPr>
          <w:rFonts w:eastAsia="Times New Roman"/>
          <w:lang w:val="sr-Latn-BA"/>
        </w:rPr>
        <w:t xml:space="preserve"> </w:t>
      </w:r>
      <w:r w:rsidRPr="001B53A8">
        <w:rPr>
          <w:rFonts w:eastAsia="Times New Roman"/>
          <w:lang w:val="sr-Latn-BA"/>
        </w:rPr>
        <w:t>od</w:t>
      </w:r>
      <w:r w:rsidR="00BF6D48" w:rsidRPr="001B53A8">
        <w:rPr>
          <w:rFonts w:eastAsia="Times New Roman"/>
          <w:lang w:val="sr-Latn-BA"/>
        </w:rPr>
        <w:t xml:space="preserve"> </w:t>
      </w:r>
      <w:r w:rsidRPr="001B53A8">
        <w:rPr>
          <w:rFonts w:eastAsia="Times New Roman"/>
          <w:lang w:val="sr-Latn-BA"/>
        </w:rPr>
        <w:t>vrijednosti</w:t>
      </w:r>
      <w:r w:rsidR="00BF6D48" w:rsidRPr="001B53A8">
        <w:rPr>
          <w:rFonts w:eastAsia="Times New Roman"/>
          <w:lang w:val="sr-Latn-BA"/>
        </w:rPr>
        <w:t xml:space="preserve">. </w:t>
      </w:r>
      <w:r w:rsidRPr="001B53A8">
        <w:rPr>
          <w:rFonts w:eastAsia="Times New Roman"/>
          <w:lang w:val="sr-Latn-BA"/>
        </w:rPr>
        <w:t>Takođe</w:t>
      </w:r>
      <w:r w:rsidR="00BF6D48" w:rsidRPr="001B53A8">
        <w:rPr>
          <w:rFonts w:eastAsia="Times New Roman"/>
          <w:lang w:val="sr-Latn-BA"/>
        </w:rPr>
        <w:t xml:space="preserve">, </w:t>
      </w:r>
      <w:r w:rsidRPr="001B53A8">
        <w:rPr>
          <w:rFonts w:eastAsia="Times New Roman"/>
          <w:lang w:val="sr-Latn-BA"/>
        </w:rPr>
        <w:t>produžena</w:t>
      </w:r>
      <w:r w:rsidR="00BF6D48" w:rsidRPr="001B53A8">
        <w:rPr>
          <w:rFonts w:eastAsia="Times New Roman"/>
          <w:lang w:val="sr-Latn-BA"/>
        </w:rPr>
        <w:t xml:space="preserve"> </w:t>
      </w:r>
      <w:r w:rsidRPr="001B53A8">
        <w:rPr>
          <w:rFonts w:eastAsia="Times New Roman"/>
          <w:lang w:val="sr-Latn-BA"/>
        </w:rPr>
        <w:t>je</w:t>
      </w:r>
      <w:r w:rsidR="00BF6D48" w:rsidRPr="001B53A8">
        <w:rPr>
          <w:rFonts w:eastAsia="Times New Roman"/>
          <w:lang w:val="sr-Latn-BA"/>
        </w:rPr>
        <w:t xml:space="preserve"> </w:t>
      </w:r>
      <w:r w:rsidRPr="001B53A8">
        <w:rPr>
          <w:rFonts w:eastAsia="Times New Roman"/>
          <w:lang w:val="sr-Latn-BA"/>
        </w:rPr>
        <w:t>dozvola</w:t>
      </w:r>
      <w:r w:rsidR="00BF6D48" w:rsidRPr="001B53A8">
        <w:rPr>
          <w:rFonts w:eastAsia="Times New Roman"/>
          <w:lang w:val="sr-Latn-BA"/>
        </w:rPr>
        <w:t xml:space="preserve"> </w:t>
      </w:r>
      <w:r w:rsidRPr="001B53A8">
        <w:rPr>
          <w:rFonts w:eastAsia="Times New Roman"/>
          <w:lang w:val="sr-Latn-BA"/>
        </w:rPr>
        <w:t>za</w:t>
      </w:r>
      <w:r w:rsidR="00BF6D48" w:rsidRPr="001B53A8">
        <w:rPr>
          <w:rFonts w:eastAsia="Times New Roman"/>
          <w:lang w:val="sr-Latn-BA"/>
        </w:rPr>
        <w:t xml:space="preserve"> </w:t>
      </w:r>
      <w:r w:rsidRPr="001B53A8">
        <w:rPr>
          <w:rFonts w:eastAsia="Times New Roman"/>
          <w:lang w:val="sr-Latn-BA"/>
        </w:rPr>
        <w:t>obavlјanje</w:t>
      </w:r>
      <w:r w:rsidR="00BF6D48" w:rsidRPr="001B53A8">
        <w:rPr>
          <w:rFonts w:eastAsia="Times New Roman"/>
          <w:lang w:val="sr-Latn-BA"/>
        </w:rPr>
        <w:t xml:space="preserve"> </w:t>
      </w:r>
      <w:r w:rsidRPr="001B53A8">
        <w:rPr>
          <w:rFonts w:eastAsia="Times New Roman"/>
          <w:lang w:val="sr-Latn-BA"/>
        </w:rPr>
        <w:t>poslova</w:t>
      </w:r>
      <w:r w:rsidR="00BF6D48" w:rsidRPr="001B53A8">
        <w:rPr>
          <w:rFonts w:eastAsia="Times New Roman"/>
          <w:lang w:val="sr-Latn-BA"/>
        </w:rPr>
        <w:t xml:space="preserve"> </w:t>
      </w:r>
      <w:r w:rsidRPr="001B53A8">
        <w:rPr>
          <w:rFonts w:eastAsia="Times New Roman"/>
          <w:lang w:val="sr-Latn-BA"/>
        </w:rPr>
        <w:t>sa</w:t>
      </w:r>
      <w:r w:rsidR="00BF6D48" w:rsidRPr="001B53A8">
        <w:rPr>
          <w:rFonts w:eastAsia="Times New Roman"/>
          <w:lang w:val="sr-Latn-BA"/>
        </w:rPr>
        <w:t xml:space="preserve"> </w:t>
      </w:r>
      <w:r w:rsidRPr="001B53A8">
        <w:rPr>
          <w:rFonts w:eastAsia="Times New Roman"/>
          <w:lang w:val="sr-Latn-BA"/>
        </w:rPr>
        <w:t>hartijama</w:t>
      </w:r>
      <w:r w:rsidR="00BF6D48" w:rsidRPr="001B53A8">
        <w:rPr>
          <w:rFonts w:eastAsia="Times New Roman"/>
          <w:lang w:val="sr-Latn-BA"/>
        </w:rPr>
        <w:t xml:space="preserve"> </w:t>
      </w:r>
      <w:r w:rsidRPr="001B53A8">
        <w:rPr>
          <w:rFonts w:eastAsia="Times New Roman"/>
          <w:lang w:val="sr-Latn-BA"/>
        </w:rPr>
        <w:t>od</w:t>
      </w:r>
      <w:r w:rsidR="00BF6D48" w:rsidRPr="001B53A8">
        <w:rPr>
          <w:rFonts w:eastAsia="Times New Roman"/>
          <w:lang w:val="sr-Latn-BA"/>
        </w:rPr>
        <w:t xml:space="preserve"> </w:t>
      </w:r>
      <w:r w:rsidRPr="001B53A8">
        <w:rPr>
          <w:rFonts w:eastAsia="Times New Roman"/>
          <w:lang w:val="sr-Latn-BA"/>
        </w:rPr>
        <w:t>vrijednosti</w:t>
      </w:r>
      <w:r w:rsidR="00BF6D48" w:rsidRPr="001B53A8">
        <w:rPr>
          <w:rFonts w:eastAsia="Times New Roman"/>
          <w:lang w:val="sr-Latn-BA"/>
        </w:rPr>
        <w:t xml:space="preserve"> </w:t>
      </w:r>
      <w:r w:rsidRPr="001B53A8">
        <w:rPr>
          <w:rFonts w:eastAsia="Times New Roman"/>
          <w:lang w:val="sr-Latn-BA"/>
        </w:rPr>
        <w:t>Brokersko</w:t>
      </w:r>
      <w:r w:rsidR="00BF6D48" w:rsidRPr="001B53A8">
        <w:rPr>
          <w:rFonts w:eastAsia="Times New Roman"/>
          <w:lang w:val="sr-Latn-BA"/>
        </w:rPr>
        <w:t>-</w:t>
      </w:r>
      <w:r w:rsidRPr="001B53A8">
        <w:rPr>
          <w:rFonts w:eastAsia="Times New Roman"/>
          <w:lang w:val="sr-Latn-BA"/>
        </w:rPr>
        <w:t>dilerskom</w:t>
      </w:r>
      <w:r w:rsidR="00BF6D48" w:rsidRPr="001B53A8">
        <w:rPr>
          <w:rFonts w:eastAsia="Times New Roman"/>
          <w:lang w:val="sr-Latn-BA"/>
        </w:rPr>
        <w:t xml:space="preserve"> </w:t>
      </w:r>
      <w:r w:rsidRPr="001B53A8">
        <w:rPr>
          <w:rFonts w:eastAsia="Times New Roman"/>
          <w:lang w:val="sr-Latn-BA"/>
        </w:rPr>
        <w:t>društvu</w:t>
      </w:r>
      <w:r w:rsidR="00BF6D48" w:rsidRPr="001B53A8">
        <w:rPr>
          <w:rFonts w:eastAsia="Times New Roman"/>
          <w:lang w:val="sr-Latn-BA"/>
        </w:rPr>
        <w:t xml:space="preserve"> </w:t>
      </w:r>
      <w:r w:rsidRPr="001B53A8">
        <w:rPr>
          <w:rFonts w:eastAsia="Times New Roman"/>
          <w:lang w:val="sr-Latn-BA"/>
        </w:rPr>
        <w:t>Eurobroker</w:t>
      </w:r>
      <w:r w:rsidR="00BF6D48" w:rsidRPr="001B53A8">
        <w:rPr>
          <w:rFonts w:eastAsia="Times New Roman"/>
          <w:lang w:val="sr-Latn-BA"/>
        </w:rPr>
        <w:t xml:space="preserve"> </w:t>
      </w:r>
      <w:r w:rsidRPr="001B53A8">
        <w:rPr>
          <w:rFonts w:eastAsia="Times New Roman"/>
          <w:lang w:val="sr-Latn-BA"/>
        </w:rPr>
        <w:t>a</w:t>
      </w:r>
      <w:r w:rsidR="00BF6D48" w:rsidRPr="001B53A8">
        <w:rPr>
          <w:rFonts w:eastAsia="Times New Roman"/>
          <w:lang w:val="sr-Latn-BA"/>
        </w:rPr>
        <w:t>.</w:t>
      </w:r>
      <w:r w:rsidRPr="001B53A8">
        <w:rPr>
          <w:rFonts w:eastAsia="Times New Roman"/>
          <w:lang w:val="sr-Latn-BA"/>
        </w:rPr>
        <w:t>d</w:t>
      </w:r>
      <w:r w:rsidR="00BF6D48" w:rsidRPr="001B53A8">
        <w:rPr>
          <w:rFonts w:eastAsia="Times New Roman"/>
          <w:lang w:val="sr-Latn-BA"/>
        </w:rPr>
        <w:t xml:space="preserve">. </w:t>
      </w:r>
      <w:r w:rsidRPr="001B53A8">
        <w:rPr>
          <w:rFonts w:eastAsia="Times New Roman"/>
          <w:lang w:val="sr-Latn-BA"/>
        </w:rPr>
        <w:t>Banja</w:t>
      </w:r>
      <w:r w:rsidR="00BF6D48" w:rsidRPr="001B53A8">
        <w:rPr>
          <w:rFonts w:eastAsia="Times New Roman"/>
          <w:lang w:val="sr-Latn-BA"/>
        </w:rPr>
        <w:t xml:space="preserve"> </w:t>
      </w:r>
      <w:r w:rsidRPr="001B53A8">
        <w:rPr>
          <w:rFonts w:eastAsia="Times New Roman"/>
          <w:lang w:val="sr-Latn-BA"/>
        </w:rPr>
        <w:t>Luka</w:t>
      </w:r>
      <w:r w:rsidR="00BF6D48" w:rsidRPr="001B53A8">
        <w:rPr>
          <w:rFonts w:eastAsia="Times New Roman"/>
          <w:lang w:val="sr-Latn-BA"/>
        </w:rPr>
        <w:t xml:space="preserve"> </w:t>
      </w:r>
      <w:r w:rsidRPr="001B53A8">
        <w:rPr>
          <w:rFonts w:eastAsia="Times New Roman"/>
          <w:lang w:val="sr-Latn-BA"/>
        </w:rPr>
        <w:t>Brokersko</w:t>
      </w:r>
      <w:r w:rsidR="00BF6D48" w:rsidRPr="001B53A8">
        <w:rPr>
          <w:rFonts w:eastAsia="Times New Roman"/>
          <w:lang w:val="sr-Latn-BA"/>
        </w:rPr>
        <w:t>-</w:t>
      </w:r>
      <w:r w:rsidRPr="001B53A8">
        <w:rPr>
          <w:rFonts w:eastAsia="Times New Roman"/>
          <w:lang w:val="sr-Latn-BA"/>
        </w:rPr>
        <w:t>dilerskom</w:t>
      </w:r>
      <w:r w:rsidR="00BF6D48" w:rsidRPr="001B53A8">
        <w:rPr>
          <w:rFonts w:eastAsia="Times New Roman"/>
          <w:lang w:val="sr-Latn-BA"/>
        </w:rPr>
        <w:t xml:space="preserve"> </w:t>
      </w:r>
      <w:r w:rsidRPr="001B53A8">
        <w:rPr>
          <w:rFonts w:eastAsia="Times New Roman"/>
          <w:lang w:val="sr-Latn-BA"/>
        </w:rPr>
        <w:t>društvu</w:t>
      </w:r>
      <w:r w:rsidR="00BF6D48" w:rsidRPr="001B53A8">
        <w:rPr>
          <w:rFonts w:eastAsia="Times New Roman"/>
          <w:lang w:val="sr-Latn-BA"/>
        </w:rPr>
        <w:t xml:space="preserve"> </w:t>
      </w:r>
      <w:r w:rsidRPr="001B53A8">
        <w:rPr>
          <w:rFonts w:eastAsia="Times New Roman"/>
          <w:lang w:val="sr-Latn-BA"/>
        </w:rPr>
        <w:t>Advantis</w:t>
      </w:r>
      <w:r w:rsidR="00BF6D48" w:rsidRPr="001B53A8">
        <w:rPr>
          <w:rFonts w:eastAsia="Times New Roman"/>
          <w:lang w:val="sr-Latn-BA"/>
        </w:rPr>
        <w:t xml:space="preserve"> </w:t>
      </w:r>
      <w:r w:rsidRPr="001B53A8">
        <w:rPr>
          <w:rFonts w:eastAsia="Times New Roman"/>
          <w:lang w:val="sr-Latn-BA"/>
        </w:rPr>
        <w:t>broker</w:t>
      </w:r>
      <w:r w:rsidR="00BF6D48" w:rsidRPr="001B53A8">
        <w:rPr>
          <w:rFonts w:eastAsia="Times New Roman"/>
          <w:lang w:val="sr-Latn-BA"/>
        </w:rPr>
        <w:t xml:space="preserve">“ </w:t>
      </w:r>
      <w:r w:rsidRPr="001B53A8">
        <w:rPr>
          <w:rFonts w:eastAsia="Times New Roman"/>
          <w:lang w:val="sr-Latn-BA"/>
        </w:rPr>
        <w:t>a</w:t>
      </w:r>
      <w:r w:rsidR="00BF6D48" w:rsidRPr="001B53A8">
        <w:rPr>
          <w:rFonts w:eastAsia="Times New Roman"/>
          <w:lang w:val="sr-Latn-BA"/>
        </w:rPr>
        <w:t>.</w:t>
      </w:r>
      <w:r w:rsidRPr="001B53A8">
        <w:rPr>
          <w:rFonts w:eastAsia="Times New Roman"/>
          <w:lang w:val="sr-Latn-BA"/>
        </w:rPr>
        <w:t>d</w:t>
      </w:r>
      <w:r w:rsidR="00BF6D48" w:rsidRPr="001B53A8">
        <w:rPr>
          <w:rFonts w:eastAsia="Times New Roman"/>
          <w:lang w:val="sr-Latn-BA"/>
        </w:rPr>
        <w:t xml:space="preserve">. </w:t>
      </w:r>
      <w:r w:rsidRPr="001B53A8">
        <w:rPr>
          <w:rFonts w:eastAsia="Times New Roman"/>
          <w:lang w:val="sr-Latn-BA"/>
        </w:rPr>
        <w:t>Banja</w:t>
      </w:r>
      <w:r w:rsidR="00BF6D48" w:rsidRPr="001B53A8">
        <w:rPr>
          <w:rFonts w:eastAsia="Times New Roman"/>
          <w:lang w:val="sr-Latn-BA"/>
        </w:rPr>
        <w:t xml:space="preserve"> </w:t>
      </w:r>
      <w:r w:rsidRPr="001B53A8">
        <w:rPr>
          <w:rFonts w:eastAsia="Times New Roman"/>
          <w:lang w:val="sr-Latn-BA"/>
        </w:rPr>
        <w:t>Luka</w:t>
      </w:r>
      <w:r w:rsidR="00BF6D48" w:rsidRPr="001B53A8">
        <w:rPr>
          <w:rFonts w:eastAsia="Times New Roman"/>
          <w:lang w:val="sr-Latn-BA"/>
        </w:rPr>
        <w:t>.</w:t>
      </w:r>
    </w:p>
    <w:p w14:paraId="59FA9BE4" w14:textId="196B43D5" w:rsidR="00BF6D48" w:rsidRPr="001B53A8" w:rsidRDefault="00003F34" w:rsidP="00BF6D48">
      <w:pPr>
        <w:spacing w:line="240" w:lineRule="auto"/>
        <w:ind w:firstLine="567"/>
        <w:rPr>
          <w:lang w:val="sr-Latn-BA"/>
        </w:rPr>
      </w:pPr>
      <w:r w:rsidRPr="001B53A8">
        <w:rPr>
          <w:rFonts w:eastAsia="Times New Roman"/>
          <w:lang w:val="sr-Latn-BA"/>
        </w:rPr>
        <w:t>Komisija</w:t>
      </w:r>
      <w:r w:rsidR="00BF6D48" w:rsidRPr="001B53A8">
        <w:rPr>
          <w:rFonts w:eastAsia="Times New Roman"/>
          <w:lang w:val="sr-Latn-BA"/>
        </w:rPr>
        <w:t xml:space="preserve"> </w:t>
      </w:r>
      <w:r w:rsidRPr="001B53A8">
        <w:rPr>
          <w:rFonts w:eastAsia="Times New Roman"/>
          <w:lang w:val="sr-Latn-BA"/>
        </w:rPr>
        <w:t>je</w:t>
      </w:r>
      <w:r w:rsidR="00BF6D48" w:rsidRPr="001B53A8">
        <w:rPr>
          <w:rFonts w:eastAsia="Times New Roman"/>
          <w:lang w:val="sr-Latn-BA"/>
        </w:rPr>
        <w:t xml:space="preserve"> </w:t>
      </w:r>
      <w:r w:rsidRPr="001B53A8">
        <w:rPr>
          <w:rFonts w:eastAsia="Times New Roman"/>
          <w:lang w:val="sr-Latn-BA"/>
        </w:rPr>
        <w:t>u</w:t>
      </w:r>
      <w:r w:rsidR="00BF6D48" w:rsidRPr="001B53A8">
        <w:rPr>
          <w:rFonts w:eastAsia="Times New Roman"/>
          <w:lang w:val="sr-Latn-BA"/>
        </w:rPr>
        <w:t xml:space="preserve"> 2023. </w:t>
      </w:r>
      <w:r w:rsidRPr="001B53A8">
        <w:rPr>
          <w:rFonts w:eastAsia="Times New Roman"/>
          <w:lang w:val="sr-Latn-BA"/>
        </w:rPr>
        <w:t>godini</w:t>
      </w:r>
      <w:r w:rsidR="00BF6D48" w:rsidRPr="001B53A8">
        <w:rPr>
          <w:rFonts w:eastAsia="Times New Roman"/>
          <w:lang w:val="sr-Latn-BA"/>
        </w:rPr>
        <w:t xml:space="preserve"> </w:t>
      </w:r>
      <w:r w:rsidRPr="001B53A8">
        <w:rPr>
          <w:rFonts w:eastAsia="Times New Roman"/>
          <w:lang w:val="sr-Latn-BA"/>
        </w:rPr>
        <w:t>dala</w:t>
      </w:r>
      <w:r w:rsidR="00BF6D48" w:rsidRPr="001B53A8">
        <w:rPr>
          <w:rFonts w:eastAsia="Times New Roman"/>
          <w:lang w:val="sr-Latn-BA"/>
        </w:rPr>
        <w:t xml:space="preserve"> </w:t>
      </w:r>
      <w:r w:rsidRPr="001B53A8">
        <w:rPr>
          <w:rFonts w:eastAsia="Times New Roman"/>
          <w:lang w:val="sr-Latn-BA"/>
        </w:rPr>
        <w:t>saglasnost</w:t>
      </w:r>
      <w:r w:rsidR="00BF6D48" w:rsidRPr="001B53A8">
        <w:rPr>
          <w:rFonts w:eastAsia="Times New Roman"/>
          <w:lang w:val="sr-Latn-BA"/>
        </w:rPr>
        <w:t xml:space="preserve"> </w:t>
      </w:r>
      <w:r w:rsidRPr="001B53A8">
        <w:rPr>
          <w:rFonts w:eastAsia="Times New Roman"/>
          <w:lang w:val="sr-Latn-BA"/>
        </w:rPr>
        <w:t>na</w:t>
      </w:r>
      <w:r w:rsidR="00BF6D48" w:rsidRPr="001B53A8">
        <w:rPr>
          <w:rFonts w:eastAsia="Times New Roman"/>
          <w:lang w:val="sr-Latn-BA"/>
        </w:rPr>
        <w:t xml:space="preserve"> </w:t>
      </w:r>
      <w:r w:rsidRPr="001B53A8">
        <w:rPr>
          <w:rFonts w:eastAsia="Times New Roman"/>
          <w:lang w:val="sr-Latn-BA"/>
        </w:rPr>
        <w:t>imenovanje</w:t>
      </w:r>
      <w:r w:rsidR="00BF6D48" w:rsidRPr="001B53A8">
        <w:rPr>
          <w:rFonts w:eastAsia="Times New Roman"/>
          <w:lang w:val="sr-Latn-BA"/>
        </w:rPr>
        <w:t xml:space="preserve"> </w:t>
      </w:r>
      <w:r w:rsidRPr="001B53A8">
        <w:rPr>
          <w:rFonts w:eastAsia="Times New Roman"/>
          <w:lang w:val="sr-Latn-BA"/>
        </w:rPr>
        <w:t>direktora</w:t>
      </w:r>
      <w:r w:rsidR="00BF6D48" w:rsidRPr="001B53A8">
        <w:rPr>
          <w:rFonts w:eastAsia="Times New Roman"/>
          <w:lang w:val="sr-Latn-BA"/>
        </w:rPr>
        <w:t xml:space="preserve"> </w:t>
      </w:r>
      <w:r w:rsidRPr="001B53A8">
        <w:rPr>
          <w:rFonts w:eastAsia="Times New Roman"/>
          <w:lang w:val="sr-Latn-BA"/>
        </w:rPr>
        <w:t>Društva</w:t>
      </w:r>
      <w:r w:rsidR="00BF6D48" w:rsidRPr="001B53A8">
        <w:rPr>
          <w:rFonts w:eastAsia="Times New Roman"/>
          <w:lang w:val="sr-Latn-BA"/>
        </w:rPr>
        <w:t xml:space="preserve"> </w:t>
      </w:r>
      <w:r w:rsidRPr="001B53A8">
        <w:rPr>
          <w:rFonts w:eastAsia="Times New Roman"/>
          <w:lang w:val="sr-Latn-BA"/>
        </w:rPr>
        <w:t>za</w:t>
      </w:r>
      <w:r w:rsidR="00BF6D48" w:rsidRPr="001B53A8">
        <w:rPr>
          <w:rFonts w:eastAsia="Times New Roman"/>
          <w:lang w:val="sr-Latn-BA"/>
        </w:rPr>
        <w:t xml:space="preserve"> </w:t>
      </w:r>
      <w:r w:rsidRPr="001B53A8">
        <w:rPr>
          <w:rFonts w:eastAsia="Times New Roman"/>
          <w:lang w:val="sr-Latn-BA"/>
        </w:rPr>
        <w:t>poslovanje</w:t>
      </w:r>
      <w:r w:rsidR="00BF6D48" w:rsidRPr="001B53A8">
        <w:rPr>
          <w:rFonts w:eastAsia="Times New Roman"/>
          <w:lang w:val="sr-Latn-BA"/>
        </w:rPr>
        <w:t xml:space="preserve"> </w:t>
      </w:r>
      <w:r w:rsidRPr="001B53A8">
        <w:rPr>
          <w:rFonts w:eastAsia="Times New Roman"/>
          <w:lang w:val="sr-Latn-BA"/>
        </w:rPr>
        <w:t>sa</w:t>
      </w:r>
      <w:r w:rsidR="00BF6D48" w:rsidRPr="001B53A8">
        <w:rPr>
          <w:rFonts w:eastAsia="Times New Roman"/>
          <w:lang w:val="sr-Latn-BA"/>
        </w:rPr>
        <w:t xml:space="preserve"> </w:t>
      </w:r>
      <w:r w:rsidRPr="001B53A8">
        <w:rPr>
          <w:rFonts w:eastAsia="Times New Roman"/>
          <w:lang w:val="sr-Latn-BA"/>
        </w:rPr>
        <w:t>hartijama</w:t>
      </w:r>
      <w:r w:rsidR="00BF6D48" w:rsidRPr="001B53A8">
        <w:rPr>
          <w:rFonts w:eastAsia="Times New Roman"/>
          <w:lang w:val="sr-Latn-BA"/>
        </w:rPr>
        <w:t xml:space="preserve"> </w:t>
      </w:r>
      <w:r w:rsidRPr="001B53A8">
        <w:rPr>
          <w:rFonts w:eastAsia="Times New Roman"/>
          <w:lang w:val="sr-Latn-BA"/>
        </w:rPr>
        <w:t>od</w:t>
      </w:r>
      <w:r w:rsidR="00BF6D48" w:rsidRPr="001B53A8">
        <w:rPr>
          <w:rFonts w:eastAsia="Times New Roman"/>
          <w:lang w:val="sr-Latn-BA"/>
        </w:rPr>
        <w:t xml:space="preserve"> </w:t>
      </w:r>
      <w:r w:rsidRPr="001B53A8">
        <w:rPr>
          <w:rFonts w:eastAsia="Times New Roman"/>
          <w:lang w:val="sr-Latn-BA"/>
        </w:rPr>
        <w:t>vrijednosti</w:t>
      </w:r>
      <w:r w:rsidR="00BF6D48" w:rsidRPr="001B53A8">
        <w:rPr>
          <w:rFonts w:eastAsia="Times New Roman"/>
          <w:lang w:val="sr-Latn-BA"/>
        </w:rPr>
        <w:t xml:space="preserve"> „Raiffeisen Capital“ </w:t>
      </w:r>
      <w:r w:rsidRPr="001B53A8">
        <w:rPr>
          <w:rFonts w:eastAsia="Times New Roman"/>
          <w:lang w:val="sr-Latn-BA"/>
        </w:rPr>
        <w:t>a</w:t>
      </w:r>
      <w:r w:rsidR="00BF6D48" w:rsidRPr="001B53A8">
        <w:rPr>
          <w:rFonts w:eastAsia="Times New Roman"/>
          <w:lang w:val="sr-Latn-BA"/>
        </w:rPr>
        <w:t>.</w:t>
      </w:r>
      <w:r w:rsidRPr="001B53A8">
        <w:rPr>
          <w:rFonts w:eastAsia="Times New Roman"/>
          <w:lang w:val="sr-Latn-BA"/>
        </w:rPr>
        <w:t>d</w:t>
      </w:r>
      <w:r w:rsidR="00BF6D48" w:rsidRPr="001B53A8">
        <w:rPr>
          <w:rFonts w:eastAsia="Times New Roman"/>
          <w:lang w:val="sr-Latn-BA"/>
        </w:rPr>
        <w:t xml:space="preserve">. </w:t>
      </w:r>
      <w:r w:rsidRPr="001B53A8">
        <w:rPr>
          <w:rFonts w:eastAsia="Times New Roman"/>
          <w:lang w:val="sr-Latn-BA"/>
        </w:rPr>
        <w:t>Banja</w:t>
      </w:r>
      <w:r w:rsidR="00BF6D48" w:rsidRPr="001B53A8">
        <w:rPr>
          <w:rFonts w:eastAsia="Times New Roman"/>
          <w:lang w:val="sr-Latn-BA"/>
        </w:rPr>
        <w:t xml:space="preserve"> </w:t>
      </w:r>
      <w:r w:rsidRPr="001B53A8">
        <w:rPr>
          <w:rFonts w:eastAsia="Times New Roman"/>
          <w:lang w:val="sr-Latn-BA"/>
        </w:rPr>
        <w:t>Luka</w:t>
      </w:r>
      <w:r w:rsidR="00BF6D48" w:rsidRPr="001B53A8">
        <w:rPr>
          <w:rFonts w:eastAsia="Times New Roman"/>
          <w:lang w:val="sr-Latn-BA"/>
        </w:rPr>
        <w:t xml:space="preserve">. </w:t>
      </w:r>
      <w:r w:rsidRPr="001B53A8">
        <w:rPr>
          <w:rFonts w:eastAsia="Times New Roman"/>
          <w:lang w:val="sr-Latn-BA"/>
        </w:rPr>
        <w:t>Data</w:t>
      </w:r>
      <w:r w:rsidR="00BF6D48" w:rsidRPr="001B53A8">
        <w:rPr>
          <w:rFonts w:eastAsia="Times New Roman"/>
          <w:lang w:val="sr-Latn-BA"/>
        </w:rPr>
        <w:t xml:space="preserve"> </w:t>
      </w:r>
      <w:r w:rsidRPr="001B53A8">
        <w:rPr>
          <w:rFonts w:eastAsia="Times New Roman"/>
          <w:lang w:val="sr-Latn-BA"/>
        </w:rPr>
        <w:t>je</w:t>
      </w:r>
      <w:r w:rsidR="00BF6D48" w:rsidRPr="001B53A8">
        <w:rPr>
          <w:rFonts w:eastAsia="Times New Roman"/>
          <w:lang w:val="sr-Latn-BA"/>
        </w:rPr>
        <w:t xml:space="preserve"> </w:t>
      </w:r>
      <w:r w:rsidRPr="001B53A8">
        <w:rPr>
          <w:rFonts w:eastAsia="Times New Roman"/>
          <w:lang w:val="sr-Latn-BA"/>
        </w:rPr>
        <w:t>i</w:t>
      </w:r>
      <w:r w:rsidR="00BF6D48" w:rsidRPr="001B53A8">
        <w:rPr>
          <w:rFonts w:eastAsia="Times New Roman"/>
          <w:lang w:val="sr-Latn-BA"/>
        </w:rPr>
        <w:t xml:space="preserve"> </w:t>
      </w:r>
      <w:r w:rsidRPr="001B53A8">
        <w:rPr>
          <w:rFonts w:eastAsia="Times New Roman"/>
          <w:lang w:val="sr-Latn-BA"/>
        </w:rPr>
        <w:t>saglasnost</w:t>
      </w:r>
      <w:r w:rsidR="00BF6D48" w:rsidRPr="001B53A8">
        <w:rPr>
          <w:rFonts w:eastAsia="Times New Roman"/>
          <w:lang w:val="sr-Latn-BA"/>
        </w:rPr>
        <w:t xml:space="preserve"> </w:t>
      </w:r>
      <w:r w:rsidRPr="001B53A8">
        <w:rPr>
          <w:rFonts w:eastAsia="Times New Roman"/>
          <w:lang w:val="sr-Latn-BA"/>
        </w:rPr>
        <w:t>na</w:t>
      </w:r>
      <w:r w:rsidR="00BF6D48" w:rsidRPr="001B53A8">
        <w:rPr>
          <w:rFonts w:eastAsia="Times New Roman"/>
          <w:lang w:val="sr-Latn-BA"/>
        </w:rPr>
        <w:t xml:space="preserve"> </w:t>
      </w:r>
      <w:r w:rsidRPr="001B53A8">
        <w:rPr>
          <w:rFonts w:eastAsia="Times New Roman"/>
          <w:lang w:val="sr-Latn-BA"/>
        </w:rPr>
        <w:t>imenovanje</w:t>
      </w:r>
      <w:r w:rsidR="00BF6D48" w:rsidRPr="001B53A8">
        <w:rPr>
          <w:rFonts w:eastAsia="Times New Roman"/>
          <w:lang w:val="sr-Latn-BA"/>
        </w:rPr>
        <w:t xml:space="preserve"> </w:t>
      </w:r>
      <w:r w:rsidRPr="001B53A8">
        <w:rPr>
          <w:rFonts w:eastAsia="Times New Roman"/>
          <w:lang w:val="sr-Latn-BA"/>
        </w:rPr>
        <w:t>za</w:t>
      </w:r>
      <w:r w:rsidR="00BF6D48" w:rsidRPr="001B53A8">
        <w:rPr>
          <w:rFonts w:eastAsia="Times New Roman"/>
          <w:lang w:val="sr-Latn-BA"/>
        </w:rPr>
        <w:t xml:space="preserve"> </w:t>
      </w:r>
      <w:r w:rsidRPr="001B53A8">
        <w:rPr>
          <w:rFonts w:eastAsia="Times New Roman"/>
          <w:lang w:val="sr-Latn-BA"/>
        </w:rPr>
        <w:t>zamjenika</w:t>
      </w:r>
      <w:r w:rsidR="00BF6D48" w:rsidRPr="001B53A8">
        <w:rPr>
          <w:rFonts w:eastAsia="Times New Roman"/>
          <w:lang w:val="sr-Latn-BA"/>
        </w:rPr>
        <w:t xml:space="preserve"> </w:t>
      </w:r>
      <w:r w:rsidRPr="001B53A8">
        <w:rPr>
          <w:rFonts w:eastAsia="Times New Roman"/>
          <w:lang w:val="sr-Latn-BA"/>
        </w:rPr>
        <w:t>direktora</w:t>
      </w:r>
      <w:r w:rsidR="00BF6D48" w:rsidRPr="001B53A8">
        <w:rPr>
          <w:rFonts w:eastAsia="Times New Roman"/>
          <w:lang w:val="sr-Latn-BA"/>
        </w:rPr>
        <w:t xml:space="preserve"> </w:t>
      </w:r>
      <w:r w:rsidRPr="001B53A8">
        <w:rPr>
          <w:rFonts w:eastAsia="Times New Roman"/>
          <w:lang w:val="sr-Latn-BA"/>
        </w:rPr>
        <w:t>Brokersko</w:t>
      </w:r>
      <w:r w:rsidR="009C0BB3" w:rsidRPr="001B53A8">
        <w:rPr>
          <w:rFonts w:eastAsia="Times New Roman"/>
          <w:lang w:val="sr-Latn-BA"/>
        </w:rPr>
        <w:t>-</w:t>
      </w:r>
      <w:r w:rsidRPr="001B53A8">
        <w:rPr>
          <w:rFonts w:eastAsia="Times New Roman"/>
          <w:lang w:val="sr-Latn-BA"/>
        </w:rPr>
        <w:t>dilerskog</w:t>
      </w:r>
      <w:r w:rsidR="009C0BB3" w:rsidRPr="001B53A8">
        <w:rPr>
          <w:rFonts w:eastAsia="Times New Roman"/>
          <w:lang w:val="sr-Latn-BA"/>
        </w:rPr>
        <w:t xml:space="preserve"> </w:t>
      </w:r>
      <w:r w:rsidRPr="001B53A8">
        <w:rPr>
          <w:rFonts w:eastAsia="Times New Roman"/>
          <w:lang w:val="sr-Latn-BA"/>
        </w:rPr>
        <w:t>društva</w:t>
      </w:r>
      <w:r w:rsidR="009C0BB3" w:rsidRPr="001B53A8">
        <w:rPr>
          <w:rFonts w:eastAsia="Times New Roman"/>
          <w:lang w:val="sr-Latn-BA"/>
        </w:rPr>
        <w:t xml:space="preserve"> </w:t>
      </w:r>
      <w:r w:rsidRPr="001B53A8">
        <w:rPr>
          <w:rFonts w:eastAsia="Times New Roman"/>
          <w:lang w:val="sr-Latn-BA"/>
        </w:rPr>
        <w:t>Advantis</w:t>
      </w:r>
      <w:r w:rsidR="00BF6D48" w:rsidRPr="001B53A8">
        <w:rPr>
          <w:rFonts w:eastAsia="Times New Roman"/>
          <w:lang w:val="sr-Latn-BA"/>
        </w:rPr>
        <w:t xml:space="preserve"> </w:t>
      </w:r>
      <w:r w:rsidRPr="001B53A8">
        <w:rPr>
          <w:rFonts w:eastAsia="Times New Roman"/>
          <w:lang w:val="sr-Latn-BA"/>
        </w:rPr>
        <w:t>broker</w:t>
      </w:r>
      <w:r w:rsidR="00BF6D48" w:rsidRPr="001B53A8">
        <w:rPr>
          <w:rFonts w:eastAsia="Times New Roman"/>
          <w:lang w:val="sr-Latn-BA"/>
        </w:rPr>
        <w:t xml:space="preserve"> </w:t>
      </w:r>
      <w:r w:rsidRPr="001B53A8">
        <w:rPr>
          <w:rFonts w:eastAsia="Times New Roman"/>
          <w:lang w:val="sr-Latn-BA"/>
        </w:rPr>
        <w:t>a</w:t>
      </w:r>
      <w:r w:rsidR="00BF6D48" w:rsidRPr="001B53A8">
        <w:rPr>
          <w:rFonts w:eastAsia="Times New Roman"/>
          <w:lang w:val="sr-Latn-BA"/>
        </w:rPr>
        <w:t>.</w:t>
      </w:r>
      <w:r w:rsidRPr="001B53A8">
        <w:rPr>
          <w:rFonts w:eastAsia="Times New Roman"/>
          <w:lang w:val="sr-Latn-BA"/>
        </w:rPr>
        <w:t>d</w:t>
      </w:r>
      <w:r w:rsidR="00BF6D48" w:rsidRPr="001B53A8">
        <w:rPr>
          <w:rFonts w:eastAsia="Times New Roman"/>
          <w:lang w:val="sr-Latn-BA"/>
        </w:rPr>
        <w:t xml:space="preserve">. </w:t>
      </w:r>
      <w:r w:rsidRPr="001B53A8">
        <w:rPr>
          <w:rFonts w:eastAsia="Times New Roman"/>
          <w:lang w:val="sr-Latn-BA"/>
        </w:rPr>
        <w:t>Banja</w:t>
      </w:r>
      <w:r w:rsidR="00BF6D48" w:rsidRPr="001B53A8">
        <w:rPr>
          <w:rFonts w:eastAsia="Times New Roman"/>
          <w:lang w:val="sr-Latn-BA"/>
        </w:rPr>
        <w:t xml:space="preserve"> </w:t>
      </w:r>
      <w:r w:rsidRPr="001B53A8">
        <w:rPr>
          <w:rFonts w:eastAsia="Times New Roman"/>
          <w:lang w:val="sr-Latn-BA"/>
        </w:rPr>
        <w:t>Luka</w:t>
      </w:r>
      <w:r w:rsidR="00BF6D48" w:rsidRPr="001B53A8">
        <w:rPr>
          <w:rFonts w:eastAsia="Times New Roman"/>
          <w:lang w:val="sr-Latn-BA"/>
        </w:rPr>
        <w:t xml:space="preserve">. </w:t>
      </w:r>
      <w:r w:rsidRPr="001B53A8">
        <w:rPr>
          <w:rFonts w:eastAsia="Times New Roman"/>
          <w:lang w:val="sr-Latn-BA"/>
        </w:rPr>
        <w:t>Pored</w:t>
      </w:r>
      <w:r w:rsidR="00BF6D48" w:rsidRPr="001B53A8">
        <w:rPr>
          <w:rFonts w:eastAsia="Times New Roman"/>
          <w:lang w:val="sr-Latn-BA"/>
        </w:rPr>
        <w:t xml:space="preserve"> </w:t>
      </w:r>
      <w:r w:rsidRPr="001B53A8">
        <w:rPr>
          <w:rFonts w:eastAsia="Times New Roman"/>
          <w:lang w:val="sr-Latn-BA"/>
        </w:rPr>
        <w:t>toga</w:t>
      </w:r>
      <w:r w:rsidR="00BF6D48" w:rsidRPr="001B53A8">
        <w:rPr>
          <w:rFonts w:eastAsia="Times New Roman"/>
          <w:lang w:val="sr-Latn-BA"/>
        </w:rPr>
        <w:t xml:space="preserve">, </w:t>
      </w:r>
      <w:r w:rsidRPr="001B53A8">
        <w:rPr>
          <w:lang w:val="sr-Latn-BA"/>
        </w:rPr>
        <w:t>data</w:t>
      </w:r>
      <w:r w:rsidR="00BF6D48" w:rsidRPr="001B53A8">
        <w:rPr>
          <w:lang w:val="sr-Latn-BA"/>
        </w:rPr>
        <w:t xml:space="preserve"> </w:t>
      </w:r>
      <w:r w:rsidRPr="001B53A8">
        <w:rPr>
          <w:lang w:val="sr-Latn-BA"/>
        </w:rPr>
        <w:t>je</w:t>
      </w:r>
      <w:r w:rsidR="00BF6D48" w:rsidRPr="001B53A8">
        <w:rPr>
          <w:lang w:val="sr-Latn-BA"/>
        </w:rPr>
        <w:t xml:space="preserve"> </w:t>
      </w:r>
      <w:r w:rsidRPr="001B53A8">
        <w:rPr>
          <w:lang w:val="sr-Latn-BA"/>
        </w:rPr>
        <w:t>saglasnost</w:t>
      </w:r>
      <w:r w:rsidR="00BF6D48" w:rsidRPr="001B53A8">
        <w:rPr>
          <w:lang w:val="sr-Latn-BA"/>
        </w:rPr>
        <w:t xml:space="preserve"> </w:t>
      </w:r>
      <w:r w:rsidRPr="001B53A8">
        <w:rPr>
          <w:lang w:val="sr-Latn-BA"/>
        </w:rPr>
        <w:t>na</w:t>
      </w:r>
      <w:r w:rsidR="00BF6D48" w:rsidRPr="001B53A8">
        <w:rPr>
          <w:lang w:val="sr-Latn-BA"/>
        </w:rPr>
        <w:t xml:space="preserve"> </w:t>
      </w:r>
      <w:r w:rsidRPr="001B53A8">
        <w:rPr>
          <w:lang w:val="sr-Latn-BA"/>
        </w:rPr>
        <w:t>statut</w:t>
      </w:r>
      <w:r w:rsidR="00BF6D48" w:rsidRPr="001B53A8">
        <w:rPr>
          <w:lang w:val="sr-Latn-BA"/>
        </w:rPr>
        <w:t xml:space="preserve">, </w:t>
      </w:r>
      <w:r w:rsidRPr="001B53A8">
        <w:rPr>
          <w:lang w:val="sr-Latn-BA"/>
        </w:rPr>
        <w:t>te</w:t>
      </w:r>
      <w:r w:rsidR="00BF6D48" w:rsidRPr="001B53A8">
        <w:rPr>
          <w:lang w:val="sr-Latn-BA"/>
        </w:rPr>
        <w:t xml:space="preserve"> </w:t>
      </w:r>
      <w:r w:rsidRPr="001B53A8">
        <w:rPr>
          <w:lang w:val="sr-Latn-BA"/>
        </w:rPr>
        <w:t>izmjene</w:t>
      </w:r>
      <w:r w:rsidR="00BF6D48" w:rsidRPr="001B53A8">
        <w:rPr>
          <w:lang w:val="sr-Latn-BA"/>
        </w:rPr>
        <w:t xml:space="preserve"> </w:t>
      </w:r>
      <w:r w:rsidRPr="001B53A8">
        <w:rPr>
          <w:lang w:val="sr-Latn-BA"/>
        </w:rPr>
        <w:t>i</w:t>
      </w:r>
      <w:r w:rsidR="00BF6D48" w:rsidRPr="001B53A8">
        <w:rPr>
          <w:lang w:val="sr-Latn-BA"/>
        </w:rPr>
        <w:t xml:space="preserve"> </w:t>
      </w:r>
      <w:r w:rsidRPr="001B53A8">
        <w:rPr>
          <w:lang w:val="sr-Latn-BA"/>
        </w:rPr>
        <w:t>dopune</w:t>
      </w:r>
      <w:r w:rsidR="00BF6D48" w:rsidRPr="001B53A8">
        <w:rPr>
          <w:lang w:val="sr-Latn-BA"/>
        </w:rPr>
        <w:t xml:space="preserve"> </w:t>
      </w:r>
      <w:r w:rsidRPr="001B53A8">
        <w:rPr>
          <w:lang w:val="sr-Latn-BA"/>
        </w:rPr>
        <w:t>statuta</w:t>
      </w:r>
      <w:r w:rsidR="00BF6D48" w:rsidRPr="001B53A8">
        <w:rPr>
          <w:lang w:val="sr-Latn-BA"/>
        </w:rPr>
        <w:t xml:space="preserve"> </w:t>
      </w:r>
      <w:r w:rsidRPr="001B53A8">
        <w:rPr>
          <w:lang w:val="sr-Latn-BA"/>
        </w:rPr>
        <w:t>Društva</w:t>
      </w:r>
      <w:r w:rsidR="009C0BB3" w:rsidRPr="001B53A8">
        <w:rPr>
          <w:lang w:val="sr-Latn-BA"/>
        </w:rPr>
        <w:t xml:space="preserve"> </w:t>
      </w:r>
      <w:r w:rsidRPr="001B53A8">
        <w:rPr>
          <w:lang w:val="sr-Latn-BA"/>
        </w:rPr>
        <w:t>za</w:t>
      </w:r>
      <w:r w:rsidR="009C0BB3" w:rsidRPr="001B53A8">
        <w:rPr>
          <w:lang w:val="sr-Latn-BA"/>
        </w:rPr>
        <w:t xml:space="preserve"> </w:t>
      </w:r>
      <w:r w:rsidRPr="001B53A8">
        <w:rPr>
          <w:lang w:val="sr-Latn-BA"/>
        </w:rPr>
        <w:t>poslovanje</w:t>
      </w:r>
      <w:r w:rsidR="009C0BB3" w:rsidRPr="001B53A8">
        <w:rPr>
          <w:lang w:val="sr-Latn-BA"/>
        </w:rPr>
        <w:t xml:space="preserve"> </w:t>
      </w:r>
      <w:r w:rsidRPr="001B53A8">
        <w:rPr>
          <w:lang w:val="sr-Latn-BA"/>
        </w:rPr>
        <w:t>sa</w:t>
      </w:r>
      <w:r w:rsidR="009C0BB3" w:rsidRPr="001B53A8">
        <w:rPr>
          <w:lang w:val="sr-Latn-BA"/>
        </w:rPr>
        <w:t xml:space="preserve"> </w:t>
      </w:r>
      <w:r w:rsidRPr="001B53A8">
        <w:rPr>
          <w:lang w:val="sr-Latn-BA"/>
        </w:rPr>
        <w:t>hartijama</w:t>
      </w:r>
      <w:r w:rsidR="009C0BB3" w:rsidRPr="001B53A8">
        <w:rPr>
          <w:lang w:val="sr-Latn-BA"/>
        </w:rPr>
        <w:t xml:space="preserve"> </w:t>
      </w:r>
      <w:r w:rsidRPr="001B53A8">
        <w:rPr>
          <w:lang w:val="sr-Latn-BA"/>
        </w:rPr>
        <w:t>od</w:t>
      </w:r>
      <w:r w:rsidR="009C0BB3" w:rsidRPr="001B53A8">
        <w:rPr>
          <w:lang w:val="sr-Latn-BA"/>
        </w:rPr>
        <w:t xml:space="preserve"> </w:t>
      </w:r>
      <w:r w:rsidRPr="001B53A8">
        <w:rPr>
          <w:lang w:val="sr-Latn-BA"/>
        </w:rPr>
        <w:t>vrijednosti</w:t>
      </w:r>
      <w:r w:rsidR="009C0BB3" w:rsidRPr="001B53A8">
        <w:rPr>
          <w:lang w:val="sr-Latn-BA"/>
        </w:rPr>
        <w:t xml:space="preserve"> </w:t>
      </w:r>
      <w:r w:rsidR="00BF6D48" w:rsidRPr="001B53A8">
        <w:rPr>
          <w:lang w:val="sr-Latn-BA"/>
        </w:rPr>
        <w:t xml:space="preserve">Raiffeisen Capital </w:t>
      </w:r>
      <w:r w:rsidRPr="001B53A8">
        <w:rPr>
          <w:lang w:val="sr-Latn-BA"/>
        </w:rPr>
        <w:t>a</w:t>
      </w:r>
      <w:r w:rsidR="00BF6D48" w:rsidRPr="001B53A8">
        <w:rPr>
          <w:lang w:val="sr-Latn-BA"/>
        </w:rPr>
        <w:t>.</w:t>
      </w:r>
      <w:r w:rsidRPr="001B53A8">
        <w:rPr>
          <w:lang w:val="sr-Latn-BA"/>
        </w:rPr>
        <w:t>d</w:t>
      </w:r>
      <w:r w:rsidR="00BF6D48" w:rsidRPr="001B53A8">
        <w:rPr>
          <w:lang w:val="sr-Latn-BA"/>
        </w:rPr>
        <w:t xml:space="preserve">. </w:t>
      </w:r>
      <w:r w:rsidRPr="001B53A8">
        <w:rPr>
          <w:lang w:val="sr-Latn-BA"/>
        </w:rPr>
        <w:t>Banja</w:t>
      </w:r>
      <w:r w:rsidR="00BF6D48" w:rsidRPr="001B53A8">
        <w:rPr>
          <w:lang w:val="sr-Latn-BA"/>
        </w:rPr>
        <w:t xml:space="preserve"> </w:t>
      </w:r>
      <w:r w:rsidRPr="001B53A8">
        <w:rPr>
          <w:lang w:val="sr-Latn-BA"/>
        </w:rPr>
        <w:t>Luka</w:t>
      </w:r>
      <w:r w:rsidR="00BF6D48" w:rsidRPr="001B53A8">
        <w:rPr>
          <w:lang w:val="sr-Latn-BA"/>
        </w:rPr>
        <w:t xml:space="preserve">. </w:t>
      </w:r>
    </w:p>
    <w:p w14:paraId="705974FC" w14:textId="3EAD8B66" w:rsidR="000255CC" w:rsidRPr="001B53A8" w:rsidRDefault="00003F34" w:rsidP="006B6E0C">
      <w:pPr>
        <w:spacing w:line="240" w:lineRule="auto"/>
        <w:ind w:firstLine="567"/>
        <w:rPr>
          <w:lang w:val="sr-Latn-BA"/>
        </w:rPr>
      </w:pPr>
      <w:r w:rsidRPr="001B53A8">
        <w:rPr>
          <w:lang w:val="sr-Latn-BA"/>
        </w:rPr>
        <w:t>Komisija</w:t>
      </w:r>
      <w:r w:rsidR="00C52DD7" w:rsidRPr="001B53A8">
        <w:rPr>
          <w:lang w:val="sr-Latn-BA"/>
        </w:rPr>
        <w:t xml:space="preserve"> </w:t>
      </w:r>
      <w:r w:rsidRPr="001B53A8">
        <w:rPr>
          <w:lang w:val="sr-Latn-BA"/>
        </w:rPr>
        <w:t>izdaje</w:t>
      </w:r>
      <w:r w:rsidR="00C52DD7" w:rsidRPr="001B53A8">
        <w:rPr>
          <w:lang w:val="sr-Latn-BA"/>
        </w:rPr>
        <w:t xml:space="preserve"> </w:t>
      </w:r>
      <w:r w:rsidRPr="001B53A8">
        <w:rPr>
          <w:lang w:val="sr-Latn-BA"/>
        </w:rPr>
        <w:t>bankama</w:t>
      </w:r>
      <w:r w:rsidR="00C52DD7" w:rsidRPr="001B53A8">
        <w:rPr>
          <w:lang w:val="sr-Latn-BA"/>
        </w:rPr>
        <w:t xml:space="preserve"> </w:t>
      </w:r>
      <w:r w:rsidRPr="001B53A8">
        <w:rPr>
          <w:lang w:val="sr-Latn-BA"/>
        </w:rPr>
        <w:t>dozvolu</w:t>
      </w:r>
      <w:r w:rsidR="00C52DD7" w:rsidRPr="001B53A8">
        <w:rPr>
          <w:lang w:val="sr-Latn-BA"/>
        </w:rPr>
        <w:t xml:space="preserve"> </w:t>
      </w:r>
      <w:r w:rsidRPr="001B53A8">
        <w:rPr>
          <w:lang w:val="sr-Latn-BA"/>
        </w:rPr>
        <w:t>za</w:t>
      </w:r>
      <w:r w:rsidR="00C52DD7" w:rsidRPr="001B53A8">
        <w:rPr>
          <w:lang w:val="sr-Latn-BA"/>
        </w:rPr>
        <w:t xml:space="preserve"> </w:t>
      </w:r>
      <w:r w:rsidRPr="001B53A8">
        <w:rPr>
          <w:lang w:val="sr-Latn-BA"/>
        </w:rPr>
        <w:t>obavlјanje</w:t>
      </w:r>
      <w:r w:rsidR="00C52DD7" w:rsidRPr="001B53A8">
        <w:rPr>
          <w:lang w:val="sr-Latn-BA"/>
        </w:rPr>
        <w:t xml:space="preserve"> </w:t>
      </w:r>
      <w:r w:rsidRPr="001B53A8">
        <w:rPr>
          <w:lang w:val="sr-Latn-BA"/>
        </w:rPr>
        <w:t>kastodi</w:t>
      </w:r>
      <w:r w:rsidR="00C52DD7" w:rsidRPr="001B53A8">
        <w:rPr>
          <w:lang w:val="sr-Latn-BA"/>
        </w:rPr>
        <w:t xml:space="preserve"> </w:t>
      </w:r>
      <w:r w:rsidRPr="001B53A8">
        <w:rPr>
          <w:lang w:val="sr-Latn-BA"/>
        </w:rPr>
        <w:t>poslova</w:t>
      </w:r>
      <w:r w:rsidR="00C52DD7" w:rsidRPr="001B53A8">
        <w:rPr>
          <w:b/>
          <w:lang w:val="sr-Latn-BA"/>
        </w:rPr>
        <w:t>,</w:t>
      </w:r>
      <w:r w:rsidR="00C52DD7" w:rsidRPr="001B53A8">
        <w:rPr>
          <w:lang w:val="sr-Latn-BA"/>
        </w:rPr>
        <w:t xml:space="preserve"> </w:t>
      </w:r>
      <w:r w:rsidRPr="001B53A8">
        <w:rPr>
          <w:lang w:val="sr-Latn-BA"/>
        </w:rPr>
        <w:t>u</w:t>
      </w:r>
      <w:r w:rsidR="00C52DD7" w:rsidRPr="001B53A8">
        <w:rPr>
          <w:lang w:val="sr-Latn-BA"/>
        </w:rPr>
        <w:t xml:space="preserve"> </w:t>
      </w:r>
      <w:r w:rsidRPr="001B53A8">
        <w:rPr>
          <w:rFonts w:eastAsia="Times New Roman"/>
          <w:lang w:val="sr-Latn-BA" w:eastAsia="sr-Latn-CS"/>
        </w:rPr>
        <w:t>skladu</w:t>
      </w:r>
      <w:r w:rsidR="00C52DD7" w:rsidRPr="001B53A8">
        <w:rPr>
          <w:lang w:val="sr-Latn-BA"/>
        </w:rPr>
        <w:t xml:space="preserve"> </w:t>
      </w:r>
      <w:r w:rsidRPr="001B53A8">
        <w:rPr>
          <w:lang w:val="sr-Latn-BA"/>
        </w:rPr>
        <w:t>sa</w:t>
      </w:r>
      <w:r w:rsidR="00C52DD7" w:rsidRPr="001B53A8">
        <w:rPr>
          <w:lang w:val="sr-Latn-BA"/>
        </w:rPr>
        <w:t xml:space="preserve"> </w:t>
      </w:r>
      <w:r w:rsidRPr="001B53A8">
        <w:rPr>
          <w:lang w:val="sr-Latn-BA"/>
        </w:rPr>
        <w:t>članom</w:t>
      </w:r>
      <w:r w:rsidR="00C52DD7" w:rsidRPr="001B53A8">
        <w:rPr>
          <w:lang w:val="sr-Latn-BA"/>
        </w:rPr>
        <w:t xml:space="preserve"> 128. </w:t>
      </w:r>
      <w:r w:rsidRPr="001B53A8">
        <w:rPr>
          <w:lang w:val="sr-Latn-BA"/>
        </w:rPr>
        <w:t>Zakona</w:t>
      </w:r>
      <w:r w:rsidR="00C52DD7" w:rsidRPr="001B53A8">
        <w:rPr>
          <w:lang w:val="sr-Latn-BA"/>
        </w:rPr>
        <w:t xml:space="preserve"> </w:t>
      </w:r>
      <w:r w:rsidRPr="001B53A8">
        <w:rPr>
          <w:lang w:val="sr-Latn-BA"/>
        </w:rPr>
        <w:t>o</w:t>
      </w:r>
      <w:r w:rsidR="00C52DD7" w:rsidRPr="001B53A8">
        <w:rPr>
          <w:lang w:val="sr-Latn-BA"/>
        </w:rPr>
        <w:t xml:space="preserve"> </w:t>
      </w:r>
      <w:r w:rsidRPr="001B53A8">
        <w:rPr>
          <w:lang w:val="sr-Latn-BA"/>
        </w:rPr>
        <w:t>tržištu</w:t>
      </w:r>
      <w:r w:rsidR="00C52DD7" w:rsidRPr="001B53A8">
        <w:rPr>
          <w:lang w:val="sr-Latn-BA"/>
        </w:rPr>
        <w:t xml:space="preserve"> </w:t>
      </w:r>
      <w:r w:rsidRPr="001B53A8">
        <w:rPr>
          <w:lang w:val="sr-Latn-BA"/>
        </w:rPr>
        <w:t>hartija</w:t>
      </w:r>
      <w:r w:rsidR="00C52DD7" w:rsidRPr="001B53A8">
        <w:rPr>
          <w:lang w:val="sr-Latn-BA"/>
        </w:rPr>
        <w:t xml:space="preserve"> </w:t>
      </w:r>
      <w:r w:rsidRPr="001B53A8">
        <w:rPr>
          <w:lang w:val="sr-Latn-BA"/>
        </w:rPr>
        <w:t>od</w:t>
      </w:r>
      <w:r w:rsidR="00C52DD7" w:rsidRPr="001B53A8">
        <w:rPr>
          <w:lang w:val="sr-Latn-BA"/>
        </w:rPr>
        <w:t xml:space="preserve"> </w:t>
      </w:r>
      <w:r w:rsidRPr="001B53A8">
        <w:rPr>
          <w:lang w:val="sr-Latn-BA"/>
        </w:rPr>
        <w:t>vrijednosti</w:t>
      </w:r>
      <w:r w:rsidR="00C52DD7" w:rsidRPr="001B53A8">
        <w:rPr>
          <w:lang w:val="sr-Latn-BA"/>
        </w:rPr>
        <w:t>.</w:t>
      </w:r>
    </w:p>
    <w:tbl>
      <w:tblPr>
        <w:tblStyle w:val="LightGrid-Accent12"/>
        <w:tblW w:w="6252" w:type="dxa"/>
        <w:jc w:val="center"/>
        <w:tblLayout w:type="fixed"/>
        <w:tblLook w:val="0420" w:firstRow="1" w:lastRow="0" w:firstColumn="0" w:lastColumn="0" w:noHBand="0" w:noVBand="1"/>
      </w:tblPr>
      <w:tblGrid>
        <w:gridCol w:w="3450"/>
        <w:gridCol w:w="1401"/>
        <w:gridCol w:w="1401"/>
      </w:tblGrid>
      <w:tr w:rsidR="000255CC" w:rsidRPr="001B53A8" w14:paraId="544135A2" w14:textId="77777777" w:rsidTr="003B565C">
        <w:trPr>
          <w:cnfStyle w:val="100000000000" w:firstRow="1" w:lastRow="0" w:firstColumn="0" w:lastColumn="0" w:oddVBand="0" w:evenVBand="0" w:oddHBand="0" w:evenHBand="0" w:firstRowFirstColumn="0" w:firstRowLastColumn="0" w:lastRowFirstColumn="0" w:lastRowLastColumn="0"/>
          <w:trHeight w:val="280"/>
          <w:jc w:val="center"/>
        </w:trPr>
        <w:tc>
          <w:tcPr>
            <w:tcW w:w="3450" w:type="dxa"/>
            <w:hideMark/>
          </w:tcPr>
          <w:p w14:paraId="32E9CA01" w14:textId="51E45C32" w:rsidR="000255CC" w:rsidRPr="001B53A8" w:rsidRDefault="000255CC" w:rsidP="00B90F55">
            <w:pPr>
              <w:spacing w:after="0" w:line="240" w:lineRule="auto"/>
              <w:ind w:firstLine="0"/>
              <w:jc w:val="left"/>
              <w:rPr>
                <w:rFonts w:ascii="Times New Roman" w:eastAsia="Times New Roman" w:hAnsi="Times New Roman" w:cs="Times New Roman"/>
                <w:sz w:val="20"/>
                <w:szCs w:val="20"/>
                <w:lang w:val="sr-Latn-BA" w:eastAsia="sr-Latn-CS"/>
              </w:rPr>
            </w:pPr>
            <w:r w:rsidRPr="001B53A8">
              <w:rPr>
                <w:rFonts w:ascii="Times New Roman" w:hAnsi="Times New Roman" w:cs="Times New Roman"/>
                <w:sz w:val="20"/>
                <w:szCs w:val="20"/>
                <w:lang w:val="sr-Latn-BA"/>
              </w:rPr>
              <w:br w:type="page"/>
            </w:r>
            <w:r w:rsidR="00003F34" w:rsidRPr="001B53A8">
              <w:rPr>
                <w:rFonts w:ascii="Times New Roman" w:eastAsia="Times New Roman" w:hAnsi="Times New Roman" w:cs="Times New Roman"/>
                <w:sz w:val="20"/>
                <w:szCs w:val="20"/>
                <w:lang w:val="sr-Latn-BA" w:eastAsia="sr-Latn-CS"/>
              </w:rPr>
              <w:t>Naziv</w:t>
            </w:r>
            <w:r w:rsidRPr="001B53A8">
              <w:rPr>
                <w:rFonts w:ascii="Times New Roman" w:eastAsia="Times New Roman" w:hAnsi="Times New Roman" w:cs="Times New Roman"/>
                <w:sz w:val="20"/>
                <w:szCs w:val="20"/>
                <w:lang w:val="sr-Latn-BA" w:eastAsia="sr-Latn-CS"/>
              </w:rPr>
              <w:t xml:space="preserve"> </w:t>
            </w:r>
            <w:r w:rsidR="00003F34" w:rsidRPr="001B53A8">
              <w:rPr>
                <w:rFonts w:ascii="Times New Roman" w:eastAsia="Times New Roman" w:hAnsi="Times New Roman" w:cs="Times New Roman"/>
                <w:sz w:val="20"/>
                <w:szCs w:val="20"/>
                <w:lang w:val="sr-Latn-BA" w:eastAsia="sr-Latn-CS"/>
              </w:rPr>
              <w:t>banke</w:t>
            </w:r>
            <w:r w:rsidRPr="001B53A8">
              <w:rPr>
                <w:rFonts w:ascii="Times New Roman" w:eastAsia="Times New Roman" w:hAnsi="Times New Roman" w:cs="Times New Roman"/>
                <w:sz w:val="20"/>
                <w:szCs w:val="20"/>
                <w:lang w:val="sr-Latn-BA" w:eastAsia="sr-Latn-CS"/>
              </w:rPr>
              <w:t xml:space="preserve"> </w:t>
            </w:r>
            <w:r w:rsidR="00003F34" w:rsidRPr="001B53A8">
              <w:rPr>
                <w:rFonts w:ascii="Times New Roman" w:eastAsia="Times New Roman" w:hAnsi="Times New Roman" w:cs="Times New Roman"/>
                <w:sz w:val="20"/>
                <w:szCs w:val="20"/>
                <w:lang w:val="sr-Latn-BA" w:eastAsia="sr-Latn-CS"/>
              </w:rPr>
              <w:t>koja</w:t>
            </w:r>
            <w:r w:rsidRPr="001B53A8">
              <w:rPr>
                <w:rFonts w:ascii="Times New Roman" w:eastAsia="Times New Roman" w:hAnsi="Times New Roman" w:cs="Times New Roman"/>
                <w:sz w:val="20"/>
                <w:szCs w:val="20"/>
                <w:lang w:val="sr-Latn-BA" w:eastAsia="sr-Latn-CS"/>
              </w:rPr>
              <w:t xml:space="preserve"> </w:t>
            </w:r>
            <w:r w:rsidR="00003F34" w:rsidRPr="001B53A8">
              <w:rPr>
                <w:rFonts w:ascii="Times New Roman" w:eastAsia="Times New Roman" w:hAnsi="Times New Roman" w:cs="Times New Roman"/>
                <w:sz w:val="20"/>
                <w:szCs w:val="20"/>
                <w:lang w:val="sr-Latn-BA" w:eastAsia="sr-Latn-CS"/>
              </w:rPr>
              <w:t>ima</w:t>
            </w:r>
            <w:r w:rsidRPr="001B53A8">
              <w:rPr>
                <w:rFonts w:ascii="Times New Roman" w:eastAsia="Times New Roman" w:hAnsi="Times New Roman" w:cs="Times New Roman"/>
                <w:sz w:val="20"/>
                <w:szCs w:val="20"/>
                <w:lang w:val="sr-Latn-BA" w:eastAsia="sr-Latn-CS"/>
              </w:rPr>
              <w:t xml:space="preserve"> </w:t>
            </w:r>
            <w:r w:rsidR="00003F34" w:rsidRPr="001B53A8">
              <w:rPr>
                <w:rFonts w:ascii="Times New Roman" w:eastAsia="Times New Roman" w:hAnsi="Times New Roman" w:cs="Times New Roman"/>
                <w:sz w:val="20"/>
                <w:szCs w:val="20"/>
                <w:lang w:val="sr-Latn-BA" w:eastAsia="sr-Latn-CS"/>
              </w:rPr>
              <w:t>dozvolu</w:t>
            </w:r>
            <w:r w:rsidRPr="001B53A8">
              <w:rPr>
                <w:rFonts w:ascii="Times New Roman" w:eastAsia="Times New Roman" w:hAnsi="Times New Roman" w:cs="Times New Roman"/>
                <w:sz w:val="20"/>
                <w:szCs w:val="20"/>
                <w:lang w:val="sr-Latn-BA" w:eastAsia="sr-Latn-CS"/>
              </w:rPr>
              <w:t xml:space="preserve"> </w:t>
            </w:r>
            <w:r w:rsidR="00003F34" w:rsidRPr="001B53A8">
              <w:rPr>
                <w:rFonts w:ascii="Times New Roman" w:eastAsia="Times New Roman" w:hAnsi="Times New Roman" w:cs="Times New Roman"/>
                <w:sz w:val="20"/>
                <w:szCs w:val="20"/>
                <w:lang w:val="sr-Latn-BA" w:eastAsia="sr-Latn-CS"/>
              </w:rPr>
              <w:t>za</w:t>
            </w:r>
            <w:r w:rsidRPr="001B53A8">
              <w:rPr>
                <w:rFonts w:ascii="Times New Roman" w:eastAsia="Times New Roman" w:hAnsi="Times New Roman" w:cs="Times New Roman"/>
                <w:sz w:val="20"/>
                <w:szCs w:val="20"/>
                <w:lang w:val="sr-Latn-BA" w:eastAsia="sr-Latn-CS"/>
              </w:rPr>
              <w:t xml:space="preserve"> </w:t>
            </w:r>
            <w:r w:rsidR="00003F34" w:rsidRPr="001B53A8">
              <w:rPr>
                <w:rFonts w:ascii="Times New Roman" w:eastAsia="Times New Roman" w:hAnsi="Times New Roman" w:cs="Times New Roman"/>
                <w:sz w:val="20"/>
                <w:szCs w:val="20"/>
                <w:lang w:val="sr-Latn-BA" w:eastAsia="sr-Latn-CS"/>
              </w:rPr>
              <w:t>obavlјanje</w:t>
            </w:r>
            <w:r w:rsidRPr="001B53A8">
              <w:rPr>
                <w:rFonts w:ascii="Times New Roman" w:eastAsia="Times New Roman" w:hAnsi="Times New Roman" w:cs="Times New Roman"/>
                <w:sz w:val="20"/>
                <w:szCs w:val="20"/>
                <w:lang w:val="sr-Latn-BA" w:eastAsia="sr-Latn-CS"/>
              </w:rPr>
              <w:t xml:space="preserve"> </w:t>
            </w:r>
            <w:r w:rsidR="00003F34" w:rsidRPr="001B53A8">
              <w:rPr>
                <w:rFonts w:ascii="Times New Roman" w:eastAsia="Times New Roman" w:hAnsi="Times New Roman" w:cs="Times New Roman"/>
                <w:sz w:val="20"/>
                <w:szCs w:val="20"/>
                <w:lang w:val="sr-Latn-BA" w:eastAsia="sr-Latn-CS"/>
              </w:rPr>
              <w:t>kastodi</w:t>
            </w:r>
            <w:r w:rsidRPr="001B53A8">
              <w:rPr>
                <w:rFonts w:ascii="Times New Roman" w:eastAsia="Times New Roman" w:hAnsi="Times New Roman" w:cs="Times New Roman"/>
                <w:sz w:val="20"/>
                <w:szCs w:val="20"/>
                <w:lang w:val="sr-Latn-BA" w:eastAsia="sr-Latn-CS"/>
              </w:rPr>
              <w:t xml:space="preserve"> </w:t>
            </w:r>
            <w:r w:rsidR="00003F34" w:rsidRPr="001B53A8">
              <w:rPr>
                <w:rFonts w:ascii="Times New Roman" w:eastAsia="Times New Roman" w:hAnsi="Times New Roman" w:cs="Times New Roman"/>
                <w:sz w:val="20"/>
                <w:szCs w:val="20"/>
                <w:lang w:val="sr-Latn-BA" w:eastAsia="sr-Latn-CS"/>
              </w:rPr>
              <w:t>poslova</w:t>
            </w:r>
          </w:p>
        </w:tc>
        <w:tc>
          <w:tcPr>
            <w:tcW w:w="1401" w:type="dxa"/>
            <w:hideMark/>
          </w:tcPr>
          <w:p w14:paraId="4DF755EA" w14:textId="005159AD" w:rsidR="000255CC" w:rsidRPr="001B53A8" w:rsidRDefault="00003F34" w:rsidP="006B6E0C">
            <w:pPr>
              <w:spacing w:after="0" w:line="240" w:lineRule="auto"/>
              <w:ind w:firstLine="0"/>
              <w:jc w:val="center"/>
              <w:rPr>
                <w:rFonts w:ascii="Times New Roman" w:eastAsia="Times New Roman" w:hAnsi="Times New Roman" w:cs="Times New Roman"/>
                <w:b w:val="0"/>
                <w:bCs w:val="0"/>
                <w:sz w:val="20"/>
                <w:szCs w:val="20"/>
                <w:lang w:val="sr-Latn-BA" w:eastAsia="sr-Latn-CS"/>
              </w:rPr>
            </w:pPr>
            <w:r w:rsidRPr="001B53A8">
              <w:rPr>
                <w:rFonts w:ascii="Times New Roman" w:eastAsia="Times New Roman" w:hAnsi="Times New Roman" w:cs="Times New Roman"/>
                <w:sz w:val="20"/>
                <w:szCs w:val="20"/>
                <w:lang w:val="sr-Latn-BA" w:eastAsia="sr-Latn-CS"/>
              </w:rPr>
              <w:t>Datum</w:t>
            </w:r>
            <w:r w:rsidR="000255C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izdavanja</w:t>
            </w:r>
          </w:p>
        </w:tc>
        <w:tc>
          <w:tcPr>
            <w:tcW w:w="1401" w:type="dxa"/>
            <w:hideMark/>
          </w:tcPr>
          <w:p w14:paraId="24A7CBC6" w14:textId="2D11ECA9" w:rsidR="000255CC" w:rsidRPr="001B53A8" w:rsidRDefault="00003F34" w:rsidP="006B6E0C">
            <w:pPr>
              <w:spacing w:after="0" w:line="240" w:lineRule="auto"/>
              <w:ind w:firstLine="0"/>
              <w:jc w:val="center"/>
              <w:rPr>
                <w:rFonts w:ascii="Times New Roman" w:eastAsia="Times New Roman" w:hAnsi="Times New Roman" w:cs="Times New Roman"/>
                <w:b w:val="0"/>
                <w:bCs w:val="0"/>
                <w:sz w:val="20"/>
                <w:szCs w:val="20"/>
                <w:lang w:val="sr-Latn-BA" w:eastAsia="sr-Latn-CS"/>
              </w:rPr>
            </w:pPr>
            <w:r w:rsidRPr="001B53A8">
              <w:rPr>
                <w:rFonts w:ascii="Times New Roman" w:eastAsia="Times New Roman" w:hAnsi="Times New Roman" w:cs="Times New Roman"/>
                <w:sz w:val="20"/>
                <w:szCs w:val="20"/>
                <w:lang w:val="sr-Latn-BA" w:eastAsia="sr-Latn-CS"/>
              </w:rPr>
              <w:t>Važenje</w:t>
            </w:r>
            <w:r w:rsidR="000255CC"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dozvole</w:t>
            </w:r>
          </w:p>
        </w:tc>
      </w:tr>
      <w:tr w:rsidR="008E7374" w:rsidRPr="001B53A8" w14:paraId="647EC5FE" w14:textId="77777777" w:rsidTr="003B565C">
        <w:trPr>
          <w:cnfStyle w:val="000000100000" w:firstRow="0" w:lastRow="0" w:firstColumn="0" w:lastColumn="0" w:oddVBand="0" w:evenVBand="0" w:oddHBand="1" w:evenHBand="0" w:firstRowFirstColumn="0" w:firstRowLastColumn="0" w:lastRowFirstColumn="0" w:lastRowLastColumn="0"/>
          <w:trHeight w:val="237"/>
          <w:jc w:val="center"/>
        </w:trPr>
        <w:tc>
          <w:tcPr>
            <w:tcW w:w="3450" w:type="dxa"/>
            <w:hideMark/>
          </w:tcPr>
          <w:p w14:paraId="64B3655C" w14:textId="32FD9F94" w:rsidR="008E7374" w:rsidRPr="001B53A8" w:rsidRDefault="00000000" w:rsidP="006B6E0C">
            <w:pPr>
              <w:spacing w:after="0" w:line="240" w:lineRule="auto"/>
              <w:ind w:firstLine="0"/>
              <w:rPr>
                <w:rFonts w:ascii="Times New Roman" w:eastAsia="Times New Roman" w:hAnsi="Times New Roman" w:cs="Times New Roman"/>
                <w:sz w:val="20"/>
                <w:szCs w:val="20"/>
                <w:lang w:val="sr-Latn-BA" w:eastAsia="sr-Latn-CS"/>
              </w:rPr>
            </w:pPr>
            <w:hyperlink r:id="rId18" w:history="1">
              <w:r w:rsidR="008E7374" w:rsidRPr="001B53A8">
                <w:rPr>
                  <w:rStyle w:val="Hyperlink"/>
                  <w:rFonts w:ascii="Times New Roman" w:eastAsia="Times New Roman" w:hAnsi="Times New Roman" w:cs="Times New Roman"/>
                  <w:color w:val="auto"/>
                  <w:sz w:val="20"/>
                  <w:szCs w:val="20"/>
                  <w:u w:val="none"/>
                  <w:lang w:val="sr-Latn-BA" w:eastAsia="sr-Latn-CS"/>
                </w:rPr>
                <w:t xml:space="preserve">Raiffeisen Bank </w:t>
              </w:r>
            </w:hyperlink>
            <w:r w:rsidR="00003F34" w:rsidRPr="001B53A8">
              <w:rPr>
                <w:rFonts w:ascii="Times New Roman" w:eastAsia="Times New Roman" w:hAnsi="Times New Roman" w:cs="Times New Roman"/>
                <w:sz w:val="20"/>
                <w:szCs w:val="20"/>
                <w:lang w:val="sr-Latn-BA" w:eastAsia="sr-Latn-CS"/>
              </w:rPr>
              <w:t>d</w:t>
            </w:r>
            <w:r w:rsidR="008E7374" w:rsidRPr="001B53A8">
              <w:rPr>
                <w:rFonts w:ascii="Times New Roman" w:eastAsia="Times New Roman" w:hAnsi="Times New Roman" w:cs="Times New Roman"/>
                <w:sz w:val="20"/>
                <w:szCs w:val="20"/>
                <w:lang w:val="sr-Latn-BA" w:eastAsia="sr-Latn-CS"/>
              </w:rPr>
              <w:t>.</w:t>
            </w:r>
            <w:r w:rsidR="00003F34" w:rsidRPr="001B53A8">
              <w:rPr>
                <w:rFonts w:ascii="Times New Roman" w:eastAsia="Times New Roman" w:hAnsi="Times New Roman" w:cs="Times New Roman"/>
                <w:sz w:val="20"/>
                <w:szCs w:val="20"/>
                <w:lang w:val="sr-Latn-BA" w:eastAsia="sr-Latn-CS"/>
              </w:rPr>
              <w:t>d</w:t>
            </w:r>
            <w:r w:rsidR="008E7374" w:rsidRPr="001B53A8">
              <w:rPr>
                <w:rFonts w:ascii="Times New Roman" w:eastAsia="Times New Roman" w:hAnsi="Times New Roman" w:cs="Times New Roman"/>
                <w:sz w:val="20"/>
                <w:szCs w:val="20"/>
                <w:lang w:val="sr-Latn-BA" w:eastAsia="sr-Latn-CS"/>
              </w:rPr>
              <w:t xml:space="preserve">. </w:t>
            </w:r>
            <w:r w:rsidR="00003F34" w:rsidRPr="001B53A8">
              <w:rPr>
                <w:rFonts w:ascii="Times New Roman" w:eastAsia="Times New Roman" w:hAnsi="Times New Roman" w:cs="Times New Roman"/>
                <w:sz w:val="20"/>
                <w:szCs w:val="20"/>
                <w:lang w:val="sr-Latn-BA" w:eastAsia="sr-Latn-CS"/>
              </w:rPr>
              <w:t>BiH</w:t>
            </w:r>
            <w:r w:rsidR="008E7374" w:rsidRPr="001B53A8">
              <w:rPr>
                <w:rFonts w:ascii="Times New Roman" w:eastAsia="Times New Roman" w:hAnsi="Times New Roman" w:cs="Times New Roman"/>
                <w:sz w:val="20"/>
                <w:szCs w:val="20"/>
                <w:lang w:val="sr-Latn-BA" w:eastAsia="sr-Latn-CS"/>
              </w:rPr>
              <w:t xml:space="preserve"> </w:t>
            </w:r>
          </w:p>
        </w:tc>
        <w:tc>
          <w:tcPr>
            <w:tcW w:w="1401" w:type="dxa"/>
            <w:hideMark/>
          </w:tcPr>
          <w:p w14:paraId="51446EA3" w14:textId="77777777" w:rsidR="008E7374" w:rsidRPr="001B53A8" w:rsidRDefault="008E7374" w:rsidP="006B6E0C">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05.01.2010.</w:t>
            </w:r>
          </w:p>
        </w:tc>
        <w:tc>
          <w:tcPr>
            <w:tcW w:w="1401" w:type="dxa"/>
            <w:hideMark/>
          </w:tcPr>
          <w:p w14:paraId="4955327D" w14:textId="63FD21DE" w:rsidR="008E7374" w:rsidRPr="001B53A8" w:rsidRDefault="008E7374" w:rsidP="006B6E0C">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05.01.2025.</w:t>
            </w:r>
          </w:p>
        </w:tc>
      </w:tr>
      <w:tr w:rsidR="000A0529" w:rsidRPr="001B53A8" w14:paraId="074FC908" w14:textId="77777777" w:rsidTr="003B565C">
        <w:trPr>
          <w:cnfStyle w:val="000000010000" w:firstRow="0" w:lastRow="0" w:firstColumn="0" w:lastColumn="0" w:oddVBand="0" w:evenVBand="0" w:oddHBand="0" w:evenHBand="1" w:firstRowFirstColumn="0" w:firstRowLastColumn="0" w:lastRowFirstColumn="0" w:lastRowLastColumn="0"/>
          <w:trHeight w:val="53"/>
          <w:jc w:val="center"/>
        </w:trPr>
        <w:tc>
          <w:tcPr>
            <w:tcW w:w="3450" w:type="dxa"/>
            <w:hideMark/>
          </w:tcPr>
          <w:p w14:paraId="6E7E8048" w14:textId="67EE5469" w:rsidR="000A0529" w:rsidRPr="001B53A8" w:rsidRDefault="00000000" w:rsidP="000A0529">
            <w:pPr>
              <w:spacing w:after="0" w:line="240" w:lineRule="auto"/>
              <w:ind w:firstLine="0"/>
              <w:rPr>
                <w:rFonts w:ascii="Times New Roman" w:eastAsia="Times New Roman" w:hAnsi="Times New Roman" w:cs="Times New Roman"/>
                <w:sz w:val="20"/>
                <w:szCs w:val="20"/>
                <w:lang w:val="sr-Latn-BA" w:eastAsia="sr-Latn-CS"/>
              </w:rPr>
            </w:pPr>
            <w:hyperlink r:id="rId19" w:history="1">
              <w:r w:rsidR="00003F34" w:rsidRPr="001B53A8">
                <w:rPr>
                  <w:rStyle w:val="Hyperlink"/>
                  <w:rFonts w:ascii="Times New Roman" w:eastAsia="Times New Roman" w:hAnsi="Times New Roman" w:cs="Times New Roman"/>
                  <w:color w:val="auto"/>
                  <w:sz w:val="20"/>
                  <w:szCs w:val="20"/>
                  <w:u w:val="none"/>
                  <w:lang w:val="sr-Latn-BA" w:eastAsia="sr-Latn-CS"/>
                </w:rPr>
                <w:t>Nova</w:t>
              </w:r>
              <w:r w:rsidR="000A0529" w:rsidRPr="001B53A8">
                <w:rPr>
                  <w:rStyle w:val="Hyperlink"/>
                  <w:rFonts w:ascii="Times New Roman" w:eastAsia="Times New Roman" w:hAnsi="Times New Roman" w:cs="Times New Roman"/>
                  <w:color w:val="auto"/>
                  <w:sz w:val="20"/>
                  <w:szCs w:val="20"/>
                  <w:u w:val="none"/>
                  <w:lang w:val="sr-Latn-BA" w:eastAsia="sr-Latn-CS"/>
                </w:rPr>
                <w:t xml:space="preserve"> </w:t>
              </w:r>
              <w:r w:rsidR="00003F34" w:rsidRPr="001B53A8">
                <w:rPr>
                  <w:rStyle w:val="Hyperlink"/>
                  <w:rFonts w:ascii="Times New Roman" w:eastAsia="Times New Roman" w:hAnsi="Times New Roman" w:cs="Times New Roman"/>
                  <w:color w:val="auto"/>
                  <w:sz w:val="20"/>
                  <w:szCs w:val="20"/>
                  <w:u w:val="none"/>
                  <w:lang w:val="sr-Latn-BA" w:eastAsia="sr-Latn-CS"/>
                </w:rPr>
                <w:t>banka</w:t>
              </w:r>
              <w:r w:rsidR="000A0529" w:rsidRPr="001B53A8">
                <w:rPr>
                  <w:rStyle w:val="Hyperlink"/>
                  <w:rFonts w:ascii="Times New Roman" w:eastAsia="Times New Roman" w:hAnsi="Times New Roman" w:cs="Times New Roman"/>
                  <w:color w:val="auto"/>
                  <w:sz w:val="20"/>
                  <w:szCs w:val="20"/>
                  <w:u w:val="none"/>
                  <w:lang w:val="sr-Latn-BA" w:eastAsia="sr-Latn-CS"/>
                </w:rPr>
                <w:t xml:space="preserve"> a.</w:t>
              </w:r>
              <w:r w:rsidR="00003F34" w:rsidRPr="001B53A8">
                <w:rPr>
                  <w:rStyle w:val="Hyperlink"/>
                  <w:rFonts w:ascii="Times New Roman" w:eastAsia="Times New Roman" w:hAnsi="Times New Roman" w:cs="Times New Roman"/>
                  <w:color w:val="auto"/>
                  <w:sz w:val="20"/>
                  <w:szCs w:val="20"/>
                  <w:u w:val="none"/>
                  <w:lang w:val="sr-Latn-BA" w:eastAsia="sr-Latn-CS"/>
                </w:rPr>
                <w:t>d</w:t>
              </w:r>
              <w:r w:rsidR="000A0529" w:rsidRPr="001B53A8">
                <w:rPr>
                  <w:rStyle w:val="Hyperlink"/>
                  <w:rFonts w:ascii="Times New Roman" w:eastAsia="Times New Roman" w:hAnsi="Times New Roman" w:cs="Times New Roman"/>
                  <w:color w:val="auto"/>
                  <w:sz w:val="20"/>
                  <w:szCs w:val="20"/>
                  <w:u w:val="none"/>
                  <w:lang w:val="sr-Latn-BA" w:eastAsia="sr-Latn-CS"/>
                </w:rPr>
                <w:t xml:space="preserve">. </w:t>
              </w:r>
              <w:r w:rsidR="00003F34" w:rsidRPr="001B53A8">
                <w:rPr>
                  <w:rStyle w:val="Hyperlink"/>
                  <w:rFonts w:ascii="Times New Roman" w:eastAsia="Times New Roman" w:hAnsi="Times New Roman" w:cs="Times New Roman"/>
                  <w:color w:val="auto"/>
                  <w:sz w:val="20"/>
                  <w:szCs w:val="20"/>
                  <w:u w:val="none"/>
                  <w:lang w:val="sr-Latn-BA" w:eastAsia="sr-Latn-CS"/>
                </w:rPr>
                <w:t>Banja</w:t>
              </w:r>
              <w:r w:rsidR="000A0529" w:rsidRPr="001B53A8">
                <w:rPr>
                  <w:rStyle w:val="Hyperlink"/>
                  <w:rFonts w:ascii="Times New Roman" w:eastAsia="Times New Roman" w:hAnsi="Times New Roman" w:cs="Times New Roman"/>
                  <w:color w:val="auto"/>
                  <w:sz w:val="20"/>
                  <w:szCs w:val="20"/>
                  <w:u w:val="none"/>
                  <w:lang w:val="sr-Latn-BA" w:eastAsia="sr-Latn-CS"/>
                </w:rPr>
                <w:t xml:space="preserve"> </w:t>
              </w:r>
              <w:r w:rsidR="00003F34" w:rsidRPr="001B53A8">
                <w:rPr>
                  <w:rStyle w:val="Hyperlink"/>
                  <w:rFonts w:ascii="Times New Roman" w:eastAsia="Times New Roman" w:hAnsi="Times New Roman" w:cs="Times New Roman"/>
                  <w:color w:val="auto"/>
                  <w:sz w:val="20"/>
                  <w:szCs w:val="20"/>
                  <w:u w:val="none"/>
                  <w:lang w:val="sr-Latn-BA" w:eastAsia="sr-Latn-CS"/>
                </w:rPr>
                <w:t>Luka</w:t>
              </w:r>
              <w:r w:rsidR="000A0529" w:rsidRPr="001B53A8">
                <w:rPr>
                  <w:rStyle w:val="Hyperlink"/>
                  <w:rFonts w:ascii="Times New Roman" w:eastAsia="Times New Roman" w:hAnsi="Times New Roman" w:cs="Times New Roman"/>
                  <w:color w:val="auto"/>
                  <w:sz w:val="20"/>
                  <w:szCs w:val="20"/>
                  <w:u w:val="none"/>
                  <w:lang w:val="sr-Latn-BA" w:eastAsia="sr-Latn-CS"/>
                </w:rPr>
                <w:t xml:space="preserve"> </w:t>
              </w:r>
            </w:hyperlink>
          </w:p>
        </w:tc>
        <w:tc>
          <w:tcPr>
            <w:tcW w:w="1401" w:type="dxa"/>
            <w:hideMark/>
          </w:tcPr>
          <w:p w14:paraId="060C304A" w14:textId="77777777" w:rsidR="000A0529" w:rsidRPr="001B53A8" w:rsidRDefault="000A0529" w:rsidP="000A0529">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30.03.2010.</w:t>
            </w:r>
          </w:p>
        </w:tc>
        <w:tc>
          <w:tcPr>
            <w:tcW w:w="1401" w:type="dxa"/>
            <w:hideMark/>
          </w:tcPr>
          <w:p w14:paraId="1CA52A2D" w14:textId="024D4803" w:rsidR="000A0529" w:rsidRPr="001B53A8" w:rsidRDefault="000A0529" w:rsidP="000A0529">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04.04.2025.</w:t>
            </w:r>
          </w:p>
        </w:tc>
      </w:tr>
      <w:tr w:rsidR="000A0529" w:rsidRPr="001B53A8" w14:paraId="296E1863" w14:textId="77777777" w:rsidTr="003B565C">
        <w:trPr>
          <w:cnfStyle w:val="000000100000" w:firstRow="0" w:lastRow="0" w:firstColumn="0" w:lastColumn="0" w:oddVBand="0" w:evenVBand="0" w:oddHBand="1" w:evenHBand="0" w:firstRowFirstColumn="0" w:firstRowLastColumn="0" w:lastRowFirstColumn="0" w:lastRowLastColumn="0"/>
          <w:trHeight w:val="53"/>
          <w:jc w:val="center"/>
        </w:trPr>
        <w:tc>
          <w:tcPr>
            <w:tcW w:w="3450" w:type="dxa"/>
            <w:hideMark/>
          </w:tcPr>
          <w:p w14:paraId="1ADFF2BA" w14:textId="72F96271" w:rsidR="000A0529" w:rsidRPr="001B53A8" w:rsidRDefault="00000000" w:rsidP="000A0529">
            <w:pPr>
              <w:spacing w:after="0" w:line="240" w:lineRule="auto"/>
              <w:ind w:firstLine="0"/>
              <w:rPr>
                <w:rFonts w:ascii="Times New Roman" w:eastAsia="Times New Roman" w:hAnsi="Times New Roman" w:cs="Times New Roman"/>
                <w:sz w:val="20"/>
                <w:szCs w:val="20"/>
                <w:lang w:val="sr-Latn-BA" w:eastAsia="sr-Latn-CS"/>
              </w:rPr>
            </w:pPr>
            <w:hyperlink r:id="rId20" w:history="1">
              <w:r w:rsidR="000A0529" w:rsidRPr="001B53A8">
                <w:rPr>
                  <w:rStyle w:val="Hyperlink"/>
                  <w:rFonts w:ascii="Times New Roman" w:eastAsia="Times New Roman" w:hAnsi="Times New Roman" w:cs="Times New Roman"/>
                  <w:color w:val="auto"/>
                  <w:sz w:val="20"/>
                  <w:szCs w:val="20"/>
                  <w:u w:val="none"/>
                  <w:lang w:val="sr-Latn-BA" w:eastAsia="sr-Latn-CS"/>
                </w:rPr>
                <w:t xml:space="preserve">UniCredit Bank </w:t>
              </w:r>
              <w:r w:rsidR="00003F34" w:rsidRPr="001B53A8">
                <w:rPr>
                  <w:rStyle w:val="Hyperlink"/>
                  <w:rFonts w:ascii="Times New Roman" w:eastAsia="Times New Roman" w:hAnsi="Times New Roman" w:cs="Times New Roman"/>
                  <w:color w:val="auto"/>
                  <w:sz w:val="20"/>
                  <w:szCs w:val="20"/>
                  <w:u w:val="none"/>
                  <w:lang w:val="sr-Latn-BA" w:eastAsia="sr-Latn-CS"/>
                </w:rPr>
                <w:t>d</w:t>
              </w:r>
              <w:r w:rsidR="000A0529" w:rsidRPr="001B53A8">
                <w:rPr>
                  <w:rStyle w:val="Hyperlink"/>
                  <w:rFonts w:ascii="Times New Roman" w:eastAsia="Times New Roman" w:hAnsi="Times New Roman" w:cs="Times New Roman"/>
                  <w:color w:val="auto"/>
                  <w:sz w:val="20"/>
                  <w:szCs w:val="20"/>
                  <w:u w:val="none"/>
                  <w:lang w:val="sr-Latn-BA" w:eastAsia="sr-Latn-CS"/>
                </w:rPr>
                <w:t>.</w:t>
              </w:r>
              <w:r w:rsidR="00003F34" w:rsidRPr="001B53A8">
                <w:rPr>
                  <w:rStyle w:val="Hyperlink"/>
                  <w:rFonts w:ascii="Times New Roman" w:eastAsia="Times New Roman" w:hAnsi="Times New Roman" w:cs="Times New Roman"/>
                  <w:color w:val="auto"/>
                  <w:sz w:val="20"/>
                  <w:szCs w:val="20"/>
                  <w:u w:val="none"/>
                  <w:lang w:val="sr-Latn-BA" w:eastAsia="sr-Latn-CS"/>
                </w:rPr>
                <w:t>d</w:t>
              </w:r>
              <w:r w:rsidR="000A0529" w:rsidRPr="001B53A8">
                <w:rPr>
                  <w:rStyle w:val="Hyperlink"/>
                  <w:rFonts w:ascii="Times New Roman" w:eastAsia="Times New Roman" w:hAnsi="Times New Roman" w:cs="Times New Roman"/>
                  <w:color w:val="auto"/>
                  <w:sz w:val="20"/>
                  <w:szCs w:val="20"/>
                  <w:u w:val="none"/>
                  <w:lang w:val="sr-Latn-BA" w:eastAsia="sr-Latn-CS"/>
                </w:rPr>
                <w:t xml:space="preserve">. </w:t>
              </w:r>
              <w:r w:rsidR="00003F34" w:rsidRPr="001B53A8">
                <w:rPr>
                  <w:rStyle w:val="Hyperlink"/>
                  <w:rFonts w:ascii="Times New Roman" w:eastAsia="Times New Roman" w:hAnsi="Times New Roman" w:cs="Times New Roman"/>
                  <w:color w:val="auto"/>
                  <w:sz w:val="20"/>
                  <w:szCs w:val="20"/>
                  <w:u w:val="none"/>
                  <w:lang w:val="sr-Latn-BA" w:eastAsia="sr-Latn-CS"/>
                </w:rPr>
                <w:t>Mostar</w:t>
              </w:r>
            </w:hyperlink>
            <w:r w:rsidR="000A0529" w:rsidRPr="001B53A8">
              <w:rPr>
                <w:rFonts w:ascii="Times New Roman" w:eastAsia="Times New Roman" w:hAnsi="Times New Roman" w:cs="Times New Roman"/>
                <w:sz w:val="20"/>
                <w:szCs w:val="20"/>
                <w:lang w:val="sr-Latn-BA" w:eastAsia="sr-Latn-CS"/>
              </w:rPr>
              <w:t xml:space="preserve"> </w:t>
            </w:r>
          </w:p>
        </w:tc>
        <w:tc>
          <w:tcPr>
            <w:tcW w:w="1401" w:type="dxa"/>
            <w:hideMark/>
          </w:tcPr>
          <w:p w14:paraId="1C6F939A" w14:textId="77777777" w:rsidR="000A0529" w:rsidRPr="001B53A8" w:rsidRDefault="000A0529" w:rsidP="000A0529">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29.04.2010.</w:t>
            </w:r>
          </w:p>
        </w:tc>
        <w:tc>
          <w:tcPr>
            <w:tcW w:w="1401" w:type="dxa"/>
            <w:hideMark/>
          </w:tcPr>
          <w:p w14:paraId="7F7E401A" w14:textId="7854577C" w:rsidR="000A0529" w:rsidRPr="001B53A8" w:rsidRDefault="000A0529" w:rsidP="000A0529">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29.04.2025.</w:t>
            </w:r>
          </w:p>
        </w:tc>
      </w:tr>
    </w:tbl>
    <w:p w14:paraId="7FAA5A03" w14:textId="496FA293" w:rsidR="000255CC" w:rsidRPr="001B53A8" w:rsidRDefault="00003F34" w:rsidP="006B6E0C">
      <w:pPr>
        <w:pStyle w:val="Caption"/>
        <w:tabs>
          <w:tab w:val="left" w:pos="1276"/>
        </w:tabs>
        <w:spacing w:after="0"/>
        <w:ind w:left="1276" w:hanging="1276"/>
        <w:jc w:val="both"/>
        <w:rPr>
          <w:rFonts w:ascii="Times New Roman" w:hAnsi="Times New Roman"/>
          <w:b w:val="0"/>
          <w:noProof/>
          <w:sz w:val="24"/>
          <w:szCs w:val="24"/>
          <w:lang w:val="sr-Latn-BA"/>
        </w:rPr>
      </w:pPr>
      <w:r w:rsidRPr="001B53A8">
        <w:rPr>
          <w:rFonts w:ascii="Times New Roman" w:hAnsi="Times New Roman"/>
          <w:sz w:val="24"/>
          <w:szCs w:val="24"/>
          <w:lang w:val="sr-Latn-BA"/>
        </w:rPr>
        <w:t>Tabela</w:t>
      </w:r>
      <w:r w:rsidR="000255CC" w:rsidRPr="001B53A8">
        <w:rPr>
          <w:rFonts w:ascii="Times New Roman" w:hAnsi="Times New Roman"/>
          <w:sz w:val="24"/>
          <w:szCs w:val="24"/>
          <w:lang w:val="sr-Latn-BA"/>
        </w:rPr>
        <w:t xml:space="preserve"> </w:t>
      </w:r>
      <w:r w:rsidR="00D3478F" w:rsidRPr="001B53A8">
        <w:rPr>
          <w:rFonts w:ascii="Times New Roman" w:hAnsi="Times New Roman"/>
          <w:sz w:val="24"/>
          <w:szCs w:val="24"/>
          <w:lang w:val="sr-Latn-BA"/>
        </w:rPr>
        <w:fldChar w:fldCharType="begin"/>
      </w:r>
      <w:r w:rsidR="000255CC" w:rsidRPr="001B53A8">
        <w:rPr>
          <w:rFonts w:ascii="Times New Roman" w:hAnsi="Times New Roman"/>
          <w:sz w:val="24"/>
          <w:szCs w:val="24"/>
          <w:lang w:val="sr-Latn-BA"/>
        </w:rPr>
        <w:instrText xml:space="preserve"> SEQ Табела \* ARABIC </w:instrText>
      </w:r>
      <w:r w:rsidR="00D3478F" w:rsidRPr="001B53A8">
        <w:rPr>
          <w:rFonts w:ascii="Times New Roman" w:hAnsi="Times New Roman"/>
          <w:sz w:val="24"/>
          <w:szCs w:val="24"/>
          <w:lang w:val="sr-Latn-BA"/>
        </w:rPr>
        <w:fldChar w:fldCharType="separate"/>
      </w:r>
      <w:r w:rsidR="00E00890" w:rsidRPr="001B53A8">
        <w:rPr>
          <w:rFonts w:ascii="Times New Roman" w:hAnsi="Times New Roman"/>
          <w:noProof/>
          <w:sz w:val="24"/>
          <w:szCs w:val="24"/>
          <w:lang w:val="sr-Latn-BA"/>
        </w:rPr>
        <w:t>10</w:t>
      </w:r>
      <w:r w:rsidR="00D3478F" w:rsidRPr="001B53A8">
        <w:rPr>
          <w:rFonts w:ascii="Times New Roman" w:hAnsi="Times New Roman"/>
          <w:sz w:val="24"/>
          <w:szCs w:val="24"/>
          <w:lang w:val="sr-Latn-BA"/>
        </w:rPr>
        <w:fldChar w:fldCharType="end"/>
      </w:r>
      <w:r w:rsidR="000255CC" w:rsidRPr="001B53A8">
        <w:rPr>
          <w:rFonts w:ascii="Times New Roman" w:hAnsi="Times New Roman"/>
          <w:sz w:val="24"/>
          <w:szCs w:val="24"/>
          <w:lang w:val="sr-Latn-BA"/>
        </w:rPr>
        <w:t>.</w:t>
      </w:r>
      <w:r w:rsidR="000255CC" w:rsidRPr="001B53A8">
        <w:rPr>
          <w:rFonts w:ascii="Times New Roman" w:hAnsi="Times New Roman"/>
          <w:sz w:val="24"/>
          <w:szCs w:val="24"/>
          <w:lang w:val="sr-Latn-BA"/>
        </w:rPr>
        <w:tab/>
      </w:r>
      <w:r w:rsidRPr="001B53A8">
        <w:rPr>
          <w:rFonts w:ascii="Times New Roman" w:hAnsi="Times New Roman"/>
          <w:b w:val="0"/>
          <w:noProof/>
          <w:sz w:val="24"/>
          <w:szCs w:val="24"/>
          <w:lang w:val="sr-Latn-BA"/>
        </w:rPr>
        <w:t>Pregled</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banaka</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koje</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su</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imale</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dozvolu</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za</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obavlјanje</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kastodi</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poslova</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na</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dan</w:t>
      </w:r>
      <w:r w:rsidR="000255CC" w:rsidRPr="001B53A8">
        <w:rPr>
          <w:rFonts w:ascii="Times New Roman" w:hAnsi="Times New Roman"/>
          <w:b w:val="0"/>
          <w:noProof/>
          <w:sz w:val="24"/>
          <w:szCs w:val="24"/>
          <w:lang w:val="sr-Latn-BA"/>
        </w:rPr>
        <w:t xml:space="preserve"> 31.12.</w:t>
      </w:r>
      <w:r w:rsidR="00BF6D48" w:rsidRPr="001B53A8">
        <w:rPr>
          <w:rFonts w:ascii="Times New Roman" w:hAnsi="Times New Roman"/>
          <w:b w:val="0"/>
          <w:noProof/>
          <w:sz w:val="24"/>
          <w:szCs w:val="24"/>
          <w:lang w:val="sr-Latn-BA"/>
        </w:rPr>
        <w:t>2023</w:t>
      </w:r>
      <w:r w:rsidR="000255CC"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godine</w:t>
      </w:r>
    </w:p>
    <w:p w14:paraId="175907E3" w14:textId="6DDD9E9B" w:rsidR="0051391C" w:rsidRPr="001B53A8" w:rsidRDefault="00003F34" w:rsidP="006B6E0C">
      <w:pPr>
        <w:spacing w:after="0" w:line="240" w:lineRule="auto"/>
        <w:ind w:firstLine="567"/>
        <w:rPr>
          <w:rFonts w:eastAsia="Times New Roman"/>
          <w:lang w:val="sr-Latn-BA" w:eastAsia="sr-Latn-CS"/>
        </w:rPr>
      </w:pPr>
      <w:r w:rsidRPr="001B53A8">
        <w:rPr>
          <w:lang w:val="sr-Latn-BA"/>
        </w:rPr>
        <w:t>U</w:t>
      </w:r>
      <w:r w:rsidR="00C52DD7" w:rsidRPr="001B53A8">
        <w:rPr>
          <w:lang w:val="sr-Latn-BA"/>
        </w:rPr>
        <w:t xml:space="preserve"> </w:t>
      </w:r>
      <w:r w:rsidRPr="001B53A8">
        <w:rPr>
          <w:lang w:val="sr-Latn-BA"/>
        </w:rPr>
        <w:t>skladu</w:t>
      </w:r>
      <w:r w:rsidR="000255CC" w:rsidRPr="001B53A8">
        <w:rPr>
          <w:lang w:val="sr-Latn-BA"/>
        </w:rPr>
        <w:t xml:space="preserve"> </w:t>
      </w:r>
      <w:r w:rsidRPr="001B53A8">
        <w:rPr>
          <w:lang w:val="sr-Latn-BA"/>
        </w:rPr>
        <w:t>sa</w:t>
      </w:r>
      <w:r w:rsidR="000255CC" w:rsidRPr="001B53A8">
        <w:rPr>
          <w:lang w:val="sr-Latn-BA"/>
        </w:rPr>
        <w:t xml:space="preserve"> </w:t>
      </w:r>
      <w:r w:rsidRPr="001B53A8">
        <w:rPr>
          <w:lang w:val="sr-Latn-BA"/>
        </w:rPr>
        <w:t>članom</w:t>
      </w:r>
      <w:r w:rsidR="000255CC" w:rsidRPr="001B53A8">
        <w:rPr>
          <w:lang w:val="sr-Latn-BA"/>
        </w:rPr>
        <w:t xml:space="preserve"> 143. </w:t>
      </w:r>
      <w:r w:rsidRPr="001B53A8">
        <w:rPr>
          <w:lang w:val="sr-Latn-BA"/>
        </w:rPr>
        <w:t>Zakona</w:t>
      </w:r>
      <w:r w:rsidR="000255CC" w:rsidRPr="001B53A8">
        <w:rPr>
          <w:lang w:val="sr-Latn-BA"/>
        </w:rPr>
        <w:t xml:space="preserve"> </w:t>
      </w:r>
      <w:r w:rsidRPr="001B53A8">
        <w:rPr>
          <w:lang w:val="sr-Latn-BA"/>
        </w:rPr>
        <w:t>o</w:t>
      </w:r>
      <w:r w:rsidR="000255CC" w:rsidRPr="001B53A8">
        <w:rPr>
          <w:lang w:val="sr-Latn-BA"/>
        </w:rPr>
        <w:t xml:space="preserve"> </w:t>
      </w:r>
      <w:r w:rsidRPr="001B53A8">
        <w:rPr>
          <w:lang w:val="sr-Latn-BA"/>
        </w:rPr>
        <w:t>tržištu</w:t>
      </w:r>
      <w:r w:rsidR="000255CC" w:rsidRPr="001B53A8">
        <w:rPr>
          <w:lang w:val="sr-Latn-BA"/>
        </w:rPr>
        <w:t xml:space="preserve"> </w:t>
      </w:r>
      <w:r w:rsidRPr="001B53A8">
        <w:rPr>
          <w:lang w:val="sr-Latn-BA"/>
        </w:rPr>
        <w:t>hartija</w:t>
      </w:r>
      <w:r w:rsidR="000255CC" w:rsidRPr="001B53A8">
        <w:rPr>
          <w:lang w:val="sr-Latn-BA"/>
        </w:rPr>
        <w:t xml:space="preserve"> </w:t>
      </w:r>
      <w:r w:rsidRPr="001B53A8">
        <w:rPr>
          <w:lang w:val="sr-Latn-BA"/>
        </w:rPr>
        <w:t>od</w:t>
      </w:r>
      <w:r w:rsidR="000255CC" w:rsidRPr="001B53A8">
        <w:rPr>
          <w:lang w:val="sr-Latn-BA"/>
        </w:rPr>
        <w:t xml:space="preserve"> </w:t>
      </w:r>
      <w:r w:rsidRPr="001B53A8">
        <w:rPr>
          <w:lang w:val="sr-Latn-BA"/>
        </w:rPr>
        <w:t>vrijednosti</w:t>
      </w:r>
      <w:r w:rsidR="000255CC" w:rsidRPr="001B53A8">
        <w:rPr>
          <w:lang w:val="sr-Latn-BA"/>
        </w:rPr>
        <w:t xml:space="preserve"> </w:t>
      </w:r>
      <w:r w:rsidRPr="001B53A8">
        <w:rPr>
          <w:lang w:val="sr-Latn-BA"/>
        </w:rPr>
        <w:t>Komisija</w:t>
      </w:r>
      <w:r w:rsidR="00C52DD7" w:rsidRPr="001B53A8">
        <w:rPr>
          <w:lang w:val="sr-Latn-BA"/>
        </w:rPr>
        <w:t xml:space="preserve"> </w:t>
      </w:r>
      <w:r w:rsidRPr="001B53A8">
        <w:rPr>
          <w:lang w:val="sr-Latn-BA"/>
        </w:rPr>
        <w:t>izdaje</w:t>
      </w:r>
      <w:r w:rsidR="000255CC" w:rsidRPr="001B53A8">
        <w:rPr>
          <w:lang w:val="sr-Latn-BA"/>
        </w:rPr>
        <w:t xml:space="preserve"> </w:t>
      </w:r>
      <w:r w:rsidRPr="001B53A8">
        <w:rPr>
          <w:lang w:val="sr-Latn-BA"/>
        </w:rPr>
        <w:t>dozvolu</w:t>
      </w:r>
      <w:r w:rsidR="000255CC" w:rsidRPr="001B53A8">
        <w:rPr>
          <w:lang w:val="sr-Latn-BA"/>
        </w:rPr>
        <w:t xml:space="preserve"> </w:t>
      </w:r>
      <w:r w:rsidRPr="001B53A8">
        <w:rPr>
          <w:lang w:val="sr-Latn-BA"/>
        </w:rPr>
        <w:t>za</w:t>
      </w:r>
      <w:r w:rsidR="000255CC" w:rsidRPr="001B53A8">
        <w:rPr>
          <w:lang w:val="sr-Latn-BA"/>
        </w:rPr>
        <w:t xml:space="preserve"> </w:t>
      </w:r>
      <w:r w:rsidRPr="001B53A8">
        <w:rPr>
          <w:lang w:val="sr-Latn-BA"/>
        </w:rPr>
        <w:t>poslovanje</w:t>
      </w:r>
      <w:r w:rsidR="00C52DD7" w:rsidRPr="001B53A8">
        <w:rPr>
          <w:b/>
          <w:lang w:val="sr-Latn-BA"/>
        </w:rPr>
        <w:t xml:space="preserve"> </w:t>
      </w:r>
      <w:r w:rsidRPr="001B53A8">
        <w:rPr>
          <w:b/>
          <w:lang w:val="sr-Latn-BA"/>
        </w:rPr>
        <w:t>berzi</w:t>
      </w:r>
      <w:r w:rsidR="00C52DD7" w:rsidRPr="001B53A8">
        <w:rPr>
          <w:b/>
          <w:lang w:val="sr-Latn-BA"/>
        </w:rPr>
        <w:t xml:space="preserve"> </w:t>
      </w:r>
      <w:r w:rsidRPr="001B53A8">
        <w:rPr>
          <w:b/>
          <w:lang w:val="sr-Latn-BA"/>
        </w:rPr>
        <w:t>i</w:t>
      </w:r>
      <w:r w:rsidR="00C52DD7" w:rsidRPr="001B53A8">
        <w:rPr>
          <w:b/>
          <w:lang w:val="sr-Latn-BA"/>
        </w:rPr>
        <w:t xml:space="preserve"> </w:t>
      </w:r>
      <w:r w:rsidRPr="001B53A8">
        <w:rPr>
          <w:b/>
          <w:lang w:val="sr-Latn-BA"/>
        </w:rPr>
        <w:t>drugom</w:t>
      </w:r>
      <w:r w:rsidR="00C52DD7" w:rsidRPr="001B53A8">
        <w:rPr>
          <w:b/>
          <w:lang w:val="sr-Latn-BA"/>
        </w:rPr>
        <w:t xml:space="preserve"> </w:t>
      </w:r>
      <w:r w:rsidRPr="001B53A8">
        <w:rPr>
          <w:b/>
          <w:lang w:val="sr-Latn-BA"/>
        </w:rPr>
        <w:t>uređenom</w:t>
      </w:r>
      <w:r w:rsidR="00C52DD7" w:rsidRPr="001B53A8">
        <w:rPr>
          <w:b/>
          <w:lang w:val="sr-Latn-BA"/>
        </w:rPr>
        <w:t xml:space="preserve"> </w:t>
      </w:r>
      <w:r w:rsidRPr="001B53A8">
        <w:rPr>
          <w:b/>
          <w:lang w:val="sr-Latn-BA"/>
        </w:rPr>
        <w:t>javnom</w:t>
      </w:r>
      <w:r w:rsidR="00C52DD7" w:rsidRPr="001B53A8">
        <w:rPr>
          <w:b/>
          <w:lang w:val="sr-Latn-BA"/>
        </w:rPr>
        <w:t xml:space="preserve"> </w:t>
      </w:r>
      <w:r w:rsidRPr="001B53A8">
        <w:rPr>
          <w:b/>
          <w:lang w:val="sr-Latn-BA"/>
        </w:rPr>
        <w:t>tržištu</w:t>
      </w:r>
      <w:r w:rsidR="00C52DD7" w:rsidRPr="001B53A8">
        <w:rPr>
          <w:b/>
          <w:lang w:val="sr-Latn-BA"/>
        </w:rPr>
        <w:t xml:space="preserve">, </w:t>
      </w:r>
      <w:r w:rsidRPr="001B53A8">
        <w:rPr>
          <w:lang w:val="sr-Latn-BA"/>
        </w:rPr>
        <w:t>za</w:t>
      </w:r>
      <w:r w:rsidR="00C52DD7" w:rsidRPr="001B53A8">
        <w:rPr>
          <w:lang w:val="sr-Latn-BA"/>
        </w:rPr>
        <w:t xml:space="preserve"> </w:t>
      </w:r>
      <w:r w:rsidRPr="001B53A8">
        <w:rPr>
          <w:lang w:val="sr-Latn-BA"/>
        </w:rPr>
        <w:t>obavlјanje</w:t>
      </w:r>
      <w:r w:rsidR="00C52DD7" w:rsidRPr="001B53A8">
        <w:rPr>
          <w:lang w:val="sr-Latn-BA"/>
        </w:rPr>
        <w:t xml:space="preserve"> </w:t>
      </w:r>
      <w:r w:rsidRPr="001B53A8">
        <w:rPr>
          <w:lang w:val="sr-Latn-BA"/>
        </w:rPr>
        <w:t>poslova</w:t>
      </w:r>
      <w:r w:rsidR="00C52DD7" w:rsidRPr="001B53A8">
        <w:rPr>
          <w:lang w:val="sr-Latn-BA"/>
        </w:rPr>
        <w:t xml:space="preserve"> </w:t>
      </w:r>
      <w:r w:rsidRPr="001B53A8">
        <w:rPr>
          <w:lang w:val="sr-Latn-BA"/>
        </w:rPr>
        <w:t>iz</w:t>
      </w:r>
      <w:r w:rsidR="00D449E7" w:rsidRPr="001B53A8">
        <w:rPr>
          <w:lang w:val="sr-Latn-BA"/>
        </w:rPr>
        <w:t xml:space="preserve"> </w:t>
      </w:r>
      <w:r w:rsidRPr="001B53A8">
        <w:rPr>
          <w:lang w:val="sr-Latn-BA"/>
        </w:rPr>
        <w:t>člana</w:t>
      </w:r>
      <w:r w:rsidR="00D449E7" w:rsidRPr="001B53A8">
        <w:rPr>
          <w:lang w:val="sr-Latn-BA"/>
        </w:rPr>
        <w:t xml:space="preserve"> </w:t>
      </w:r>
      <w:r w:rsidR="000255CC" w:rsidRPr="001B53A8">
        <w:rPr>
          <w:lang w:val="sr-Latn-BA"/>
        </w:rPr>
        <w:t>145</w:t>
      </w:r>
      <w:r w:rsidR="00C52DD7" w:rsidRPr="001B53A8">
        <w:rPr>
          <w:lang w:val="sr-Latn-BA"/>
        </w:rPr>
        <w:t xml:space="preserve">. </w:t>
      </w:r>
      <w:r w:rsidRPr="001B53A8">
        <w:rPr>
          <w:lang w:val="sr-Latn-BA"/>
        </w:rPr>
        <w:t>istog</w:t>
      </w:r>
      <w:r w:rsidR="00C52DD7" w:rsidRPr="001B53A8">
        <w:rPr>
          <w:lang w:val="sr-Latn-BA"/>
        </w:rPr>
        <w:t xml:space="preserve"> </w:t>
      </w:r>
      <w:r w:rsidRPr="001B53A8">
        <w:rPr>
          <w:lang w:val="sr-Latn-BA"/>
        </w:rPr>
        <w:t>zakona</w:t>
      </w:r>
      <w:r w:rsidR="00C52DD7" w:rsidRPr="001B53A8">
        <w:rPr>
          <w:lang w:val="sr-Latn-BA"/>
        </w:rPr>
        <w:t xml:space="preserve">. </w:t>
      </w:r>
      <w:r w:rsidRPr="001B53A8">
        <w:rPr>
          <w:lang w:val="sr-Latn-BA"/>
        </w:rPr>
        <w:t>Dozvolu</w:t>
      </w:r>
      <w:r w:rsidR="00C52DD7" w:rsidRPr="001B53A8">
        <w:rPr>
          <w:lang w:val="sr-Latn-BA"/>
        </w:rPr>
        <w:t xml:space="preserve"> </w:t>
      </w:r>
      <w:r w:rsidRPr="001B53A8">
        <w:rPr>
          <w:lang w:val="sr-Latn-BA"/>
        </w:rPr>
        <w:t>za</w:t>
      </w:r>
      <w:r w:rsidR="00C52DD7" w:rsidRPr="001B53A8">
        <w:rPr>
          <w:lang w:val="sr-Latn-BA"/>
        </w:rPr>
        <w:t xml:space="preserve"> </w:t>
      </w:r>
      <w:r w:rsidRPr="001B53A8">
        <w:rPr>
          <w:lang w:val="sr-Latn-BA"/>
        </w:rPr>
        <w:t>obavlјanje</w:t>
      </w:r>
      <w:r w:rsidR="00C52DD7" w:rsidRPr="001B53A8">
        <w:rPr>
          <w:lang w:val="sr-Latn-BA"/>
        </w:rPr>
        <w:t xml:space="preserve"> </w:t>
      </w:r>
      <w:r w:rsidRPr="001B53A8">
        <w:rPr>
          <w:lang w:val="sr-Latn-BA"/>
        </w:rPr>
        <w:t>ovih</w:t>
      </w:r>
      <w:r w:rsidR="00C52DD7" w:rsidRPr="001B53A8">
        <w:rPr>
          <w:lang w:val="sr-Latn-BA"/>
        </w:rPr>
        <w:t xml:space="preserve"> </w:t>
      </w:r>
      <w:r w:rsidRPr="001B53A8">
        <w:rPr>
          <w:lang w:val="sr-Latn-BA"/>
        </w:rPr>
        <w:t>poslova</w:t>
      </w:r>
      <w:r w:rsidR="00C52DD7" w:rsidRPr="001B53A8">
        <w:rPr>
          <w:lang w:val="sr-Latn-BA"/>
        </w:rPr>
        <w:t xml:space="preserve"> </w:t>
      </w:r>
      <w:r w:rsidRPr="001B53A8">
        <w:rPr>
          <w:lang w:val="sr-Latn-BA"/>
        </w:rPr>
        <w:t>n</w:t>
      </w:r>
      <w:r w:rsidRPr="001B53A8">
        <w:rPr>
          <w:rFonts w:eastAsia="Times New Roman"/>
          <w:lang w:val="sr-Latn-BA" w:eastAsia="sr-Latn-CS"/>
        </w:rPr>
        <w:t>a</w:t>
      </w:r>
      <w:r w:rsidR="000255CC" w:rsidRPr="001B53A8">
        <w:rPr>
          <w:rFonts w:eastAsia="Times New Roman"/>
          <w:lang w:val="sr-Latn-BA" w:eastAsia="sr-Latn-CS"/>
        </w:rPr>
        <w:t xml:space="preserve"> </w:t>
      </w:r>
      <w:r w:rsidRPr="001B53A8">
        <w:rPr>
          <w:rFonts w:eastAsia="Times New Roman"/>
          <w:lang w:val="sr-Latn-BA" w:eastAsia="sr-Latn-CS"/>
        </w:rPr>
        <w:t>tržištu</w:t>
      </w:r>
      <w:r w:rsidR="000255CC" w:rsidRPr="001B53A8">
        <w:rPr>
          <w:rFonts w:eastAsia="Times New Roman"/>
          <w:lang w:val="sr-Latn-BA" w:eastAsia="sr-Latn-CS"/>
        </w:rPr>
        <w:t xml:space="preserve"> </w:t>
      </w:r>
      <w:r w:rsidRPr="001B53A8">
        <w:rPr>
          <w:rFonts w:eastAsia="Times New Roman"/>
          <w:lang w:val="sr-Latn-BA" w:eastAsia="sr-Latn-CS"/>
        </w:rPr>
        <w:t>hartija</w:t>
      </w:r>
      <w:r w:rsidR="000255CC" w:rsidRPr="001B53A8">
        <w:rPr>
          <w:rFonts w:eastAsia="Times New Roman"/>
          <w:lang w:val="sr-Latn-BA" w:eastAsia="sr-Latn-CS"/>
        </w:rPr>
        <w:t xml:space="preserve"> </w:t>
      </w:r>
      <w:r w:rsidRPr="001B53A8">
        <w:rPr>
          <w:rFonts w:eastAsia="Times New Roman"/>
          <w:lang w:val="sr-Latn-BA" w:eastAsia="sr-Latn-CS"/>
        </w:rPr>
        <w:t>od</w:t>
      </w:r>
      <w:r w:rsidR="000255CC" w:rsidRPr="001B53A8">
        <w:rPr>
          <w:rFonts w:eastAsia="Times New Roman"/>
          <w:lang w:val="sr-Latn-BA" w:eastAsia="sr-Latn-CS"/>
        </w:rPr>
        <w:t xml:space="preserve"> </w:t>
      </w:r>
      <w:r w:rsidRPr="001B53A8">
        <w:rPr>
          <w:rFonts w:eastAsia="Times New Roman"/>
          <w:lang w:val="sr-Latn-BA" w:eastAsia="sr-Latn-CS"/>
        </w:rPr>
        <w:t>vrijednosti</w:t>
      </w:r>
      <w:r w:rsidR="000255CC" w:rsidRPr="001B53A8">
        <w:rPr>
          <w:rFonts w:eastAsia="Times New Roman"/>
          <w:lang w:val="sr-Latn-BA" w:eastAsia="sr-Latn-CS"/>
        </w:rPr>
        <w:t xml:space="preserve"> </w:t>
      </w:r>
      <w:r w:rsidRPr="001B53A8">
        <w:rPr>
          <w:rFonts w:eastAsia="Times New Roman"/>
          <w:lang w:val="sr-Latn-BA" w:eastAsia="sr-Latn-CS"/>
        </w:rPr>
        <w:t>Republike</w:t>
      </w:r>
      <w:r w:rsidR="000255CC" w:rsidRPr="001B53A8">
        <w:rPr>
          <w:rFonts w:eastAsia="Times New Roman"/>
          <w:lang w:val="sr-Latn-BA" w:eastAsia="sr-Latn-CS"/>
        </w:rPr>
        <w:t xml:space="preserve"> </w:t>
      </w:r>
      <w:r w:rsidRPr="001B53A8">
        <w:rPr>
          <w:rFonts w:eastAsia="Times New Roman"/>
          <w:lang w:val="sr-Latn-BA" w:eastAsia="sr-Latn-CS"/>
        </w:rPr>
        <w:t>Srpske</w:t>
      </w:r>
      <w:r w:rsidR="000255CC" w:rsidRPr="001B53A8">
        <w:rPr>
          <w:rFonts w:eastAsia="Times New Roman"/>
          <w:lang w:val="sr-Latn-BA" w:eastAsia="sr-Latn-CS"/>
        </w:rPr>
        <w:t xml:space="preserve"> </w:t>
      </w:r>
      <w:r w:rsidRPr="001B53A8">
        <w:rPr>
          <w:rFonts w:eastAsia="Times New Roman"/>
          <w:lang w:val="sr-Latn-BA" w:eastAsia="sr-Latn-CS"/>
        </w:rPr>
        <w:t>ima</w:t>
      </w:r>
      <w:r w:rsidR="000255CC" w:rsidRPr="001B53A8">
        <w:rPr>
          <w:rFonts w:eastAsia="Times New Roman"/>
          <w:lang w:val="sr-Latn-BA" w:eastAsia="sr-Latn-CS"/>
        </w:rPr>
        <w:t xml:space="preserve"> </w:t>
      </w:r>
      <w:r w:rsidRPr="001B53A8">
        <w:rPr>
          <w:rFonts w:eastAsia="Times New Roman"/>
          <w:lang w:val="sr-Latn-BA" w:eastAsia="sr-Latn-CS"/>
        </w:rPr>
        <w:t>Banjalučka</w:t>
      </w:r>
      <w:r w:rsidR="000255CC" w:rsidRPr="001B53A8">
        <w:rPr>
          <w:rFonts w:eastAsia="Times New Roman"/>
          <w:lang w:val="sr-Latn-BA" w:eastAsia="sr-Latn-CS"/>
        </w:rPr>
        <w:t xml:space="preserve"> </w:t>
      </w:r>
      <w:r w:rsidRPr="001B53A8">
        <w:rPr>
          <w:rFonts w:eastAsia="Times New Roman"/>
          <w:lang w:val="sr-Latn-BA" w:eastAsia="sr-Latn-CS"/>
        </w:rPr>
        <w:t>berza</w:t>
      </w:r>
      <w:r w:rsidR="000255CC" w:rsidRPr="001B53A8">
        <w:rPr>
          <w:rFonts w:eastAsia="Times New Roman"/>
          <w:lang w:val="sr-Latn-BA" w:eastAsia="sr-Latn-CS"/>
        </w:rPr>
        <w:t xml:space="preserve"> </w:t>
      </w:r>
      <w:r w:rsidRPr="001B53A8">
        <w:rPr>
          <w:rFonts w:eastAsia="Times New Roman"/>
          <w:lang w:val="sr-Latn-BA" w:eastAsia="sr-Latn-CS"/>
        </w:rPr>
        <w:t>hartija</w:t>
      </w:r>
      <w:r w:rsidR="000255CC" w:rsidRPr="001B53A8">
        <w:rPr>
          <w:rFonts w:eastAsia="Times New Roman"/>
          <w:lang w:val="sr-Latn-BA" w:eastAsia="sr-Latn-CS"/>
        </w:rPr>
        <w:t xml:space="preserve"> </w:t>
      </w:r>
      <w:r w:rsidRPr="001B53A8">
        <w:rPr>
          <w:rFonts w:eastAsia="Times New Roman"/>
          <w:lang w:val="sr-Latn-BA" w:eastAsia="sr-Latn-CS"/>
        </w:rPr>
        <w:t>od</w:t>
      </w:r>
      <w:r w:rsidR="000255CC" w:rsidRPr="001B53A8">
        <w:rPr>
          <w:rFonts w:eastAsia="Times New Roman"/>
          <w:lang w:val="sr-Latn-BA" w:eastAsia="sr-Latn-CS"/>
        </w:rPr>
        <w:t xml:space="preserve"> </w:t>
      </w:r>
      <w:r w:rsidRPr="001B53A8">
        <w:rPr>
          <w:rFonts w:eastAsia="Times New Roman"/>
          <w:lang w:val="sr-Latn-BA" w:eastAsia="sr-Latn-CS"/>
        </w:rPr>
        <w:t>vrijednosti</w:t>
      </w:r>
      <w:r w:rsidR="00C52DD7" w:rsidRPr="001B53A8">
        <w:rPr>
          <w:rFonts w:eastAsia="Times New Roman"/>
          <w:lang w:val="sr-Latn-BA" w:eastAsia="sr-Latn-CS"/>
        </w:rPr>
        <w:t xml:space="preserve"> </w:t>
      </w:r>
      <w:r w:rsidRPr="001B53A8">
        <w:rPr>
          <w:rFonts w:eastAsia="Times New Roman"/>
          <w:lang w:val="sr-Latn-BA" w:eastAsia="sr-Latn-CS"/>
        </w:rPr>
        <w:t>a</w:t>
      </w:r>
      <w:r w:rsidR="00C52DD7" w:rsidRPr="001B53A8">
        <w:rPr>
          <w:rFonts w:eastAsia="Times New Roman"/>
          <w:lang w:val="sr-Latn-BA" w:eastAsia="sr-Latn-CS"/>
        </w:rPr>
        <w:t>.</w:t>
      </w:r>
      <w:r w:rsidRPr="001B53A8">
        <w:rPr>
          <w:rFonts w:eastAsia="Times New Roman"/>
          <w:lang w:val="sr-Latn-BA" w:eastAsia="sr-Latn-CS"/>
        </w:rPr>
        <w:t>d</w:t>
      </w:r>
      <w:r w:rsidR="00C52DD7" w:rsidRPr="001B53A8">
        <w:rPr>
          <w:rFonts w:eastAsia="Times New Roman"/>
          <w:lang w:val="sr-Latn-BA" w:eastAsia="sr-Latn-CS"/>
        </w:rPr>
        <w:t xml:space="preserve">. </w:t>
      </w:r>
      <w:r w:rsidRPr="001B53A8">
        <w:rPr>
          <w:rFonts w:eastAsia="Times New Roman"/>
          <w:lang w:val="sr-Latn-BA" w:eastAsia="sr-Latn-CS"/>
        </w:rPr>
        <w:t>Banja</w:t>
      </w:r>
      <w:r w:rsidR="00C52DD7" w:rsidRPr="001B53A8">
        <w:rPr>
          <w:rFonts w:eastAsia="Times New Roman"/>
          <w:lang w:val="sr-Latn-BA" w:eastAsia="sr-Latn-CS"/>
        </w:rPr>
        <w:t xml:space="preserve"> </w:t>
      </w:r>
      <w:r w:rsidRPr="001B53A8">
        <w:rPr>
          <w:rFonts w:eastAsia="Times New Roman"/>
          <w:lang w:val="sr-Latn-BA" w:eastAsia="sr-Latn-CS"/>
        </w:rPr>
        <w:t>Luka</w:t>
      </w:r>
      <w:r w:rsidR="000255CC" w:rsidRPr="001B53A8">
        <w:rPr>
          <w:rFonts w:eastAsia="Times New Roman"/>
          <w:lang w:val="sr-Latn-BA" w:eastAsia="sr-Latn-CS"/>
        </w:rPr>
        <w:t>.</w:t>
      </w:r>
      <w:r w:rsidR="008D04D1" w:rsidRPr="001B53A8">
        <w:rPr>
          <w:rFonts w:eastAsia="Times New Roman"/>
          <w:lang w:val="sr-Latn-BA" w:eastAsia="sr-Latn-CS"/>
        </w:rPr>
        <w:t xml:space="preserve"> </w:t>
      </w:r>
    </w:p>
    <w:p w14:paraId="29DA1A79" w14:textId="325B54D5" w:rsidR="00434025" w:rsidRPr="001B53A8" w:rsidRDefault="00003F34" w:rsidP="006B6E0C">
      <w:pPr>
        <w:spacing w:after="0" w:line="240" w:lineRule="auto"/>
        <w:ind w:firstLine="567"/>
        <w:rPr>
          <w:rStyle w:val="FontStyle22"/>
          <w:rFonts w:ascii="Times New Roman" w:hAnsi="Times New Roman" w:cs="Times New Roman"/>
          <w:sz w:val="24"/>
          <w:szCs w:val="24"/>
          <w:lang w:val="sr-Latn-BA" w:eastAsia="sr-Cyrl-CS"/>
        </w:rPr>
      </w:pPr>
      <w:r w:rsidRPr="001B53A8">
        <w:rPr>
          <w:rStyle w:val="FontStyle22"/>
          <w:rFonts w:ascii="Times New Roman" w:hAnsi="Times New Roman" w:cs="Times New Roman"/>
          <w:sz w:val="24"/>
          <w:szCs w:val="24"/>
          <w:lang w:val="sr-Latn-BA" w:eastAsia="sr-Cyrl-CS"/>
        </w:rPr>
        <w:t>Na</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tržištu</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hartija</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od</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vrijednosti</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Republike</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Srpske</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poslove</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iz</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člana</w:t>
      </w:r>
      <w:r w:rsidR="00434025" w:rsidRPr="001B53A8">
        <w:rPr>
          <w:rStyle w:val="FontStyle22"/>
          <w:rFonts w:ascii="Times New Roman" w:hAnsi="Times New Roman" w:cs="Times New Roman"/>
          <w:sz w:val="24"/>
          <w:szCs w:val="24"/>
          <w:lang w:val="sr-Latn-BA" w:eastAsia="sr-Cyrl-CS"/>
        </w:rPr>
        <w:t xml:space="preserve"> 145. </w:t>
      </w:r>
      <w:r w:rsidRPr="001B53A8">
        <w:rPr>
          <w:rStyle w:val="FontStyle22"/>
          <w:rFonts w:ascii="Times New Roman" w:hAnsi="Times New Roman" w:cs="Times New Roman"/>
          <w:sz w:val="24"/>
          <w:szCs w:val="24"/>
          <w:lang w:val="sr-Latn-BA" w:eastAsia="sr-Cyrl-CS"/>
        </w:rPr>
        <w:t>Zakona</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o</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tržištu</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obavlјa</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Banjalučka</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berza</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hartija</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od</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vrijednosti</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U</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toku</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izvještajnog</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perioda</w:t>
      </w:r>
      <w:r w:rsidR="00434025"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nije</w:t>
      </w:r>
      <w:r w:rsidR="000A0529"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bilo</w:t>
      </w:r>
      <w:r w:rsidR="000A0529"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postupaka</w:t>
      </w:r>
      <w:r w:rsidR="000A0529"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kod</w:t>
      </w:r>
      <w:r w:rsidR="000A0529" w:rsidRPr="001B53A8">
        <w:rPr>
          <w:rStyle w:val="FontStyle22"/>
          <w:rFonts w:ascii="Times New Roman" w:hAnsi="Times New Roman" w:cs="Times New Roman"/>
          <w:sz w:val="24"/>
          <w:szCs w:val="24"/>
          <w:lang w:val="sr-Latn-BA" w:eastAsia="sr-Cyrl-CS"/>
        </w:rPr>
        <w:t xml:space="preserve"> </w:t>
      </w:r>
      <w:r w:rsidRPr="001B53A8">
        <w:rPr>
          <w:rStyle w:val="FontStyle22"/>
          <w:rFonts w:ascii="Times New Roman" w:hAnsi="Times New Roman" w:cs="Times New Roman"/>
          <w:sz w:val="24"/>
          <w:szCs w:val="24"/>
          <w:lang w:val="sr-Latn-BA" w:eastAsia="sr-Cyrl-CS"/>
        </w:rPr>
        <w:t>Komisije</w:t>
      </w:r>
      <w:r w:rsidR="00434025" w:rsidRPr="001B53A8">
        <w:rPr>
          <w:rStyle w:val="FontStyle22"/>
          <w:rFonts w:ascii="Times New Roman" w:hAnsi="Times New Roman" w:cs="Times New Roman"/>
          <w:sz w:val="24"/>
          <w:szCs w:val="24"/>
          <w:lang w:val="sr-Latn-BA" w:eastAsia="sr-Cyrl-CS"/>
        </w:rPr>
        <w:t>.</w:t>
      </w:r>
    </w:p>
    <w:p w14:paraId="03F47C25" w14:textId="3E368A38" w:rsidR="00BF6D48" w:rsidRPr="001B53A8" w:rsidRDefault="00003F34" w:rsidP="006B6E0C">
      <w:pPr>
        <w:spacing w:after="0" w:line="240" w:lineRule="auto"/>
        <w:ind w:firstLine="567"/>
        <w:rPr>
          <w:lang w:val="sr-Latn-BA"/>
        </w:rPr>
      </w:pPr>
      <w:r w:rsidRPr="001B53A8">
        <w:rPr>
          <w:lang w:val="sr-Latn-BA"/>
        </w:rPr>
        <w:t>Dozvolu</w:t>
      </w:r>
      <w:r w:rsidR="00C52DD7" w:rsidRPr="001B53A8">
        <w:rPr>
          <w:lang w:val="sr-Latn-BA"/>
        </w:rPr>
        <w:t xml:space="preserve"> </w:t>
      </w:r>
      <w:r w:rsidRPr="001B53A8">
        <w:rPr>
          <w:lang w:val="sr-Latn-BA"/>
        </w:rPr>
        <w:t>za</w:t>
      </w:r>
      <w:r w:rsidR="00C52DD7" w:rsidRPr="001B53A8">
        <w:rPr>
          <w:lang w:val="sr-Latn-BA"/>
        </w:rPr>
        <w:t xml:space="preserve"> </w:t>
      </w:r>
      <w:r w:rsidRPr="001B53A8">
        <w:rPr>
          <w:lang w:val="sr-Latn-BA"/>
        </w:rPr>
        <w:t>obavlјanje</w:t>
      </w:r>
      <w:r w:rsidR="00C52DD7" w:rsidRPr="001B53A8">
        <w:rPr>
          <w:lang w:val="sr-Latn-BA"/>
        </w:rPr>
        <w:t xml:space="preserve"> </w:t>
      </w:r>
      <w:r w:rsidRPr="001B53A8">
        <w:rPr>
          <w:lang w:val="sr-Latn-BA"/>
        </w:rPr>
        <w:t>poslova</w:t>
      </w:r>
      <w:r w:rsidR="00C52DD7" w:rsidRPr="001B53A8">
        <w:rPr>
          <w:lang w:val="sr-Latn-BA"/>
        </w:rPr>
        <w:t xml:space="preserve"> </w:t>
      </w:r>
      <w:r w:rsidRPr="001B53A8">
        <w:rPr>
          <w:lang w:val="sr-Latn-BA"/>
        </w:rPr>
        <w:t>iz</w:t>
      </w:r>
      <w:r w:rsidR="00C52DD7" w:rsidRPr="001B53A8">
        <w:rPr>
          <w:lang w:val="sr-Latn-BA"/>
        </w:rPr>
        <w:t xml:space="preserve"> </w:t>
      </w:r>
      <w:r w:rsidRPr="001B53A8">
        <w:rPr>
          <w:lang w:val="sr-Latn-BA"/>
        </w:rPr>
        <w:t>člana</w:t>
      </w:r>
      <w:r w:rsidR="00C52DD7" w:rsidRPr="001B53A8">
        <w:rPr>
          <w:lang w:val="sr-Latn-BA"/>
        </w:rPr>
        <w:t xml:space="preserve"> 189. </w:t>
      </w:r>
      <w:r w:rsidRPr="001B53A8">
        <w:rPr>
          <w:lang w:val="sr-Latn-BA"/>
        </w:rPr>
        <w:t>Zakona</w:t>
      </w:r>
      <w:r w:rsidR="00C52DD7" w:rsidRPr="001B53A8">
        <w:rPr>
          <w:lang w:val="sr-Latn-BA"/>
        </w:rPr>
        <w:t xml:space="preserve"> </w:t>
      </w:r>
      <w:r w:rsidRPr="001B53A8">
        <w:rPr>
          <w:lang w:val="sr-Latn-BA"/>
        </w:rPr>
        <w:t>o</w:t>
      </w:r>
      <w:r w:rsidR="00C52DD7" w:rsidRPr="001B53A8">
        <w:rPr>
          <w:lang w:val="sr-Latn-BA"/>
        </w:rPr>
        <w:t xml:space="preserve"> </w:t>
      </w:r>
      <w:r w:rsidRPr="001B53A8">
        <w:rPr>
          <w:lang w:val="sr-Latn-BA"/>
        </w:rPr>
        <w:t>tržištu</w:t>
      </w:r>
      <w:r w:rsidR="00C52DD7" w:rsidRPr="001B53A8">
        <w:rPr>
          <w:lang w:val="sr-Latn-BA"/>
        </w:rPr>
        <w:t xml:space="preserve"> </w:t>
      </w:r>
      <w:r w:rsidRPr="001B53A8">
        <w:rPr>
          <w:lang w:val="sr-Latn-BA"/>
        </w:rPr>
        <w:t>hartija</w:t>
      </w:r>
      <w:r w:rsidR="00C52DD7" w:rsidRPr="001B53A8">
        <w:rPr>
          <w:lang w:val="sr-Latn-BA"/>
        </w:rPr>
        <w:t xml:space="preserve"> </w:t>
      </w:r>
      <w:r w:rsidRPr="001B53A8">
        <w:rPr>
          <w:lang w:val="sr-Latn-BA"/>
        </w:rPr>
        <w:t>od</w:t>
      </w:r>
      <w:r w:rsidR="00C52DD7" w:rsidRPr="001B53A8">
        <w:rPr>
          <w:lang w:val="sr-Latn-BA"/>
        </w:rPr>
        <w:t xml:space="preserve"> </w:t>
      </w:r>
      <w:r w:rsidRPr="001B53A8">
        <w:rPr>
          <w:lang w:val="sr-Latn-BA"/>
        </w:rPr>
        <w:t>vrijednosti</w:t>
      </w:r>
      <w:r w:rsidR="00C52DD7" w:rsidRPr="001B53A8">
        <w:rPr>
          <w:lang w:val="sr-Latn-BA"/>
        </w:rPr>
        <w:t xml:space="preserve">, </w:t>
      </w:r>
      <w:r w:rsidRPr="001B53A8">
        <w:rPr>
          <w:lang w:val="sr-Latn-BA"/>
        </w:rPr>
        <w:t>Komisija</w:t>
      </w:r>
      <w:r w:rsidR="00C52DD7" w:rsidRPr="001B53A8">
        <w:rPr>
          <w:lang w:val="sr-Latn-BA"/>
        </w:rPr>
        <w:t xml:space="preserve">  </w:t>
      </w:r>
      <w:r w:rsidRPr="001B53A8">
        <w:rPr>
          <w:lang w:val="sr-Latn-BA"/>
        </w:rPr>
        <w:t>izdaje</w:t>
      </w:r>
      <w:r w:rsidR="00C52DD7" w:rsidRPr="001B53A8">
        <w:rPr>
          <w:lang w:val="sr-Latn-BA"/>
        </w:rPr>
        <w:t xml:space="preserve"> </w:t>
      </w:r>
      <w:r w:rsidRPr="001B53A8">
        <w:rPr>
          <w:b/>
          <w:lang w:val="sr-Latn-BA"/>
        </w:rPr>
        <w:t>Centralnom</w:t>
      </w:r>
      <w:r w:rsidR="000255CC" w:rsidRPr="001B53A8">
        <w:rPr>
          <w:b/>
          <w:lang w:val="sr-Latn-BA"/>
        </w:rPr>
        <w:t xml:space="preserve"> </w:t>
      </w:r>
      <w:r w:rsidRPr="001B53A8">
        <w:rPr>
          <w:b/>
          <w:lang w:val="sr-Latn-BA"/>
        </w:rPr>
        <w:t>registru</w:t>
      </w:r>
      <w:r w:rsidR="000255CC" w:rsidRPr="001B53A8">
        <w:rPr>
          <w:b/>
          <w:lang w:val="sr-Latn-BA"/>
        </w:rPr>
        <w:t xml:space="preserve"> </w:t>
      </w:r>
      <w:r w:rsidRPr="001B53A8">
        <w:rPr>
          <w:b/>
          <w:lang w:val="sr-Latn-BA"/>
        </w:rPr>
        <w:t>hartija</w:t>
      </w:r>
      <w:r w:rsidR="000255CC" w:rsidRPr="001B53A8">
        <w:rPr>
          <w:b/>
          <w:lang w:val="sr-Latn-BA"/>
        </w:rPr>
        <w:t xml:space="preserve"> </w:t>
      </w:r>
      <w:r w:rsidRPr="001B53A8">
        <w:rPr>
          <w:b/>
          <w:lang w:val="sr-Latn-BA"/>
        </w:rPr>
        <w:t>od</w:t>
      </w:r>
      <w:r w:rsidR="000255CC" w:rsidRPr="001B53A8">
        <w:rPr>
          <w:b/>
          <w:lang w:val="sr-Latn-BA"/>
        </w:rPr>
        <w:t xml:space="preserve"> </w:t>
      </w:r>
      <w:r w:rsidRPr="001B53A8">
        <w:rPr>
          <w:b/>
          <w:lang w:val="sr-Latn-BA"/>
        </w:rPr>
        <w:t>vrijednosti</w:t>
      </w:r>
      <w:r w:rsidR="000255CC" w:rsidRPr="001B53A8">
        <w:rPr>
          <w:lang w:val="sr-Latn-BA"/>
        </w:rPr>
        <w:t xml:space="preserve">, </w:t>
      </w:r>
      <w:r w:rsidRPr="001B53A8">
        <w:rPr>
          <w:lang w:val="sr-Latn-BA"/>
        </w:rPr>
        <w:t>u</w:t>
      </w:r>
      <w:r w:rsidR="000255CC" w:rsidRPr="001B53A8">
        <w:rPr>
          <w:lang w:val="sr-Latn-BA"/>
        </w:rPr>
        <w:t xml:space="preserve"> </w:t>
      </w:r>
      <w:r w:rsidRPr="001B53A8">
        <w:rPr>
          <w:lang w:val="sr-Latn-BA"/>
        </w:rPr>
        <w:t>skladu</w:t>
      </w:r>
      <w:r w:rsidR="000255CC" w:rsidRPr="001B53A8">
        <w:rPr>
          <w:lang w:val="sr-Latn-BA"/>
        </w:rPr>
        <w:t xml:space="preserve"> </w:t>
      </w:r>
      <w:r w:rsidRPr="001B53A8">
        <w:rPr>
          <w:lang w:val="sr-Latn-BA"/>
        </w:rPr>
        <w:t>sa</w:t>
      </w:r>
      <w:r w:rsidR="000255CC" w:rsidRPr="001B53A8">
        <w:rPr>
          <w:lang w:val="sr-Latn-BA"/>
        </w:rPr>
        <w:t xml:space="preserve"> </w:t>
      </w:r>
      <w:r w:rsidRPr="001B53A8">
        <w:rPr>
          <w:lang w:val="sr-Latn-BA"/>
        </w:rPr>
        <w:t>članom</w:t>
      </w:r>
      <w:r w:rsidR="000255CC" w:rsidRPr="001B53A8">
        <w:rPr>
          <w:lang w:val="sr-Latn-BA"/>
        </w:rPr>
        <w:t xml:space="preserve"> 196. </w:t>
      </w:r>
      <w:r w:rsidRPr="001B53A8">
        <w:rPr>
          <w:lang w:val="sr-Latn-BA"/>
        </w:rPr>
        <w:t>Zakona</w:t>
      </w:r>
      <w:r w:rsidR="00C52DD7" w:rsidRPr="001B53A8">
        <w:rPr>
          <w:lang w:val="sr-Latn-BA"/>
        </w:rPr>
        <w:t>.</w:t>
      </w:r>
      <w:r w:rsidR="000255CC" w:rsidRPr="001B53A8">
        <w:rPr>
          <w:lang w:val="sr-Latn-BA"/>
        </w:rPr>
        <w:t xml:space="preserve"> </w:t>
      </w:r>
    </w:p>
    <w:p w14:paraId="01D7965E" w14:textId="2AD52CFA" w:rsidR="00BF6D48" w:rsidRPr="001B53A8" w:rsidRDefault="00003F34" w:rsidP="00BF6D48">
      <w:pPr>
        <w:spacing w:after="0" w:line="240" w:lineRule="auto"/>
        <w:ind w:firstLine="567"/>
        <w:rPr>
          <w:lang w:val="sr-Latn-BA"/>
        </w:rPr>
      </w:pPr>
      <w:r w:rsidRPr="001B53A8">
        <w:rPr>
          <w:lang w:val="sr-Latn-BA"/>
        </w:rPr>
        <w:t>U</w:t>
      </w:r>
      <w:r w:rsidR="00BF6D48" w:rsidRPr="001B53A8">
        <w:rPr>
          <w:lang w:val="sr-Latn-BA"/>
        </w:rPr>
        <w:t xml:space="preserve"> 2023. </w:t>
      </w:r>
      <w:r w:rsidRPr="001B53A8">
        <w:rPr>
          <w:lang w:val="sr-Latn-BA"/>
        </w:rPr>
        <w:t>godini</w:t>
      </w:r>
      <w:r w:rsidR="00BF6D48" w:rsidRPr="001B53A8">
        <w:rPr>
          <w:lang w:val="sr-Latn-BA"/>
        </w:rPr>
        <w:t xml:space="preserve"> </w:t>
      </w:r>
      <w:r w:rsidRPr="001B53A8">
        <w:rPr>
          <w:lang w:val="sr-Latn-BA"/>
        </w:rPr>
        <w:t>dato</w:t>
      </w:r>
      <w:r w:rsidR="00BF6D48" w:rsidRPr="001B53A8">
        <w:rPr>
          <w:lang w:val="sr-Latn-BA"/>
        </w:rPr>
        <w:t xml:space="preserve"> </w:t>
      </w:r>
      <w:r w:rsidRPr="001B53A8">
        <w:rPr>
          <w:lang w:val="sr-Latn-BA"/>
        </w:rPr>
        <w:t>je</w:t>
      </w:r>
      <w:r w:rsidR="00BF6D48" w:rsidRPr="001B53A8">
        <w:rPr>
          <w:lang w:val="sr-Latn-BA"/>
        </w:rPr>
        <w:t xml:space="preserve"> </w:t>
      </w:r>
      <w:r w:rsidRPr="001B53A8">
        <w:rPr>
          <w:lang w:val="sr-Latn-BA"/>
        </w:rPr>
        <w:t>rješenje</w:t>
      </w:r>
      <w:r w:rsidR="00BF6D48" w:rsidRPr="001B53A8">
        <w:rPr>
          <w:lang w:val="sr-Latn-BA"/>
        </w:rPr>
        <w:t xml:space="preserve"> </w:t>
      </w:r>
      <w:r w:rsidRPr="001B53A8">
        <w:rPr>
          <w:lang w:val="sr-Latn-BA"/>
        </w:rPr>
        <w:t>kojim</w:t>
      </w:r>
      <w:r w:rsidR="00BF6D48" w:rsidRPr="001B53A8">
        <w:rPr>
          <w:lang w:val="sr-Latn-BA"/>
        </w:rPr>
        <w:t xml:space="preserve"> </w:t>
      </w:r>
      <w:r w:rsidRPr="001B53A8">
        <w:rPr>
          <w:lang w:val="sr-Latn-BA"/>
        </w:rPr>
        <w:t>se</w:t>
      </w:r>
      <w:r w:rsidR="00BF6D48" w:rsidRPr="001B53A8">
        <w:rPr>
          <w:lang w:val="sr-Latn-BA"/>
        </w:rPr>
        <w:t xml:space="preserve"> </w:t>
      </w:r>
      <w:r w:rsidRPr="001B53A8">
        <w:rPr>
          <w:lang w:val="sr-Latn-BA"/>
        </w:rPr>
        <w:t>Centralnom</w:t>
      </w:r>
      <w:r w:rsidR="00BF6D48" w:rsidRPr="001B53A8">
        <w:rPr>
          <w:lang w:val="sr-Latn-BA"/>
        </w:rPr>
        <w:t xml:space="preserve"> </w:t>
      </w:r>
      <w:r w:rsidRPr="001B53A8">
        <w:rPr>
          <w:lang w:val="sr-Latn-BA"/>
        </w:rPr>
        <w:t>registru</w:t>
      </w:r>
      <w:r w:rsidR="00BF6D48" w:rsidRPr="001B53A8">
        <w:rPr>
          <w:lang w:val="sr-Latn-BA"/>
        </w:rPr>
        <w:t xml:space="preserve"> </w:t>
      </w:r>
      <w:r w:rsidRPr="001B53A8">
        <w:rPr>
          <w:lang w:val="sr-Latn-BA"/>
        </w:rPr>
        <w:t>hartija</w:t>
      </w:r>
      <w:r w:rsidR="00BF6D48" w:rsidRPr="001B53A8">
        <w:rPr>
          <w:lang w:val="sr-Latn-BA"/>
        </w:rPr>
        <w:t xml:space="preserve"> </w:t>
      </w:r>
      <w:r w:rsidRPr="001B53A8">
        <w:rPr>
          <w:lang w:val="sr-Latn-BA"/>
        </w:rPr>
        <w:t>od</w:t>
      </w:r>
      <w:r w:rsidR="00BF6D48" w:rsidRPr="001B53A8">
        <w:rPr>
          <w:lang w:val="sr-Latn-BA"/>
        </w:rPr>
        <w:t xml:space="preserve"> </w:t>
      </w:r>
      <w:r w:rsidRPr="001B53A8">
        <w:rPr>
          <w:lang w:val="sr-Latn-BA"/>
        </w:rPr>
        <w:t>vrijednosti</w:t>
      </w:r>
      <w:r w:rsidR="00BF6D48" w:rsidRPr="001B53A8">
        <w:rPr>
          <w:lang w:val="sr-Latn-BA"/>
        </w:rPr>
        <w:t xml:space="preserve"> </w:t>
      </w:r>
      <w:r w:rsidRPr="001B53A8">
        <w:rPr>
          <w:lang w:val="sr-Latn-BA"/>
        </w:rPr>
        <w:t>a</w:t>
      </w:r>
      <w:r w:rsidR="00BF6D48" w:rsidRPr="001B53A8">
        <w:rPr>
          <w:lang w:val="sr-Latn-BA"/>
        </w:rPr>
        <w:t>.</w:t>
      </w:r>
      <w:r w:rsidRPr="001B53A8">
        <w:rPr>
          <w:lang w:val="sr-Latn-BA"/>
        </w:rPr>
        <w:t>d</w:t>
      </w:r>
      <w:r w:rsidR="00BF6D48" w:rsidRPr="001B53A8">
        <w:rPr>
          <w:lang w:val="sr-Latn-BA"/>
        </w:rPr>
        <w:t xml:space="preserve">. </w:t>
      </w:r>
      <w:r w:rsidRPr="001B53A8">
        <w:rPr>
          <w:lang w:val="sr-Latn-BA"/>
        </w:rPr>
        <w:t>Banja</w:t>
      </w:r>
      <w:r w:rsidR="00BF6D48" w:rsidRPr="001B53A8">
        <w:rPr>
          <w:lang w:val="sr-Latn-BA"/>
        </w:rPr>
        <w:t xml:space="preserve"> </w:t>
      </w:r>
      <w:r w:rsidRPr="001B53A8">
        <w:rPr>
          <w:lang w:val="sr-Latn-BA"/>
        </w:rPr>
        <w:t>Luka</w:t>
      </w:r>
      <w:r w:rsidR="00BF6D48" w:rsidRPr="001B53A8">
        <w:rPr>
          <w:lang w:val="sr-Latn-BA"/>
        </w:rPr>
        <w:t xml:space="preserve"> </w:t>
      </w:r>
      <w:r w:rsidRPr="001B53A8">
        <w:rPr>
          <w:lang w:val="sr-Latn-BA"/>
        </w:rPr>
        <w:t>daje</w:t>
      </w:r>
      <w:r w:rsidR="00BF6D48" w:rsidRPr="001B53A8">
        <w:rPr>
          <w:lang w:val="sr-Latn-BA"/>
        </w:rPr>
        <w:t xml:space="preserve"> </w:t>
      </w:r>
      <w:r w:rsidRPr="001B53A8">
        <w:rPr>
          <w:lang w:val="sr-Latn-BA"/>
        </w:rPr>
        <w:t>saglasnost</w:t>
      </w:r>
      <w:r w:rsidR="00BF6D48" w:rsidRPr="001B53A8">
        <w:rPr>
          <w:lang w:val="sr-Latn-BA"/>
        </w:rPr>
        <w:t xml:space="preserve"> </w:t>
      </w:r>
      <w:r w:rsidRPr="001B53A8">
        <w:rPr>
          <w:lang w:val="sr-Latn-BA"/>
        </w:rPr>
        <w:t>na</w:t>
      </w:r>
      <w:r w:rsidR="00BF6D48" w:rsidRPr="001B53A8">
        <w:rPr>
          <w:lang w:val="sr-Latn-BA"/>
        </w:rPr>
        <w:t xml:space="preserve"> </w:t>
      </w:r>
      <w:r w:rsidRPr="001B53A8">
        <w:rPr>
          <w:lang w:val="sr-Latn-BA"/>
        </w:rPr>
        <w:t>imenovanje</w:t>
      </w:r>
      <w:r w:rsidR="00BF6D48" w:rsidRPr="001B53A8">
        <w:rPr>
          <w:lang w:val="sr-Latn-BA"/>
        </w:rPr>
        <w:t xml:space="preserve"> </w:t>
      </w:r>
      <w:r w:rsidRPr="001B53A8">
        <w:rPr>
          <w:lang w:val="sr-Latn-BA"/>
        </w:rPr>
        <w:t>rukovodioca</w:t>
      </w:r>
      <w:r w:rsidR="00BF6D48" w:rsidRPr="001B53A8">
        <w:rPr>
          <w:lang w:val="sr-Latn-BA"/>
        </w:rPr>
        <w:t xml:space="preserve"> </w:t>
      </w:r>
      <w:r w:rsidRPr="001B53A8">
        <w:rPr>
          <w:lang w:val="sr-Latn-BA"/>
        </w:rPr>
        <w:t>odjelјenja</w:t>
      </w:r>
      <w:r w:rsidR="00BF6D48" w:rsidRPr="001B53A8">
        <w:rPr>
          <w:lang w:val="sr-Latn-BA"/>
        </w:rPr>
        <w:t xml:space="preserve"> </w:t>
      </w:r>
      <w:r w:rsidRPr="001B53A8">
        <w:rPr>
          <w:lang w:val="sr-Latn-BA"/>
        </w:rPr>
        <w:t>depozitarnih</w:t>
      </w:r>
      <w:r w:rsidR="00BF6D48" w:rsidRPr="001B53A8">
        <w:rPr>
          <w:lang w:val="sr-Latn-BA"/>
        </w:rPr>
        <w:t xml:space="preserve"> </w:t>
      </w:r>
      <w:r w:rsidRPr="001B53A8">
        <w:rPr>
          <w:lang w:val="sr-Latn-BA"/>
        </w:rPr>
        <w:t>poslova</w:t>
      </w:r>
      <w:r w:rsidR="00BF6D48" w:rsidRPr="001B53A8">
        <w:rPr>
          <w:lang w:val="sr-Latn-BA"/>
        </w:rPr>
        <w:t xml:space="preserve">. </w:t>
      </w:r>
      <w:r w:rsidRPr="001B53A8">
        <w:rPr>
          <w:lang w:val="sr-Latn-BA"/>
        </w:rPr>
        <w:t>Pored</w:t>
      </w:r>
      <w:r w:rsidR="00BF6D48" w:rsidRPr="001B53A8">
        <w:rPr>
          <w:lang w:val="sr-Latn-BA"/>
        </w:rPr>
        <w:t xml:space="preserve"> </w:t>
      </w:r>
      <w:r w:rsidRPr="001B53A8">
        <w:rPr>
          <w:lang w:val="sr-Latn-BA"/>
        </w:rPr>
        <w:t>toga</w:t>
      </w:r>
      <w:r w:rsidR="00BF6D48" w:rsidRPr="001B53A8">
        <w:rPr>
          <w:lang w:val="sr-Latn-BA"/>
        </w:rPr>
        <w:t xml:space="preserve">, </w:t>
      </w:r>
      <w:r w:rsidRPr="001B53A8">
        <w:rPr>
          <w:lang w:val="sr-Latn-BA"/>
        </w:rPr>
        <w:t>doneseno</w:t>
      </w:r>
      <w:r w:rsidR="00BF6D48" w:rsidRPr="001B53A8">
        <w:rPr>
          <w:lang w:val="sr-Latn-BA"/>
        </w:rPr>
        <w:t xml:space="preserve"> </w:t>
      </w:r>
      <w:r w:rsidRPr="001B53A8">
        <w:rPr>
          <w:lang w:val="sr-Latn-BA"/>
        </w:rPr>
        <w:t>je</w:t>
      </w:r>
      <w:r w:rsidR="00BF6D48" w:rsidRPr="001B53A8">
        <w:rPr>
          <w:lang w:val="sr-Latn-BA"/>
        </w:rPr>
        <w:t xml:space="preserve"> </w:t>
      </w:r>
      <w:r w:rsidRPr="001B53A8">
        <w:rPr>
          <w:lang w:val="sr-Latn-BA"/>
        </w:rPr>
        <w:t>rješenje</w:t>
      </w:r>
      <w:r w:rsidR="00BF6D48" w:rsidRPr="001B53A8">
        <w:rPr>
          <w:lang w:val="sr-Latn-BA"/>
        </w:rPr>
        <w:t xml:space="preserve"> </w:t>
      </w:r>
      <w:r w:rsidRPr="001B53A8">
        <w:rPr>
          <w:lang w:val="sr-Latn-BA"/>
        </w:rPr>
        <w:t>kojim</w:t>
      </w:r>
      <w:r w:rsidR="00BF6D48" w:rsidRPr="001B53A8">
        <w:rPr>
          <w:lang w:val="sr-Latn-BA"/>
        </w:rPr>
        <w:t xml:space="preserve"> </w:t>
      </w:r>
      <w:r w:rsidRPr="001B53A8">
        <w:rPr>
          <w:lang w:val="sr-Latn-BA"/>
        </w:rPr>
        <w:t>se</w:t>
      </w:r>
      <w:r w:rsidR="00BF6D48" w:rsidRPr="001B53A8">
        <w:rPr>
          <w:lang w:val="sr-Latn-BA"/>
        </w:rPr>
        <w:t xml:space="preserve"> </w:t>
      </w:r>
      <w:r w:rsidRPr="001B53A8">
        <w:rPr>
          <w:lang w:val="sr-Latn-BA"/>
        </w:rPr>
        <w:t>Centralnom</w:t>
      </w:r>
      <w:r w:rsidR="00BF6D48" w:rsidRPr="001B53A8">
        <w:rPr>
          <w:lang w:val="sr-Latn-BA"/>
        </w:rPr>
        <w:t xml:space="preserve"> </w:t>
      </w:r>
      <w:r w:rsidRPr="001B53A8">
        <w:rPr>
          <w:lang w:val="sr-Latn-BA"/>
        </w:rPr>
        <w:t>registru</w:t>
      </w:r>
      <w:r w:rsidR="00BF6D48" w:rsidRPr="001B53A8">
        <w:rPr>
          <w:lang w:val="sr-Latn-BA"/>
        </w:rPr>
        <w:t xml:space="preserve"> </w:t>
      </w:r>
      <w:r w:rsidRPr="001B53A8">
        <w:rPr>
          <w:lang w:val="sr-Latn-BA"/>
        </w:rPr>
        <w:t>hartija</w:t>
      </w:r>
      <w:r w:rsidR="00BF6D48" w:rsidRPr="001B53A8">
        <w:rPr>
          <w:lang w:val="sr-Latn-BA"/>
        </w:rPr>
        <w:t xml:space="preserve"> </w:t>
      </w:r>
      <w:r w:rsidRPr="001B53A8">
        <w:rPr>
          <w:lang w:val="sr-Latn-BA"/>
        </w:rPr>
        <w:t>od</w:t>
      </w:r>
      <w:r w:rsidR="00BF6D48" w:rsidRPr="001B53A8">
        <w:rPr>
          <w:lang w:val="sr-Latn-BA"/>
        </w:rPr>
        <w:t xml:space="preserve"> </w:t>
      </w:r>
      <w:r w:rsidRPr="001B53A8">
        <w:rPr>
          <w:lang w:val="sr-Latn-BA"/>
        </w:rPr>
        <w:t>vrijednosti</w:t>
      </w:r>
      <w:r w:rsidR="00BF6D48" w:rsidRPr="001B53A8">
        <w:rPr>
          <w:lang w:val="sr-Latn-BA"/>
        </w:rPr>
        <w:t xml:space="preserve"> </w:t>
      </w:r>
      <w:r w:rsidRPr="001B53A8">
        <w:rPr>
          <w:lang w:val="sr-Latn-BA"/>
        </w:rPr>
        <w:t>daje</w:t>
      </w:r>
      <w:r w:rsidR="00BF6D48" w:rsidRPr="001B53A8">
        <w:rPr>
          <w:lang w:val="sr-Latn-BA"/>
        </w:rPr>
        <w:t xml:space="preserve"> </w:t>
      </w:r>
      <w:r w:rsidRPr="001B53A8">
        <w:rPr>
          <w:lang w:val="sr-Latn-BA"/>
        </w:rPr>
        <w:t>saglasnost</w:t>
      </w:r>
      <w:r w:rsidR="00BF6D48" w:rsidRPr="001B53A8">
        <w:rPr>
          <w:lang w:val="sr-Latn-BA"/>
        </w:rPr>
        <w:t xml:space="preserve"> </w:t>
      </w:r>
      <w:r w:rsidRPr="001B53A8">
        <w:rPr>
          <w:lang w:val="sr-Latn-BA"/>
        </w:rPr>
        <w:t>na</w:t>
      </w:r>
      <w:r w:rsidR="00BF6D48" w:rsidRPr="001B53A8">
        <w:rPr>
          <w:lang w:val="sr-Latn-BA"/>
        </w:rPr>
        <w:t xml:space="preserve"> </w:t>
      </w:r>
      <w:r w:rsidRPr="001B53A8">
        <w:rPr>
          <w:lang w:val="sr-Latn-BA"/>
        </w:rPr>
        <w:t>pravilnik</w:t>
      </w:r>
      <w:r w:rsidR="00BF6D48" w:rsidRPr="001B53A8">
        <w:rPr>
          <w:lang w:val="sr-Latn-BA"/>
        </w:rPr>
        <w:t xml:space="preserve"> </w:t>
      </w:r>
      <w:r w:rsidRPr="001B53A8">
        <w:rPr>
          <w:lang w:val="sr-Latn-BA"/>
        </w:rPr>
        <w:t>o</w:t>
      </w:r>
      <w:r w:rsidR="00BF6D48" w:rsidRPr="001B53A8">
        <w:rPr>
          <w:lang w:val="sr-Latn-BA"/>
        </w:rPr>
        <w:t xml:space="preserve"> </w:t>
      </w:r>
      <w:r w:rsidRPr="001B53A8">
        <w:rPr>
          <w:lang w:val="sr-Latn-BA"/>
        </w:rPr>
        <w:t>obračunu</w:t>
      </w:r>
      <w:r w:rsidR="00BF6D48" w:rsidRPr="001B53A8">
        <w:rPr>
          <w:lang w:val="sr-Latn-BA"/>
        </w:rPr>
        <w:t xml:space="preserve">, </w:t>
      </w:r>
      <w:r w:rsidRPr="001B53A8">
        <w:rPr>
          <w:lang w:val="sr-Latn-BA"/>
        </w:rPr>
        <w:t>poravnanju</w:t>
      </w:r>
      <w:r w:rsidR="00BF6D48" w:rsidRPr="001B53A8">
        <w:rPr>
          <w:lang w:val="sr-Latn-BA"/>
        </w:rPr>
        <w:t xml:space="preserve"> </w:t>
      </w:r>
      <w:r w:rsidRPr="001B53A8">
        <w:rPr>
          <w:lang w:val="sr-Latn-BA"/>
        </w:rPr>
        <w:t>i</w:t>
      </w:r>
      <w:r w:rsidR="00BF6D48" w:rsidRPr="001B53A8">
        <w:rPr>
          <w:lang w:val="sr-Latn-BA"/>
        </w:rPr>
        <w:t xml:space="preserve"> </w:t>
      </w:r>
      <w:r w:rsidRPr="001B53A8">
        <w:rPr>
          <w:lang w:val="sr-Latn-BA"/>
        </w:rPr>
        <w:t>prenosu</w:t>
      </w:r>
      <w:r w:rsidR="00BF6D48" w:rsidRPr="001B53A8">
        <w:rPr>
          <w:lang w:val="sr-Latn-BA"/>
        </w:rPr>
        <w:t xml:space="preserve"> </w:t>
      </w:r>
      <w:r w:rsidRPr="001B53A8">
        <w:rPr>
          <w:lang w:val="sr-Latn-BA"/>
        </w:rPr>
        <w:t>hartija</w:t>
      </w:r>
      <w:r w:rsidR="00BF6D48" w:rsidRPr="001B53A8">
        <w:rPr>
          <w:lang w:val="sr-Latn-BA"/>
        </w:rPr>
        <w:t xml:space="preserve"> </w:t>
      </w:r>
      <w:r w:rsidRPr="001B53A8">
        <w:rPr>
          <w:lang w:val="sr-Latn-BA"/>
        </w:rPr>
        <w:t>od</w:t>
      </w:r>
      <w:r w:rsidR="00BF6D48" w:rsidRPr="001B53A8">
        <w:rPr>
          <w:lang w:val="sr-Latn-BA"/>
        </w:rPr>
        <w:t xml:space="preserve"> </w:t>
      </w:r>
      <w:r w:rsidRPr="001B53A8">
        <w:rPr>
          <w:lang w:val="sr-Latn-BA"/>
        </w:rPr>
        <w:t>vrijednosti</w:t>
      </w:r>
      <w:r w:rsidR="00BF6D48" w:rsidRPr="001B53A8">
        <w:rPr>
          <w:lang w:val="sr-Latn-BA"/>
        </w:rPr>
        <w:t xml:space="preserve">, </w:t>
      </w:r>
      <w:r w:rsidRPr="001B53A8">
        <w:rPr>
          <w:lang w:val="sr-Latn-BA"/>
        </w:rPr>
        <w:t>te</w:t>
      </w:r>
      <w:r w:rsidR="00BF6D48" w:rsidRPr="001B53A8">
        <w:rPr>
          <w:lang w:val="sr-Latn-BA"/>
        </w:rPr>
        <w:t xml:space="preserve"> </w:t>
      </w:r>
      <w:r w:rsidRPr="001B53A8">
        <w:rPr>
          <w:lang w:val="sr-Latn-BA"/>
        </w:rPr>
        <w:t>rješenje</w:t>
      </w:r>
      <w:r w:rsidR="00BF6D48" w:rsidRPr="001B53A8">
        <w:rPr>
          <w:lang w:val="sr-Latn-BA"/>
        </w:rPr>
        <w:t xml:space="preserve"> </w:t>
      </w:r>
      <w:r w:rsidRPr="001B53A8">
        <w:rPr>
          <w:lang w:val="sr-Latn-BA"/>
        </w:rPr>
        <w:t>kojim</w:t>
      </w:r>
      <w:r w:rsidR="00BF6D48" w:rsidRPr="001B53A8">
        <w:rPr>
          <w:lang w:val="sr-Latn-BA"/>
        </w:rPr>
        <w:t xml:space="preserve"> </w:t>
      </w:r>
      <w:r w:rsidRPr="001B53A8">
        <w:rPr>
          <w:lang w:val="sr-Latn-BA"/>
        </w:rPr>
        <w:t>Centralnom</w:t>
      </w:r>
      <w:r w:rsidR="00BF6D48" w:rsidRPr="001B53A8">
        <w:rPr>
          <w:lang w:val="sr-Latn-BA"/>
        </w:rPr>
        <w:t xml:space="preserve"> </w:t>
      </w:r>
      <w:r w:rsidRPr="001B53A8">
        <w:rPr>
          <w:lang w:val="sr-Latn-BA"/>
        </w:rPr>
        <w:t>registru</w:t>
      </w:r>
      <w:r w:rsidR="00BF6D48" w:rsidRPr="001B53A8">
        <w:rPr>
          <w:lang w:val="sr-Latn-BA"/>
        </w:rPr>
        <w:t xml:space="preserve"> </w:t>
      </w:r>
      <w:r w:rsidRPr="001B53A8">
        <w:rPr>
          <w:lang w:val="sr-Latn-BA"/>
        </w:rPr>
        <w:t>hartija</w:t>
      </w:r>
      <w:r w:rsidR="00BF6D48" w:rsidRPr="001B53A8">
        <w:rPr>
          <w:lang w:val="sr-Latn-BA"/>
        </w:rPr>
        <w:t xml:space="preserve"> </w:t>
      </w:r>
      <w:r w:rsidRPr="001B53A8">
        <w:rPr>
          <w:lang w:val="sr-Latn-BA"/>
        </w:rPr>
        <w:t>od</w:t>
      </w:r>
      <w:r w:rsidR="00BF6D48" w:rsidRPr="001B53A8">
        <w:rPr>
          <w:lang w:val="sr-Latn-BA"/>
        </w:rPr>
        <w:t xml:space="preserve"> </w:t>
      </w:r>
      <w:r w:rsidRPr="001B53A8">
        <w:rPr>
          <w:lang w:val="sr-Latn-BA"/>
        </w:rPr>
        <w:t>vrijednosti</w:t>
      </w:r>
      <w:r w:rsidR="00BF6D48" w:rsidRPr="001B53A8">
        <w:rPr>
          <w:lang w:val="sr-Latn-BA"/>
        </w:rPr>
        <w:t xml:space="preserve"> </w:t>
      </w:r>
      <w:r w:rsidRPr="001B53A8">
        <w:rPr>
          <w:lang w:val="sr-Latn-BA"/>
        </w:rPr>
        <w:t>data</w:t>
      </w:r>
      <w:r w:rsidR="00BF6D48" w:rsidRPr="001B53A8">
        <w:rPr>
          <w:lang w:val="sr-Latn-BA"/>
        </w:rPr>
        <w:t xml:space="preserve"> </w:t>
      </w:r>
      <w:r w:rsidRPr="001B53A8">
        <w:rPr>
          <w:lang w:val="sr-Latn-BA"/>
        </w:rPr>
        <w:t>saglasnost</w:t>
      </w:r>
      <w:r w:rsidR="00BF6D48" w:rsidRPr="001B53A8">
        <w:rPr>
          <w:lang w:val="sr-Latn-BA"/>
        </w:rPr>
        <w:t xml:space="preserve"> </w:t>
      </w:r>
      <w:r w:rsidRPr="001B53A8">
        <w:rPr>
          <w:lang w:val="sr-Latn-BA"/>
        </w:rPr>
        <w:t>na</w:t>
      </w:r>
      <w:r w:rsidR="00BF6D48" w:rsidRPr="001B53A8">
        <w:rPr>
          <w:lang w:val="sr-Latn-BA"/>
        </w:rPr>
        <w:t xml:space="preserve"> </w:t>
      </w:r>
      <w:r w:rsidRPr="001B53A8">
        <w:rPr>
          <w:lang w:val="sr-Latn-BA"/>
        </w:rPr>
        <w:t>izmjene</w:t>
      </w:r>
      <w:r w:rsidR="00BF6D48" w:rsidRPr="001B53A8">
        <w:rPr>
          <w:lang w:val="sr-Latn-BA"/>
        </w:rPr>
        <w:t xml:space="preserve"> </w:t>
      </w:r>
      <w:r w:rsidRPr="001B53A8">
        <w:rPr>
          <w:lang w:val="sr-Latn-BA"/>
        </w:rPr>
        <w:t>i</w:t>
      </w:r>
      <w:r w:rsidR="00BF6D48" w:rsidRPr="001B53A8">
        <w:rPr>
          <w:lang w:val="sr-Latn-BA"/>
        </w:rPr>
        <w:t xml:space="preserve"> </w:t>
      </w:r>
      <w:r w:rsidRPr="001B53A8">
        <w:rPr>
          <w:lang w:val="sr-Latn-BA"/>
        </w:rPr>
        <w:t>dopune</w:t>
      </w:r>
      <w:r w:rsidR="00BF6D48" w:rsidRPr="001B53A8">
        <w:rPr>
          <w:lang w:val="sr-Latn-BA"/>
        </w:rPr>
        <w:t xml:space="preserve"> </w:t>
      </w:r>
      <w:r w:rsidRPr="001B53A8">
        <w:rPr>
          <w:lang w:val="sr-Latn-BA"/>
        </w:rPr>
        <w:t>Pravila</w:t>
      </w:r>
      <w:r w:rsidR="00BF6D48" w:rsidRPr="001B53A8">
        <w:rPr>
          <w:lang w:val="sr-Latn-BA"/>
        </w:rPr>
        <w:t xml:space="preserve"> </w:t>
      </w:r>
      <w:r w:rsidRPr="001B53A8">
        <w:rPr>
          <w:lang w:val="sr-Latn-BA"/>
        </w:rPr>
        <w:t>depozitara</w:t>
      </w:r>
      <w:r w:rsidR="00BF6D48" w:rsidRPr="001B53A8">
        <w:rPr>
          <w:lang w:val="sr-Latn-BA"/>
        </w:rPr>
        <w:t xml:space="preserve"> </w:t>
      </w:r>
      <w:r w:rsidRPr="001B53A8">
        <w:rPr>
          <w:lang w:val="sr-Latn-BA"/>
        </w:rPr>
        <w:t>investicionih</w:t>
      </w:r>
      <w:r w:rsidR="00BF6D48" w:rsidRPr="001B53A8">
        <w:rPr>
          <w:lang w:val="sr-Latn-BA"/>
        </w:rPr>
        <w:t xml:space="preserve"> </w:t>
      </w:r>
      <w:r w:rsidRPr="001B53A8">
        <w:rPr>
          <w:lang w:val="sr-Latn-BA"/>
        </w:rPr>
        <w:t>fondova</w:t>
      </w:r>
      <w:r w:rsidR="00BF6D48" w:rsidRPr="001B53A8">
        <w:rPr>
          <w:lang w:val="sr-Latn-BA"/>
        </w:rPr>
        <w:t>.</w:t>
      </w:r>
    </w:p>
    <w:p w14:paraId="46B03D95" w14:textId="465A786B" w:rsidR="00BF6D48" w:rsidRPr="001B53A8" w:rsidRDefault="00003F34" w:rsidP="00BF6D48">
      <w:pPr>
        <w:spacing w:after="0" w:line="240" w:lineRule="auto"/>
        <w:ind w:firstLine="567"/>
        <w:rPr>
          <w:lang w:val="sr-Latn-BA"/>
        </w:rPr>
      </w:pPr>
      <w:r w:rsidRPr="001B53A8">
        <w:rPr>
          <w:lang w:val="sr-Latn-BA"/>
        </w:rPr>
        <w:t>Upućen</w:t>
      </w:r>
      <w:r w:rsidR="00BF6D48" w:rsidRPr="001B53A8">
        <w:rPr>
          <w:lang w:val="sr-Latn-BA"/>
        </w:rPr>
        <w:t xml:space="preserve"> </w:t>
      </w:r>
      <w:r w:rsidRPr="001B53A8">
        <w:rPr>
          <w:lang w:val="sr-Latn-BA"/>
        </w:rPr>
        <w:t>je</w:t>
      </w:r>
      <w:r w:rsidR="00BF6D48" w:rsidRPr="001B53A8">
        <w:rPr>
          <w:lang w:val="sr-Latn-BA"/>
        </w:rPr>
        <w:t xml:space="preserve"> </w:t>
      </w:r>
      <w:r w:rsidRPr="001B53A8">
        <w:rPr>
          <w:lang w:val="sr-Latn-BA"/>
        </w:rPr>
        <w:t>i</w:t>
      </w:r>
      <w:r w:rsidR="00BF6D48" w:rsidRPr="001B53A8">
        <w:rPr>
          <w:lang w:val="sr-Latn-BA"/>
        </w:rPr>
        <w:t xml:space="preserve"> </w:t>
      </w:r>
      <w:r w:rsidRPr="001B53A8">
        <w:rPr>
          <w:lang w:val="sr-Latn-BA"/>
        </w:rPr>
        <w:t>odgovor</w:t>
      </w:r>
      <w:r w:rsidR="00BF6D48" w:rsidRPr="001B53A8">
        <w:rPr>
          <w:lang w:val="sr-Latn-BA"/>
        </w:rPr>
        <w:t xml:space="preserve"> </w:t>
      </w:r>
      <w:r w:rsidRPr="001B53A8">
        <w:rPr>
          <w:lang w:val="sr-Latn-BA"/>
        </w:rPr>
        <w:t>na</w:t>
      </w:r>
      <w:r w:rsidR="00BF6D48" w:rsidRPr="001B53A8">
        <w:rPr>
          <w:lang w:val="sr-Latn-BA"/>
        </w:rPr>
        <w:t xml:space="preserve"> </w:t>
      </w:r>
      <w:r w:rsidRPr="001B53A8">
        <w:rPr>
          <w:lang w:val="sr-Latn-BA"/>
        </w:rPr>
        <w:t>upit</w:t>
      </w:r>
      <w:r w:rsidR="00BF6D48" w:rsidRPr="001B53A8">
        <w:rPr>
          <w:lang w:val="sr-Latn-BA"/>
        </w:rPr>
        <w:t xml:space="preserve"> </w:t>
      </w:r>
      <w:r w:rsidRPr="001B53A8">
        <w:rPr>
          <w:lang w:val="sr-Latn-BA"/>
        </w:rPr>
        <w:t>Centralnog</w:t>
      </w:r>
      <w:r w:rsidR="00BF6D48" w:rsidRPr="001B53A8">
        <w:rPr>
          <w:lang w:val="sr-Latn-BA"/>
        </w:rPr>
        <w:t xml:space="preserve"> </w:t>
      </w:r>
      <w:r w:rsidRPr="001B53A8">
        <w:rPr>
          <w:lang w:val="sr-Latn-BA"/>
        </w:rPr>
        <w:t>registra</w:t>
      </w:r>
      <w:r w:rsidR="00BF6D48" w:rsidRPr="001B53A8">
        <w:rPr>
          <w:lang w:val="sr-Latn-BA"/>
        </w:rPr>
        <w:t xml:space="preserve"> </w:t>
      </w:r>
      <w:r w:rsidRPr="001B53A8">
        <w:rPr>
          <w:lang w:val="sr-Latn-BA"/>
        </w:rPr>
        <w:t>hartija</w:t>
      </w:r>
      <w:r w:rsidR="00BF6D48" w:rsidRPr="001B53A8">
        <w:rPr>
          <w:lang w:val="sr-Latn-BA"/>
        </w:rPr>
        <w:t xml:space="preserve"> </w:t>
      </w:r>
      <w:r w:rsidRPr="001B53A8">
        <w:rPr>
          <w:lang w:val="sr-Latn-BA"/>
        </w:rPr>
        <w:t>od</w:t>
      </w:r>
      <w:r w:rsidR="00BF6D48" w:rsidRPr="001B53A8">
        <w:rPr>
          <w:lang w:val="sr-Latn-BA"/>
        </w:rPr>
        <w:t xml:space="preserve"> </w:t>
      </w:r>
      <w:r w:rsidRPr="001B53A8">
        <w:rPr>
          <w:lang w:val="sr-Latn-BA"/>
        </w:rPr>
        <w:t>vrijednosti</w:t>
      </w:r>
      <w:r w:rsidR="00BF6D48" w:rsidRPr="001B53A8">
        <w:rPr>
          <w:lang w:val="sr-Latn-BA"/>
        </w:rPr>
        <w:t xml:space="preserve"> </w:t>
      </w:r>
      <w:r w:rsidRPr="001B53A8">
        <w:rPr>
          <w:lang w:val="sr-Latn-BA"/>
        </w:rPr>
        <w:t>u</w:t>
      </w:r>
      <w:r w:rsidR="00BF6D48" w:rsidRPr="001B53A8">
        <w:rPr>
          <w:lang w:val="sr-Latn-BA"/>
        </w:rPr>
        <w:t xml:space="preserve"> </w:t>
      </w:r>
      <w:r w:rsidRPr="001B53A8">
        <w:rPr>
          <w:lang w:val="sr-Latn-BA"/>
        </w:rPr>
        <w:t>vezi</w:t>
      </w:r>
      <w:r w:rsidR="00BF6D48" w:rsidRPr="001B53A8">
        <w:rPr>
          <w:lang w:val="sr-Latn-BA"/>
        </w:rPr>
        <w:t xml:space="preserve"> </w:t>
      </w:r>
      <w:r w:rsidRPr="001B53A8">
        <w:rPr>
          <w:lang w:val="sr-Latn-BA"/>
        </w:rPr>
        <w:t>sa</w:t>
      </w:r>
      <w:r w:rsidR="00BF6D48" w:rsidRPr="001B53A8">
        <w:rPr>
          <w:lang w:val="sr-Latn-BA"/>
        </w:rPr>
        <w:t xml:space="preserve"> </w:t>
      </w:r>
      <w:r w:rsidRPr="001B53A8">
        <w:rPr>
          <w:lang w:val="sr-Latn-BA"/>
        </w:rPr>
        <w:t>prenosom</w:t>
      </w:r>
      <w:r w:rsidR="00BF6D48" w:rsidRPr="001B53A8">
        <w:rPr>
          <w:lang w:val="sr-Latn-BA"/>
        </w:rPr>
        <w:t xml:space="preserve"> </w:t>
      </w:r>
      <w:r w:rsidRPr="001B53A8">
        <w:rPr>
          <w:lang w:val="sr-Latn-BA"/>
        </w:rPr>
        <w:t>akcija</w:t>
      </w:r>
      <w:r w:rsidR="00BF6D48" w:rsidRPr="001B53A8">
        <w:rPr>
          <w:lang w:val="sr-Latn-BA"/>
        </w:rPr>
        <w:t xml:space="preserve"> </w:t>
      </w:r>
      <w:r w:rsidRPr="001B53A8">
        <w:rPr>
          <w:lang w:val="sr-Latn-BA"/>
        </w:rPr>
        <w:t>društava</w:t>
      </w:r>
      <w:r w:rsidR="00BF6D48" w:rsidRPr="001B53A8">
        <w:rPr>
          <w:lang w:val="sr-Latn-BA"/>
        </w:rPr>
        <w:t xml:space="preserve"> </w:t>
      </w:r>
      <w:r w:rsidRPr="001B53A8">
        <w:rPr>
          <w:lang w:val="sr-Latn-BA"/>
        </w:rPr>
        <w:t>za</w:t>
      </w:r>
      <w:r w:rsidR="00BF6D48" w:rsidRPr="001B53A8">
        <w:rPr>
          <w:lang w:val="sr-Latn-BA"/>
        </w:rPr>
        <w:t xml:space="preserve"> </w:t>
      </w:r>
      <w:r w:rsidRPr="001B53A8">
        <w:rPr>
          <w:lang w:val="sr-Latn-BA"/>
        </w:rPr>
        <w:t>upravlјanje</w:t>
      </w:r>
      <w:r w:rsidR="00BF6D48" w:rsidRPr="001B53A8">
        <w:rPr>
          <w:lang w:val="sr-Latn-BA"/>
        </w:rPr>
        <w:t xml:space="preserve"> </w:t>
      </w:r>
      <w:r w:rsidRPr="001B53A8">
        <w:rPr>
          <w:lang w:val="sr-Latn-BA"/>
        </w:rPr>
        <w:t>investicionim</w:t>
      </w:r>
      <w:r w:rsidR="00BF6D48" w:rsidRPr="001B53A8">
        <w:rPr>
          <w:lang w:val="sr-Latn-BA"/>
        </w:rPr>
        <w:t xml:space="preserve"> </w:t>
      </w:r>
      <w:r w:rsidRPr="001B53A8">
        <w:rPr>
          <w:lang w:val="sr-Latn-BA"/>
        </w:rPr>
        <w:t>fondovima</w:t>
      </w:r>
      <w:r w:rsidR="00BF6D48" w:rsidRPr="001B53A8">
        <w:rPr>
          <w:lang w:val="sr-Latn-BA"/>
        </w:rPr>
        <w:t>.</w:t>
      </w:r>
    </w:p>
    <w:p w14:paraId="4623D86C" w14:textId="6DA42D81" w:rsidR="00BF6D48" w:rsidRPr="001B53A8" w:rsidRDefault="00003F34" w:rsidP="00BF6D48">
      <w:pPr>
        <w:spacing w:after="0" w:line="240" w:lineRule="auto"/>
        <w:ind w:firstLine="567"/>
        <w:rPr>
          <w:lang w:val="sr-Latn-BA"/>
        </w:rPr>
      </w:pPr>
      <w:r w:rsidRPr="001B53A8">
        <w:rPr>
          <w:lang w:val="sr-Latn-BA"/>
        </w:rPr>
        <w:t>Pored</w:t>
      </w:r>
      <w:r w:rsidR="00BF6D48" w:rsidRPr="001B53A8">
        <w:rPr>
          <w:lang w:val="sr-Latn-BA"/>
        </w:rPr>
        <w:t xml:space="preserve"> </w:t>
      </w:r>
      <w:r w:rsidRPr="001B53A8">
        <w:rPr>
          <w:lang w:val="sr-Latn-BA"/>
        </w:rPr>
        <w:t>toga</w:t>
      </w:r>
      <w:r w:rsidR="00BF6D48" w:rsidRPr="001B53A8">
        <w:rPr>
          <w:lang w:val="sr-Latn-BA"/>
        </w:rPr>
        <w:t xml:space="preserve">, </w:t>
      </w:r>
      <w:r w:rsidRPr="001B53A8">
        <w:rPr>
          <w:lang w:val="sr-Latn-BA"/>
        </w:rPr>
        <w:t>donesena</w:t>
      </w:r>
      <w:r w:rsidR="00BF6D48" w:rsidRPr="001B53A8">
        <w:rPr>
          <w:lang w:val="sr-Latn-BA"/>
        </w:rPr>
        <w:t xml:space="preserve"> </w:t>
      </w:r>
      <w:r w:rsidRPr="001B53A8">
        <w:rPr>
          <w:lang w:val="sr-Latn-BA"/>
        </w:rPr>
        <w:t>su</w:t>
      </w:r>
      <w:r w:rsidR="00BF6D48" w:rsidRPr="001B53A8">
        <w:rPr>
          <w:lang w:val="sr-Latn-BA"/>
        </w:rPr>
        <w:t xml:space="preserve"> </w:t>
      </w:r>
      <w:r w:rsidRPr="001B53A8">
        <w:rPr>
          <w:lang w:val="sr-Latn-BA"/>
        </w:rPr>
        <w:t>dva</w:t>
      </w:r>
      <w:r w:rsidR="00BF6D48" w:rsidRPr="001B53A8">
        <w:rPr>
          <w:lang w:val="sr-Latn-BA"/>
        </w:rPr>
        <w:t xml:space="preserve"> </w:t>
      </w:r>
      <w:r w:rsidRPr="001B53A8">
        <w:rPr>
          <w:lang w:val="sr-Latn-BA"/>
        </w:rPr>
        <w:t>rješenja</w:t>
      </w:r>
      <w:r w:rsidR="00BF6D48" w:rsidRPr="001B53A8">
        <w:rPr>
          <w:lang w:val="sr-Latn-BA"/>
        </w:rPr>
        <w:t xml:space="preserve"> </w:t>
      </w:r>
      <w:r w:rsidRPr="001B53A8">
        <w:rPr>
          <w:lang w:val="sr-Latn-BA"/>
        </w:rPr>
        <w:t>kojima</w:t>
      </w:r>
      <w:r w:rsidR="00BF6D48" w:rsidRPr="001B53A8">
        <w:rPr>
          <w:lang w:val="sr-Latn-BA"/>
        </w:rPr>
        <w:t xml:space="preserve"> </w:t>
      </w:r>
      <w:r w:rsidRPr="001B53A8">
        <w:rPr>
          <w:lang w:val="sr-Latn-BA"/>
        </w:rPr>
        <w:t>se</w:t>
      </w:r>
      <w:r w:rsidR="00BF6D48" w:rsidRPr="001B53A8">
        <w:rPr>
          <w:lang w:val="sr-Latn-BA"/>
        </w:rPr>
        <w:t xml:space="preserve"> </w:t>
      </w:r>
      <w:r w:rsidRPr="001B53A8">
        <w:rPr>
          <w:lang w:val="sr-Latn-BA"/>
        </w:rPr>
        <w:t>nalaže</w:t>
      </w:r>
      <w:r w:rsidR="00BF6D48" w:rsidRPr="001B53A8">
        <w:rPr>
          <w:lang w:val="sr-Latn-BA"/>
        </w:rPr>
        <w:t xml:space="preserve"> </w:t>
      </w:r>
      <w:r w:rsidRPr="001B53A8">
        <w:rPr>
          <w:lang w:val="sr-Latn-BA"/>
        </w:rPr>
        <w:t>prodaja</w:t>
      </w:r>
      <w:r w:rsidR="00BF6D48" w:rsidRPr="001B53A8">
        <w:rPr>
          <w:lang w:val="sr-Latn-BA"/>
        </w:rPr>
        <w:t xml:space="preserve"> </w:t>
      </w:r>
      <w:r w:rsidRPr="001B53A8">
        <w:rPr>
          <w:lang w:val="sr-Latn-BA"/>
        </w:rPr>
        <w:t>akcija</w:t>
      </w:r>
      <w:r w:rsidR="00BF6D48" w:rsidRPr="001B53A8">
        <w:rPr>
          <w:lang w:val="sr-Latn-BA"/>
        </w:rPr>
        <w:t xml:space="preserve"> </w:t>
      </w:r>
      <w:r w:rsidRPr="001B53A8">
        <w:rPr>
          <w:lang w:val="sr-Latn-BA"/>
        </w:rPr>
        <w:t>Centralnog</w:t>
      </w:r>
      <w:r w:rsidR="00BF6D48" w:rsidRPr="001B53A8">
        <w:rPr>
          <w:lang w:val="sr-Latn-BA"/>
        </w:rPr>
        <w:t xml:space="preserve"> </w:t>
      </w:r>
      <w:r w:rsidRPr="001B53A8">
        <w:rPr>
          <w:lang w:val="sr-Latn-BA"/>
        </w:rPr>
        <w:t>registra</w:t>
      </w:r>
      <w:r w:rsidR="00BF6D48" w:rsidRPr="001B53A8">
        <w:rPr>
          <w:lang w:val="sr-Latn-BA"/>
        </w:rPr>
        <w:t xml:space="preserve"> </w:t>
      </w:r>
      <w:r w:rsidRPr="001B53A8">
        <w:rPr>
          <w:lang w:val="sr-Latn-BA"/>
        </w:rPr>
        <w:t>hartija</w:t>
      </w:r>
      <w:r w:rsidR="00BF6D48" w:rsidRPr="001B53A8">
        <w:rPr>
          <w:lang w:val="sr-Latn-BA"/>
        </w:rPr>
        <w:t xml:space="preserve"> </w:t>
      </w:r>
      <w:r w:rsidRPr="001B53A8">
        <w:rPr>
          <w:lang w:val="sr-Latn-BA"/>
        </w:rPr>
        <w:t>od</w:t>
      </w:r>
      <w:r w:rsidR="00BF6D48" w:rsidRPr="001B53A8">
        <w:rPr>
          <w:lang w:val="sr-Latn-BA"/>
        </w:rPr>
        <w:t xml:space="preserve"> </w:t>
      </w:r>
      <w:r w:rsidRPr="001B53A8">
        <w:rPr>
          <w:lang w:val="sr-Latn-BA"/>
        </w:rPr>
        <w:t>vrijednosti</w:t>
      </w:r>
      <w:r w:rsidR="00BF6D48" w:rsidRPr="001B53A8">
        <w:rPr>
          <w:lang w:val="sr-Latn-BA"/>
        </w:rPr>
        <w:t xml:space="preserve"> </w:t>
      </w:r>
      <w:r w:rsidRPr="001B53A8">
        <w:rPr>
          <w:lang w:val="sr-Latn-BA"/>
        </w:rPr>
        <w:t>i</w:t>
      </w:r>
      <w:r w:rsidR="00BF6D48" w:rsidRPr="001B53A8">
        <w:rPr>
          <w:lang w:val="sr-Latn-BA"/>
        </w:rPr>
        <w:t xml:space="preserve"> </w:t>
      </w:r>
      <w:r w:rsidRPr="001B53A8">
        <w:rPr>
          <w:lang w:val="sr-Latn-BA"/>
        </w:rPr>
        <w:t>jedno</w:t>
      </w:r>
      <w:r w:rsidR="00BF6D48" w:rsidRPr="001B53A8">
        <w:rPr>
          <w:lang w:val="sr-Latn-BA"/>
        </w:rPr>
        <w:t xml:space="preserve"> </w:t>
      </w:r>
      <w:r w:rsidRPr="001B53A8">
        <w:rPr>
          <w:lang w:val="sr-Latn-BA"/>
        </w:rPr>
        <w:t>rješenje</w:t>
      </w:r>
      <w:r w:rsidR="00BF6D48" w:rsidRPr="001B53A8">
        <w:rPr>
          <w:lang w:val="sr-Latn-BA"/>
        </w:rPr>
        <w:t xml:space="preserve"> </w:t>
      </w:r>
      <w:r w:rsidRPr="001B53A8">
        <w:rPr>
          <w:lang w:val="sr-Latn-BA"/>
        </w:rPr>
        <w:t>kojim</w:t>
      </w:r>
      <w:r w:rsidR="00BF6D48" w:rsidRPr="001B53A8">
        <w:rPr>
          <w:lang w:val="sr-Latn-BA"/>
        </w:rPr>
        <w:t xml:space="preserve"> </w:t>
      </w:r>
      <w:r w:rsidRPr="001B53A8">
        <w:rPr>
          <w:lang w:val="sr-Latn-BA"/>
        </w:rPr>
        <w:t>se</w:t>
      </w:r>
      <w:r w:rsidR="00BF6D48" w:rsidRPr="001B53A8">
        <w:rPr>
          <w:lang w:val="sr-Latn-BA"/>
        </w:rPr>
        <w:t xml:space="preserve"> </w:t>
      </w:r>
      <w:r w:rsidRPr="001B53A8">
        <w:rPr>
          <w:lang w:val="sr-Latn-BA"/>
        </w:rPr>
        <w:t>daje</w:t>
      </w:r>
      <w:r w:rsidR="00BF6D48" w:rsidRPr="001B53A8">
        <w:rPr>
          <w:lang w:val="sr-Latn-BA"/>
        </w:rPr>
        <w:t xml:space="preserve"> </w:t>
      </w:r>
      <w:r w:rsidRPr="001B53A8">
        <w:rPr>
          <w:lang w:val="sr-Latn-BA"/>
        </w:rPr>
        <w:t>saglasnost</w:t>
      </w:r>
      <w:r w:rsidR="00BF6D48" w:rsidRPr="001B53A8">
        <w:rPr>
          <w:lang w:val="sr-Latn-BA"/>
        </w:rPr>
        <w:t xml:space="preserve"> </w:t>
      </w:r>
      <w:r w:rsidRPr="001B53A8">
        <w:rPr>
          <w:lang w:val="sr-Latn-BA"/>
        </w:rPr>
        <w:t>za</w:t>
      </w:r>
      <w:r w:rsidR="00BF6D48" w:rsidRPr="001B53A8">
        <w:rPr>
          <w:lang w:val="sr-Latn-BA"/>
        </w:rPr>
        <w:t xml:space="preserve"> </w:t>
      </w:r>
      <w:r w:rsidRPr="001B53A8">
        <w:rPr>
          <w:lang w:val="sr-Latn-BA"/>
        </w:rPr>
        <w:t>sticanje</w:t>
      </w:r>
      <w:r w:rsidR="00BF6D48" w:rsidRPr="001B53A8">
        <w:rPr>
          <w:lang w:val="sr-Latn-BA"/>
        </w:rPr>
        <w:t xml:space="preserve"> </w:t>
      </w:r>
      <w:r w:rsidRPr="001B53A8">
        <w:rPr>
          <w:lang w:val="sr-Latn-BA"/>
        </w:rPr>
        <w:t>i</w:t>
      </w:r>
      <w:r w:rsidR="00BF6D48" w:rsidRPr="001B53A8">
        <w:rPr>
          <w:lang w:val="sr-Latn-BA"/>
        </w:rPr>
        <w:t xml:space="preserve"> </w:t>
      </w:r>
      <w:r w:rsidRPr="001B53A8">
        <w:rPr>
          <w:lang w:val="sr-Latn-BA"/>
        </w:rPr>
        <w:t>prenos</w:t>
      </w:r>
      <w:r w:rsidR="00BF6D48" w:rsidRPr="001B53A8">
        <w:rPr>
          <w:lang w:val="sr-Latn-BA"/>
        </w:rPr>
        <w:t xml:space="preserve"> </w:t>
      </w:r>
      <w:r w:rsidRPr="001B53A8">
        <w:rPr>
          <w:lang w:val="sr-Latn-BA"/>
        </w:rPr>
        <w:t>akcija</w:t>
      </w:r>
      <w:r w:rsidR="00BF6D48" w:rsidRPr="001B53A8">
        <w:rPr>
          <w:lang w:val="sr-Latn-BA"/>
        </w:rPr>
        <w:t xml:space="preserve"> </w:t>
      </w:r>
      <w:r w:rsidRPr="001B53A8">
        <w:rPr>
          <w:lang w:val="sr-Latn-BA"/>
        </w:rPr>
        <w:t>Centralnog</w:t>
      </w:r>
      <w:r w:rsidR="00BF6D48" w:rsidRPr="001B53A8">
        <w:rPr>
          <w:lang w:val="sr-Latn-BA"/>
        </w:rPr>
        <w:t xml:space="preserve"> </w:t>
      </w:r>
      <w:r w:rsidRPr="001B53A8">
        <w:rPr>
          <w:lang w:val="sr-Latn-BA"/>
        </w:rPr>
        <w:t>registra</w:t>
      </w:r>
    </w:p>
    <w:p w14:paraId="5BABCF26" w14:textId="7196A99C" w:rsidR="00C718E7" w:rsidRPr="001B53A8" w:rsidRDefault="00003F34" w:rsidP="000A0529">
      <w:pPr>
        <w:spacing w:line="240" w:lineRule="auto"/>
        <w:ind w:firstLine="567"/>
        <w:rPr>
          <w:lang w:val="sr-Latn-BA"/>
        </w:rPr>
      </w:pPr>
      <w:r w:rsidRPr="001B53A8">
        <w:rPr>
          <w:lang w:val="sr-Latn-BA"/>
        </w:rPr>
        <w:lastRenderedPageBreak/>
        <w:t>U</w:t>
      </w:r>
      <w:r w:rsidR="00C52DD7" w:rsidRPr="001B53A8">
        <w:rPr>
          <w:lang w:val="sr-Latn-BA"/>
        </w:rPr>
        <w:t xml:space="preserve"> </w:t>
      </w:r>
      <w:r w:rsidRPr="001B53A8">
        <w:rPr>
          <w:lang w:val="sr-Latn-BA"/>
        </w:rPr>
        <w:t>skladu</w:t>
      </w:r>
      <w:r w:rsidR="000255CC" w:rsidRPr="001B53A8">
        <w:rPr>
          <w:lang w:val="sr-Latn-BA"/>
        </w:rPr>
        <w:t xml:space="preserve"> </w:t>
      </w:r>
      <w:r w:rsidRPr="001B53A8">
        <w:rPr>
          <w:lang w:val="sr-Latn-BA"/>
        </w:rPr>
        <w:t>sa</w:t>
      </w:r>
      <w:r w:rsidR="000255CC" w:rsidRPr="001B53A8">
        <w:rPr>
          <w:lang w:val="sr-Latn-BA"/>
        </w:rPr>
        <w:t xml:space="preserve"> </w:t>
      </w:r>
      <w:r w:rsidRPr="001B53A8">
        <w:rPr>
          <w:lang w:val="sr-Latn-BA"/>
        </w:rPr>
        <w:t>članom</w:t>
      </w:r>
      <w:r w:rsidR="000255CC" w:rsidRPr="001B53A8">
        <w:rPr>
          <w:lang w:val="sr-Latn-BA"/>
        </w:rPr>
        <w:t xml:space="preserve"> 93. </w:t>
      </w:r>
      <w:r w:rsidRPr="001B53A8">
        <w:rPr>
          <w:lang w:val="sr-Latn-BA"/>
        </w:rPr>
        <w:t>Zakona</w:t>
      </w:r>
      <w:r w:rsidR="000255CC" w:rsidRPr="001B53A8">
        <w:rPr>
          <w:lang w:val="sr-Latn-BA"/>
        </w:rPr>
        <w:t xml:space="preserve"> </w:t>
      </w:r>
      <w:r w:rsidRPr="001B53A8">
        <w:rPr>
          <w:lang w:val="sr-Latn-BA"/>
        </w:rPr>
        <w:t>o</w:t>
      </w:r>
      <w:r w:rsidR="000255CC" w:rsidRPr="001B53A8">
        <w:rPr>
          <w:lang w:val="sr-Latn-BA"/>
        </w:rPr>
        <w:t xml:space="preserve"> </w:t>
      </w:r>
      <w:r w:rsidRPr="001B53A8">
        <w:rPr>
          <w:lang w:val="sr-Latn-BA"/>
        </w:rPr>
        <w:t>tržištu</w:t>
      </w:r>
      <w:r w:rsidR="000255CC" w:rsidRPr="001B53A8">
        <w:rPr>
          <w:lang w:val="sr-Latn-BA"/>
        </w:rPr>
        <w:t xml:space="preserve"> </w:t>
      </w:r>
      <w:r w:rsidRPr="001B53A8">
        <w:rPr>
          <w:lang w:val="sr-Latn-BA"/>
        </w:rPr>
        <w:t>hartija</w:t>
      </w:r>
      <w:r w:rsidR="000255CC" w:rsidRPr="001B53A8">
        <w:rPr>
          <w:lang w:val="sr-Latn-BA"/>
        </w:rPr>
        <w:t xml:space="preserve"> </w:t>
      </w:r>
      <w:r w:rsidRPr="001B53A8">
        <w:rPr>
          <w:lang w:val="sr-Latn-BA"/>
        </w:rPr>
        <w:t>od</w:t>
      </w:r>
      <w:r w:rsidR="000255CC" w:rsidRPr="001B53A8">
        <w:rPr>
          <w:lang w:val="sr-Latn-BA"/>
        </w:rPr>
        <w:t xml:space="preserve"> </w:t>
      </w:r>
      <w:r w:rsidRPr="001B53A8">
        <w:rPr>
          <w:lang w:val="sr-Latn-BA"/>
        </w:rPr>
        <w:t>vrijednosti</w:t>
      </w:r>
      <w:r w:rsidR="000255CC" w:rsidRPr="001B53A8">
        <w:rPr>
          <w:lang w:val="sr-Latn-BA"/>
        </w:rPr>
        <w:t xml:space="preserve">, </w:t>
      </w:r>
      <w:r w:rsidRPr="001B53A8">
        <w:rPr>
          <w:lang w:val="sr-Latn-BA"/>
        </w:rPr>
        <w:t>Komisija</w:t>
      </w:r>
      <w:r w:rsidR="00C52DD7" w:rsidRPr="001B53A8">
        <w:rPr>
          <w:lang w:val="sr-Latn-BA"/>
        </w:rPr>
        <w:t xml:space="preserve"> </w:t>
      </w:r>
      <w:r w:rsidRPr="001B53A8">
        <w:rPr>
          <w:lang w:val="sr-Latn-BA"/>
        </w:rPr>
        <w:t>izdaje</w:t>
      </w:r>
      <w:r w:rsidR="000255CC" w:rsidRPr="001B53A8">
        <w:rPr>
          <w:lang w:val="sr-Latn-BA"/>
        </w:rPr>
        <w:t xml:space="preserve"> </w:t>
      </w:r>
      <w:r w:rsidRPr="001B53A8">
        <w:rPr>
          <w:b/>
          <w:lang w:val="sr-Latn-BA"/>
        </w:rPr>
        <w:t>fizičkim</w:t>
      </w:r>
      <w:r w:rsidR="00C52DD7" w:rsidRPr="001B53A8">
        <w:rPr>
          <w:lang w:val="sr-Latn-BA"/>
        </w:rPr>
        <w:t xml:space="preserve"> </w:t>
      </w:r>
      <w:r w:rsidRPr="001B53A8">
        <w:rPr>
          <w:b/>
          <w:lang w:val="sr-Latn-BA"/>
        </w:rPr>
        <w:t>licima</w:t>
      </w:r>
      <w:r w:rsidR="00C52DD7" w:rsidRPr="001B53A8">
        <w:rPr>
          <w:lang w:val="sr-Latn-BA"/>
        </w:rPr>
        <w:t xml:space="preserve"> </w:t>
      </w:r>
      <w:r w:rsidRPr="001B53A8">
        <w:rPr>
          <w:lang w:val="sr-Latn-BA"/>
        </w:rPr>
        <w:t>dozvole</w:t>
      </w:r>
      <w:r w:rsidR="000255CC" w:rsidRPr="001B53A8">
        <w:rPr>
          <w:lang w:val="sr-Latn-BA"/>
        </w:rPr>
        <w:t xml:space="preserve"> </w:t>
      </w:r>
      <w:r w:rsidRPr="001B53A8">
        <w:rPr>
          <w:lang w:val="sr-Latn-BA"/>
        </w:rPr>
        <w:t>za</w:t>
      </w:r>
      <w:r w:rsidR="000255CC" w:rsidRPr="001B53A8">
        <w:rPr>
          <w:lang w:val="sr-Latn-BA"/>
        </w:rPr>
        <w:t xml:space="preserve"> </w:t>
      </w:r>
      <w:r w:rsidRPr="001B53A8">
        <w:rPr>
          <w:lang w:val="sr-Latn-BA"/>
        </w:rPr>
        <w:t>obavlјanje</w:t>
      </w:r>
      <w:r w:rsidR="000255CC" w:rsidRPr="001B53A8">
        <w:rPr>
          <w:lang w:val="sr-Latn-BA"/>
        </w:rPr>
        <w:t xml:space="preserve"> </w:t>
      </w:r>
      <w:r w:rsidRPr="001B53A8">
        <w:rPr>
          <w:lang w:val="sr-Latn-BA"/>
        </w:rPr>
        <w:t>poslova</w:t>
      </w:r>
      <w:r w:rsidR="000255CC" w:rsidRPr="001B53A8">
        <w:rPr>
          <w:lang w:val="sr-Latn-BA"/>
        </w:rPr>
        <w:t xml:space="preserve"> </w:t>
      </w:r>
      <w:r w:rsidRPr="001B53A8">
        <w:rPr>
          <w:lang w:val="sr-Latn-BA"/>
        </w:rPr>
        <w:t>sa</w:t>
      </w:r>
      <w:r w:rsidR="000255CC" w:rsidRPr="001B53A8">
        <w:rPr>
          <w:lang w:val="sr-Latn-BA"/>
        </w:rPr>
        <w:t xml:space="preserve"> </w:t>
      </w:r>
      <w:r w:rsidRPr="001B53A8">
        <w:rPr>
          <w:lang w:val="sr-Latn-BA"/>
        </w:rPr>
        <w:t>hartijama</w:t>
      </w:r>
      <w:r w:rsidR="000255CC" w:rsidRPr="001B53A8">
        <w:rPr>
          <w:lang w:val="sr-Latn-BA"/>
        </w:rPr>
        <w:t xml:space="preserve"> </w:t>
      </w:r>
      <w:r w:rsidRPr="001B53A8">
        <w:rPr>
          <w:lang w:val="sr-Latn-BA"/>
        </w:rPr>
        <w:t>od</w:t>
      </w:r>
      <w:r w:rsidR="000255CC" w:rsidRPr="001B53A8">
        <w:rPr>
          <w:lang w:val="sr-Latn-BA"/>
        </w:rPr>
        <w:t xml:space="preserve"> </w:t>
      </w:r>
      <w:r w:rsidRPr="001B53A8">
        <w:rPr>
          <w:rFonts w:eastAsia="Times New Roman"/>
          <w:lang w:val="sr-Latn-BA" w:eastAsia="sr-Latn-CS"/>
        </w:rPr>
        <w:t>vrijednosti</w:t>
      </w:r>
      <w:r w:rsidR="000255CC" w:rsidRPr="001B53A8">
        <w:rPr>
          <w:lang w:val="sr-Latn-BA"/>
        </w:rPr>
        <w:t xml:space="preserve"> </w:t>
      </w:r>
      <w:r w:rsidRPr="001B53A8">
        <w:rPr>
          <w:lang w:val="sr-Latn-BA"/>
        </w:rPr>
        <w:t>u</w:t>
      </w:r>
      <w:r w:rsidR="000255CC" w:rsidRPr="001B53A8">
        <w:rPr>
          <w:lang w:val="sr-Latn-BA"/>
        </w:rPr>
        <w:t xml:space="preserve"> </w:t>
      </w:r>
      <w:r w:rsidRPr="001B53A8">
        <w:rPr>
          <w:lang w:val="sr-Latn-BA"/>
        </w:rPr>
        <w:t>zvanju</w:t>
      </w:r>
      <w:r w:rsidR="000255CC" w:rsidRPr="001B53A8">
        <w:rPr>
          <w:lang w:val="sr-Latn-BA"/>
        </w:rPr>
        <w:t xml:space="preserve"> </w:t>
      </w:r>
      <w:r w:rsidRPr="001B53A8">
        <w:rPr>
          <w:lang w:val="sr-Latn-BA"/>
        </w:rPr>
        <w:t>brokera</w:t>
      </w:r>
      <w:r w:rsidR="000255CC" w:rsidRPr="001B53A8">
        <w:rPr>
          <w:lang w:val="sr-Latn-BA"/>
        </w:rPr>
        <w:t xml:space="preserve">, </w:t>
      </w:r>
      <w:r w:rsidRPr="001B53A8">
        <w:rPr>
          <w:lang w:val="sr-Latn-BA"/>
        </w:rPr>
        <w:t>investicionog</w:t>
      </w:r>
      <w:r w:rsidR="000255CC" w:rsidRPr="001B53A8">
        <w:rPr>
          <w:lang w:val="sr-Latn-BA"/>
        </w:rPr>
        <w:t xml:space="preserve"> </w:t>
      </w:r>
      <w:r w:rsidRPr="001B53A8">
        <w:rPr>
          <w:lang w:val="sr-Latn-BA"/>
        </w:rPr>
        <w:t>savjetnika</w:t>
      </w:r>
      <w:r w:rsidR="000255CC" w:rsidRPr="001B53A8">
        <w:rPr>
          <w:lang w:val="sr-Latn-BA"/>
        </w:rPr>
        <w:t xml:space="preserve"> </w:t>
      </w:r>
      <w:r w:rsidRPr="001B53A8">
        <w:rPr>
          <w:lang w:val="sr-Latn-BA"/>
        </w:rPr>
        <w:t>i</w:t>
      </w:r>
      <w:r w:rsidR="000255CC" w:rsidRPr="001B53A8">
        <w:rPr>
          <w:lang w:val="sr-Latn-BA"/>
        </w:rPr>
        <w:t xml:space="preserve"> </w:t>
      </w:r>
      <w:r w:rsidRPr="001B53A8">
        <w:rPr>
          <w:lang w:val="sr-Latn-BA"/>
        </w:rPr>
        <w:t>investicionog</w:t>
      </w:r>
      <w:r w:rsidR="000255CC" w:rsidRPr="001B53A8">
        <w:rPr>
          <w:lang w:val="sr-Latn-BA"/>
        </w:rPr>
        <w:t xml:space="preserve"> </w:t>
      </w:r>
      <w:r w:rsidRPr="001B53A8">
        <w:rPr>
          <w:lang w:val="sr-Latn-BA"/>
        </w:rPr>
        <w:t>menadžera</w:t>
      </w:r>
      <w:r w:rsidR="000255CC" w:rsidRPr="001B53A8">
        <w:rPr>
          <w:lang w:val="sr-Latn-BA"/>
        </w:rPr>
        <w:t>.</w:t>
      </w:r>
      <w:r w:rsidR="00C52DD7" w:rsidRPr="001B53A8">
        <w:rPr>
          <w:lang w:val="sr-Latn-BA"/>
        </w:rPr>
        <w:t xml:space="preserve"> </w:t>
      </w:r>
      <w:r w:rsidRPr="001B53A8">
        <w:rPr>
          <w:lang w:val="sr-Latn-BA"/>
        </w:rPr>
        <w:t>Pored</w:t>
      </w:r>
      <w:r w:rsidR="000255CC" w:rsidRPr="001B53A8">
        <w:rPr>
          <w:lang w:val="sr-Latn-BA"/>
        </w:rPr>
        <w:t xml:space="preserve"> </w:t>
      </w:r>
      <w:r w:rsidRPr="001B53A8">
        <w:rPr>
          <w:lang w:val="sr-Latn-BA"/>
        </w:rPr>
        <w:t>odredaba</w:t>
      </w:r>
      <w:r w:rsidR="000255CC" w:rsidRPr="001B53A8">
        <w:rPr>
          <w:lang w:val="sr-Latn-BA"/>
        </w:rPr>
        <w:t xml:space="preserve"> </w:t>
      </w:r>
      <w:r w:rsidRPr="001B53A8">
        <w:rPr>
          <w:lang w:val="sr-Latn-BA"/>
        </w:rPr>
        <w:t>Zakona</w:t>
      </w:r>
      <w:r w:rsidR="000255CC" w:rsidRPr="001B53A8">
        <w:rPr>
          <w:lang w:val="sr-Latn-BA"/>
        </w:rPr>
        <w:t xml:space="preserve"> </w:t>
      </w:r>
      <w:r w:rsidRPr="001B53A8">
        <w:rPr>
          <w:lang w:val="sr-Latn-BA"/>
        </w:rPr>
        <w:t>o</w:t>
      </w:r>
      <w:r w:rsidR="000255CC" w:rsidRPr="001B53A8">
        <w:rPr>
          <w:lang w:val="sr-Latn-BA"/>
        </w:rPr>
        <w:t xml:space="preserve"> </w:t>
      </w:r>
      <w:r w:rsidRPr="001B53A8">
        <w:rPr>
          <w:lang w:val="sr-Latn-BA"/>
        </w:rPr>
        <w:t>tržištu</w:t>
      </w:r>
      <w:r w:rsidR="000255CC" w:rsidRPr="001B53A8">
        <w:rPr>
          <w:lang w:val="sr-Latn-BA"/>
        </w:rPr>
        <w:t xml:space="preserve">, </w:t>
      </w:r>
      <w:r w:rsidRPr="001B53A8">
        <w:rPr>
          <w:lang w:val="sr-Latn-BA"/>
        </w:rPr>
        <w:t>u</w:t>
      </w:r>
      <w:r w:rsidR="000255CC" w:rsidRPr="001B53A8">
        <w:rPr>
          <w:lang w:val="sr-Latn-BA"/>
        </w:rPr>
        <w:t xml:space="preserve"> </w:t>
      </w:r>
      <w:r w:rsidRPr="001B53A8">
        <w:rPr>
          <w:lang w:val="sr-Latn-BA"/>
        </w:rPr>
        <w:t>ovim</w:t>
      </w:r>
      <w:r w:rsidR="000255CC" w:rsidRPr="001B53A8">
        <w:rPr>
          <w:lang w:val="sr-Latn-BA"/>
        </w:rPr>
        <w:t xml:space="preserve"> </w:t>
      </w:r>
      <w:r w:rsidRPr="001B53A8">
        <w:rPr>
          <w:lang w:val="sr-Latn-BA"/>
        </w:rPr>
        <w:t>postupcima</w:t>
      </w:r>
      <w:r w:rsidR="000255CC" w:rsidRPr="001B53A8">
        <w:rPr>
          <w:lang w:val="sr-Latn-BA"/>
        </w:rPr>
        <w:t xml:space="preserve">, </w:t>
      </w:r>
      <w:r w:rsidRPr="001B53A8">
        <w:rPr>
          <w:lang w:val="sr-Latn-BA"/>
        </w:rPr>
        <w:t>Komisija</w:t>
      </w:r>
      <w:r w:rsidR="000255CC" w:rsidRPr="001B53A8">
        <w:rPr>
          <w:lang w:val="sr-Latn-BA"/>
        </w:rPr>
        <w:t xml:space="preserve"> </w:t>
      </w:r>
      <w:r w:rsidRPr="001B53A8">
        <w:rPr>
          <w:lang w:val="sr-Latn-BA"/>
        </w:rPr>
        <w:t>postupa</w:t>
      </w:r>
      <w:r w:rsidR="000255CC" w:rsidRPr="001B53A8">
        <w:rPr>
          <w:lang w:val="sr-Latn-BA"/>
        </w:rPr>
        <w:t xml:space="preserve"> </w:t>
      </w:r>
      <w:r w:rsidRPr="001B53A8">
        <w:rPr>
          <w:lang w:val="sr-Latn-BA"/>
        </w:rPr>
        <w:t>i</w:t>
      </w:r>
      <w:r w:rsidR="000255CC" w:rsidRPr="001B53A8">
        <w:rPr>
          <w:lang w:val="sr-Latn-BA"/>
        </w:rPr>
        <w:t xml:space="preserve"> </w:t>
      </w:r>
      <w:r w:rsidRPr="001B53A8">
        <w:rPr>
          <w:lang w:val="sr-Latn-BA"/>
        </w:rPr>
        <w:t>u</w:t>
      </w:r>
      <w:r w:rsidR="000255CC" w:rsidRPr="001B53A8">
        <w:rPr>
          <w:lang w:val="sr-Latn-BA"/>
        </w:rPr>
        <w:t xml:space="preserve"> </w:t>
      </w:r>
      <w:r w:rsidRPr="001B53A8">
        <w:rPr>
          <w:lang w:val="sr-Latn-BA"/>
        </w:rPr>
        <w:t>skladu</w:t>
      </w:r>
      <w:r w:rsidR="000255CC" w:rsidRPr="001B53A8">
        <w:rPr>
          <w:lang w:val="sr-Latn-BA"/>
        </w:rPr>
        <w:t xml:space="preserve"> </w:t>
      </w:r>
      <w:r w:rsidRPr="001B53A8">
        <w:rPr>
          <w:lang w:val="sr-Latn-BA"/>
        </w:rPr>
        <w:t>sa</w:t>
      </w:r>
      <w:r w:rsidR="000255CC" w:rsidRPr="001B53A8">
        <w:rPr>
          <w:lang w:val="sr-Latn-BA"/>
        </w:rPr>
        <w:t xml:space="preserve"> </w:t>
      </w:r>
      <w:r w:rsidRPr="001B53A8">
        <w:rPr>
          <w:lang w:val="sr-Latn-BA"/>
        </w:rPr>
        <w:t>Pravilnikom</w:t>
      </w:r>
      <w:r w:rsidR="000255CC" w:rsidRPr="001B53A8">
        <w:rPr>
          <w:lang w:val="sr-Latn-BA"/>
        </w:rPr>
        <w:t xml:space="preserve"> </w:t>
      </w:r>
      <w:r w:rsidRPr="001B53A8">
        <w:rPr>
          <w:lang w:val="sr-Latn-BA"/>
        </w:rPr>
        <w:t>o</w:t>
      </w:r>
      <w:r w:rsidR="000255CC" w:rsidRPr="001B53A8">
        <w:rPr>
          <w:lang w:val="sr-Latn-BA"/>
        </w:rPr>
        <w:t xml:space="preserve"> </w:t>
      </w:r>
      <w:r w:rsidRPr="001B53A8">
        <w:rPr>
          <w:lang w:val="sr-Latn-BA"/>
        </w:rPr>
        <w:t>uslovima</w:t>
      </w:r>
      <w:r w:rsidR="000255CC" w:rsidRPr="001B53A8">
        <w:rPr>
          <w:lang w:val="sr-Latn-BA"/>
        </w:rPr>
        <w:t xml:space="preserve"> </w:t>
      </w:r>
      <w:r w:rsidRPr="001B53A8">
        <w:rPr>
          <w:lang w:val="sr-Latn-BA"/>
        </w:rPr>
        <w:t>i</w:t>
      </w:r>
      <w:r w:rsidR="000255CC" w:rsidRPr="001B53A8">
        <w:rPr>
          <w:lang w:val="sr-Latn-BA"/>
        </w:rPr>
        <w:t xml:space="preserve"> </w:t>
      </w:r>
      <w:r w:rsidRPr="001B53A8">
        <w:rPr>
          <w:lang w:val="sr-Latn-BA"/>
        </w:rPr>
        <w:t>postupku</w:t>
      </w:r>
      <w:r w:rsidR="000255CC" w:rsidRPr="001B53A8">
        <w:rPr>
          <w:lang w:val="sr-Latn-BA"/>
        </w:rPr>
        <w:t xml:space="preserve"> </w:t>
      </w:r>
      <w:r w:rsidRPr="001B53A8">
        <w:rPr>
          <w:lang w:val="sr-Latn-BA"/>
        </w:rPr>
        <w:t>sticanja</w:t>
      </w:r>
      <w:r w:rsidR="000255CC" w:rsidRPr="001B53A8">
        <w:rPr>
          <w:lang w:val="sr-Latn-BA"/>
        </w:rPr>
        <w:t xml:space="preserve"> </w:t>
      </w:r>
      <w:r w:rsidRPr="001B53A8">
        <w:rPr>
          <w:lang w:val="sr-Latn-BA"/>
        </w:rPr>
        <w:t>zvanja</w:t>
      </w:r>
      <w:r w:rsidR="000255CC" w:rsidRPr="001B53A8">
        <w:rPr>
          <w:lang w:val="sr-Latn-BA"/>
        </w:rPr>
        <w:t xml:space="preserve"> </w:t>
      </w:r>
      <w:r w:rsidRPr="001B53A8">
        <w:rPr>
          <w:lang w:val="sr-Latn-BA"/>
        </w:rPr>
        <w:t>i</w:t>
      </w:r>
      <w:r w:rsidR="000255CC" w:rsidRPr="001B53A8">
        <w:rPr>
          <w:lang w:val="sr-Latn-BA"/>
        </w:rPr>
        <w:t xml:space="preserve"> </w:t>
      </w:r>
      <w:r w:rsidRPr="001B53A8">
        <w:rPr>
          <w:lang w:val="sr-Latn-BA"/>
        </w:rPr>
        <w:t>dobijanja</w:t>
      </w:r>
      <w:r w:rsidR="000255CC" w:rsidRPr="001B53A8">
        <w:rPr>
          <w:lang w:val="sr-Latn-BA"/>
        </w:rPr>
        <w:t xml:space="preserve"> </w:t>
      </w:r>
      <w:r w:rsidRPr="001B53A8">
        <w:rPr>
          <w:lang w:val="sr-Latn-BA"/>
        </w:rPr>
        <w:t>dozvole</w:t>
      </w:r>
      <w:r w:rsidR="000255CC" w:rsidRPr="001B53A8">
        <w:rPr>
          <w:lang w:val="sr-Latn-BA"/>
        </w:rPr>
        <w:t xml:space="preserve"> </w:t>
      </w:r>
      <w:r w:rsidRPr="001B53A8">
        <w:rPr>
          <w:lang w:val="sr-Latn-BA"/>
        </w:rPr>
        <w:t>za</w:t>
      </w:r>
      <w:r w:rsidR="000255CC" w:rsidRPr="001B53A8">
        <w:rPr>
          <w:lang w:val="sr-Latn-BA"/>
        </w:rPr>
        <w:t xml:space="preserve"> </w:t>
      </w:r>
      <w:r w:rsidRPr="001B53A8">
        <w:rPr>
          <w:lang w:val="sr-Latn-BA"/>
        </w:rPr>
        <w:t>obavlјanje</w:t>
      </w:r>
      <w:r w:rsidR="000255CC" w:rsidRPr="001B53A8">
        <w:rPr>
          <w:lang w:val="sr-Latn-BA"/>
        </w:rPr>
        <w:t xml:space="preserve"> </w:t>
      </w:r>
      <w:r w:rsidRPr="001B53A8">
        <w:rPr>
          <w:lang w:val="sr-Latn-BA"/>
        </w:rPr>
        <w:t>poslova</w:t>
      </w:r>
      <w:r w:rsidR="000255CC" w:rsidRPr="001B53A8">
        <w:rPr>
          <w:lang w:val="sr-Latn-BA"/>
        </w:rPr>
        <w:t xml:space="preserve"> </w:t>
      </w:r>
      <w:r w:rsidRPr="001B53A8">
        <w:rPr>
          <w:lang w:val="sr-Latn-BA"/>
        </w:rPr>
        <w:t>brokera</w:t>
      </w:r>
      <w:r w:rsidR="000255CC" w:rsidRPr="001B53A8">
        <w:rPr>
          <w:lang w:val="sr-Latn-BA"/>
        </w:rPr>
        <w:t xml:space="preserve">, </w:t>
      </w:r>
      <w:r w:rsidRPr="001B53A8">
        <w:rPr>
          <w:lang w:val="sr-Latn-BA"/>
        </w:rPr>
        <w:t>investicionog</w:t>
      </w:r>
      <w:r w:rsidR="000255CC" w:rsidRPr="001B53A8">
        <w:rPr>
          <w:lang w:val="sr-Latn-BA"/>
        </w:rPr>
        <w:t xml:space="preserve"> </w:t>
      </w:r>
      <w:r w:rsidRPr="001B53A8">
        <w:rPr>
          <w:lang w:val="sr-Latn-BA"/>
        </w:rPr>
        <w:t>savjetnika</w:t>
      </w:r>
      <w:r w:rsidR="0056392F" w:rsidRPr="001B53A8">
        <w:rPr>
          <w:lang w:val="sr-Latn-BA"/>
        </w:rPr>
        <w:t xml:space="preserve"> </w:t>
      </w:r>
      <w:r w:rsidRPr="001B53A8">
        <w:rPr>
          <w:lang w:val="sr-Latn-BA"/>
        </w:rPr>
        <w:t>i</w:t>
      </w:r>
      <w:r w:rsidR="0056392F" w:rsidRPr="001B53A8">
        <w:rPr>
          <w:lang w:val="sr-Latn-BA"/>
        </w:rPr>
        <w:t xml:space="preserve"> </w:t>
      </w:r>
      <w:r w:rsidRPr="001B53A8">
        <w:rPr>
          <w:lang w:val="sr-Latn-BA"/>
        </w:rPr>
        <w:t>investicionog</w:t>
      </w:r>
      <w:r w:rsidR="0056392F" w:rsidRPr="001B53A8">
        <w:rPr>
          <w:lang w:val="sr-Latn-BA"/>
        </w:rPr>
        <w:t xml:space="preserve"> </w:t>
      </w:r>
      <w:r w:rsidRPr="001B53A8">
        <w:rPr>
          <w:lang w:val="sr-Latn-BA"/>
        </w:rPr>
        <w:t>menadžera</w:t>
      </w:r>
      <w:r w:rsidR="0056392F" w:rsidRPr="001B53A8">
        <w:rPr>
          <w:rStyle w:val="FootnoteReference"/>
          <w:lang w:val="sr-Latn-BA"/>
        </w:rPr>
        <w:footnoteReference w:id="13"/>
      </w:r>
      <w:r w:rsidR="00ED6BDC" w:rsidRPr="001B53A8">
        <w:rPr>
          <w:lang w:val="sr-Latn-BA"/>
        </w:rPr>
        <w:t>.</w:t>
      </w:r>
    </w:p>
    <w:tbl>
      <w:tblPr>
        <w:tblStyle w:val="LightGrid-Accent11"/>
        <w:tblW w:w="0" w:type="auto"/>
        <w:jc w:val="center"/>
        <w:tblLook w:val="04E0" w:firstRow="1" w:lastRow="1" w:firstColumn="1" w:lastColumn="0" w:noHBand="0" w:noVBand="1"/>
      </w:tblPr>
      <w:tblGrid>
        <w:gridCol w:w="2649"/>
        <w:gridCol w:w="2377"/>
        <w:gridCol w:w="2559"/>
      </w:tblGrid>
      <w:tr w:rsidR="008D04D1" w:rsidRPr="001B53A8" w14:paraId="3073B6B5" w14:textId="77777777" w:rsidTr="00DB7B1C">
        <w:trPr>
          <w:cnfStyle w:val="100000000000" w:firstRow="1" w:lastRow="0" w:firstColumn="0" w:lastColumn="0" w:oddVBand="0" w:evenVBand="0" w:oddHBand="0"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2649" w:type="dxa"/>
            <w:vAlign w:val="center"/>
          </w:tcPr>
          <w:p w14:paraId="442C1DAE" w14:textId="5C214977" w:rsidR="008D04D1" w:rsidRPr="001B53A8" w:rsidRDefault="00003F34" w:rsidP="006B6E0C">
            <w:pPr>
              <w:pStyle w:val="ListParagraph"/>
              <w:spacing w:after="0" w:line="240" w:lineRule="auto"/>
              <w:ind w:left="0" w:firstLine="0"/>
              <w:contextualSpacing w:val="0"/>
              <w:jc w:val="left"/>
              <w:rPr>
                <w:rFonts w:ascii="Times New Roman" w:hAnsi="Times New Roman"/>
                <w:sz w:val="22"/>
                <w:lang w:val="sr-Latn-BA"/>
              </w:rPr>
            </w:pPr>
            <w:r w:rsidRPr="001B53A8">
              <w:rPr>
                <w:rFonts w:ascii="Times New Roman" w:hAnsi="Times New Roman"/>
                <w:sz w:val="22"/>
                <w:lang w:val="sr-Latn-BA"/>
              </w:rPr>
              <w:t>Zvanje</w:t>
            </w:r>
          </w:p>
        </w:tc>
        <w:tc>
          <w:tcPr>
            <w:tcW w:w="2377" w:type="dxa"/>
            <w:vAlign w:val="center"/>
          </w:tcPr>
          <w:p w14:paraId="6B7B7F44" w14:textId="7C32AAE4" w:rsidR="008D04D1" w:rsidRPr="001B53A8" w:rsidRDefault="00003F34" w:rsidP="006B6E0C">
            <w:pPr>
              <w:pStyle w:val="ListParagraph"/>
              <w:spacing w:after="0" w:line="240" w:lineRule="auto"/>
              <w:ind w:left="0" w:firstLine="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2"/>
                <w:lang w:val="sr-Latn-BA"/>
              </w:rPr>
            </w:pPr>
            <w:r w:rsidRPr="001B53A8">
              <w:rPr>
                <w:rFonts w:ascii="Times New Roman" w:hAnsi="Times New Roman"/>
                <w:sz w:val="22"/>
                <w:lang w:val="sr-Latn-BA"/>
              </w:rPr>
              <w:t>Broj</w:t>
            </w:r>
            <w:r w:rsidR="008D04D1" w:rsidRPr="001B53A8">
              <w:rPr>
                <w:rFonts w:ascii="Times New Roman" w:hAnsi="Times New Roman"/>
                <w:sz w:val="22"/>
                <w:lang w:val="sr-Latn-BA"/>
              </w:rPr>
              <w:t xml:space="preserve"> </w:t>
            </w:r>
            <w:r w:rsidRPr="001B53A8">
              <w:rPr>
                <w:rFonts w:ascii="Times New Roman" w:hAnsi="Times New Roman"/>
                <w:sz w:val="22"/>
                <w:lang w:val="sr-Latn-BA"/>
              </w:rPr>
              <w:t>lica</w:t>
            </w:r>
            <w:r w:rsidR="008D04D1" w:rsidRPr="001B53A8">
              <w:rPr>
                <w:rFonts w:ascii="Times New Roman" w:hAnsi="Times New Roman"/>
                <w:sz w:val="22"/>
                <w:lang w:val="sr-Latn-BA"/>
              </w:rPr>
              <w:t xml:space="preserve"> </w:t>
            </w:r>
            <w:r w:rsidRPr="001B53A8">
              <w:rPr>
                <w:rFonts w:ascii="Times New Roman" w:hAnsi="Times New Roman"/>
                <w:sz w:val="22"/>
                <w:lang w:val="sr-Latn-BA"/>
              </w:rPr>
              <w:t>sa</w:t>
            </w:r>
            <w:r w:rsidR="008D04D1" w:rsidRPr="001B53A8">
              <w:rPr>
                <w:rFonts w:ascii="Times New Roman" w:hAnsi="Times New Roman"/>
                <w:sz w:val="22"/>
                <w:lang w:val="sr-Latn-BA"/>
              </w:rPr>
              <w:t xml:space="preserve"> </w:t>
            </w:r>
            <w:r w:rsidRPr="001B53A8">
              <w:rPr>
                <w:rFonts w:ascii="Times New Roman" w:hAnsi="Times New Roman"/>
                <w:sz w:val="22"/>
                <w:lang w:val="sr-Latn-BA"/>
              </w:rPr>
              <w:t>zvanjem</w:t>
            </w:r>
          </w:p>
        </w:tc>
        <w:tc>
          <w:tcPr>
            <w:tcW w:w="2559" w:type="dxa"/>
            <w:vAlign w:val="center"/>
          </w:tcPr>
          <w:p w14:paraId="7BCE327C" w14:textId="3E09F000" w:rsidR="008D04D1" w:rsidRPr="001B53A8" w:rsidRDefault="00003F34" w:rsidP="006B6E0C">
            <w:pPr>
              <w:pStyle w:val="ListParagraph"/>
              <w:spacing w:after="0" w:line="240" w:lineRule="auto"/>
              <w:ind w:left="0" w:firstLine="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2"/>
                <w:lang w:val="sr-Latn-BA"/>
              </w:rPr>
            </w:pPr>
            <w:r w:rsidRPr="001B53A8">
              <w:rPr>
                <w:rFonts w:ascii="Times New Roman" w:hAnsi="Times New Roman"/>
                <w:sz w:val="22"/>
                <w:lang w:val="sr-Latn-BA"/>
              </w:rPr>
              <w:t>Broj</w:t>
            </w:r>
            <w:r w:rsidR="008D04D1" w:rsidRPr="001B53A8">
              <w:rPr>
                <w:rFonts w:ascii="Times New Roman" w:hAnsi="Times New Roman"/>
                <w:sz w:val="22"/>
                <w:lang w:val="sr-Latn-BA"/>
              </w:rPr>
              <w:t xml:space="preserve"> </w:t>
            </w:r>
            <w:r w:rsidRPr="001B53A8">
              <w:rPr>
                <w:rFonts w:ascii="Times New Roman" w:hAnsi="Times New Roman"/>
                <w:sz w:val="22"/>
                <w:lang w:val="sr-Latn-BA"/>
              </w:rPr>
              <w:t>lica</w:t>
            </w:r>
            <w:r w:rsidR="008D04D1" w:rsidRPr="001B53A8">
              <w:rPr>
                <w:rFonts w:ascii="Times New Roman" w:hAnsi="Times New Roman"/>
                <w:sz w:val="22"/>
                <w:lang w:val="sr-Latn-BA"/>
              </w:rPr>
              <w:t xml:space="preserve"> </w:t>
            </w:r>
            <w:r w:rsidRPr="001B53A8">
              <w:rPr>
                <w:rFonts w:ascii="Times New Roman" w:hAnsi="Times New Roman"/>
                <w:sz w:val="22"/>
                <w:lang w:val="sr-Latn-BA"/>
              </w:rPr>
              <w:t>sa</w:t>
            </w:r>
            <w:r w:rsidR="008D04D1" w:rsidRPr="001B53A8">
              <w:rPr>
                <w:rFonts w:ascii="Times New Roman" w:hAnsi="Times New Roman"/>
                <w:sz w:val="22"/>
                <w:lang w:val="sr-Latn-BA"/>
              </w:rPr>
              <w:t xml:space="preserve"> </w:t>
            </w:r>
            <w:r w:rsidRPr="001B53A8">
              <w:rPr>
                <w:rFonts w:ascii="Times New Roman" w:hAnsi="Times New Roman"/>
                <w:sz w:val="22"/>
                <w:lang w:val="sr-Latn-BA"/>
              </w:rPr>
              <w:t>dozvolom</w:t>
            </w:r>
          </w:p>
        </w:tc>
      </w:tr>
      <w:tr w:rsidR="00BF6D48" w:rsidRPr="001B53A8" w14:paraId="58729A15" w14:textId="77777777" w:rsidTr="005E1D59">
        <w:trPr>
          <w:cnfStyle w:val="000000100000" w:firstRow="0" w:lastRow="0" w:firstColumn="0" w:lastColumn="0" w:oddVBand="0" w:evenVBand="0" w:oddHBand="1" w:evenHBand="0" w:firstRowFirstColumn="0" w:firstRowLastColumn="0" w:lastRowFirstColumn="0" w:lastRowLastColumn="0"/>
          <w:trHeight w:val="64"/>
          <w:jc w:val="center"/>
        </w:trPr>
        <w:tc>
          <w:tcPr>
            <w:cnfStyle w:val="001000000000" w:firstRow="0" w:lastRow="0" w:firstColumn="1" w:lastColumn="0" w:oddVBand="0" w:evenVBand="0" w:oddHBand="0" w:evenHBand="0" w:firstRowFirstColumn="0" w:firstRowLastColumn="0" w:lastRowFirstColumn="0" w:lastRowLastColumn="0"/>
            <w:tcW w:w="2649" w:type="dxa"/>
          </w:tcPr>
          <w:p w14:paraId="62351ABD" w14:textId="715F020B" w:rsidR="00BF6D48" w:rsidRPr="001B53A8" w:rsidRDefault="00003F34" w:rsidP="00BF6D48">
            <w:pPr>
              <w:pStyle w:val="ListParagraph"/>
              <w:spacing w:after="0" w:line="240" w:lineRule="auto"/>
              <w:ind w:left="0" w:firstLine="0"/>
              <w:contextualSpacing w:val="0"/>
              <w:rPr>
                <w:rFonts w:ascii="Times New Roman" w:hAnsi="Times New Roman"/>
                <w:b w:val="0"/>
                <w:sz w:val="22"/>
                <w:lang w:val="sr-Latn-BA"/>
              </w:rPr>
            </w:pPr>
            <w:r w:rsidRPr="001B53A8">
              <w:rPr>
                <w:rFonts w:ascii="Times New Roman" w:hAnsi="Times New Roman"/>
                <w:b w:val="0"/>
                <w:sz w:val="22"/>
                <w:lang w:val="sr-Latn-BA"/>
              </w:rPr>
              <w:t>Investicioni</w:t>
            </w:r>
            <w:r w:rsidR="00BF6D48" w:rsidRPr="001B53A8">
              <w:rPr>
                <w:rFonts w:ascii="Times New Roman" w:hAnsi="Times New Roman"/>
                <w:b w:val="0"/>
                <w:sz w:val="22"/>
                <w:lang w:val="sr-Latn-BA"/>
              </w:rPr>
              <w:t xml:space="preserve"> </w:t>
            </w:r>
            <w:r w:rsidRPr="001B53A8">
              <w:rPr>
                <w:rFonts w:ascii="Times New Roman" w:hAnsi="Times New Roman"/>
                <w:b w:val="0"/>
                <w:sz w:val="22"/>
                <w:lang w:val="sr-Latn-BA"/>
              </w:rPr>
              <w:t>menadžer</w:t>
            </w:r>
          </w:p>
        </w:tc>
        <w:tc>
          <w:tcPr>
            <w:tcW w:w="2377" w:type="dxa"/>
            <w:vAlign w:val="center"/>
          </w:tcPr>
          <w:p w14:paraId="2A4FAE76" w14:textId="6D24F8D0" w:rsidR="00BF6D48" w:rsidRPr="001B53A8" w:rsidRDefault="00BF6D48" w:rsidP="00BF6D48">
            <w:pPr>
              <w:tabs>
                <w:tab w:val="decimal" w:pos="1353"/>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sr-Latn-BA" w:eastAsia="en-GB"/>
              </w:rPr>
            </w:pPr>
            <w:r w:rsidRPr="001B53A8">
              <w:rPr>
                <w:rFonts w:ascii="Times New Roman" w:hAnsi="Times New Roman" w:cs="Times New Roman"/>
                <w:sz w:val="20"/>
                <w:szCs w:val="20"/>
                <w:lang w:val="sr-Latn-BA"/>
              </w:rPr>
              <w:t>232</w:t>
            </w:r>
          </w:p>
        </w:tc>
        <w:tc>
          <w:tcPr>
            <w:tcW w:w="2559" w:type="dxa"/>
            <w:vAlign w:val="center"/>
          </w:tcPr>
          <w:p w14:paraId="4DE4AAA0" w14:textId="0A412FC9" w:rsidR="00BF6D48" w:rsidRPr="001B53A8" w:rsidRDefault="00BF6D48" w:rsidP="00BF6D48">
            <w:pPr>
              <w:tabs>
                <w:tab w:val="decimal" w:pos="1353"/>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sr-Latn-BA" w:eastAsia="en-GB"/>
              </w:rPr>
            </w:pPr>
            <w:r w:rsidRPr="001B53A8">
              <w:rPr>
                <w:rFonts w:ascii="Times New Roman" w:hAnsi="Times New Roman" w:cs="Times New Roman"/>
                <w:sz w:val="20"/>
                <w:szCs w:val="20"/>
                <w:lang w:val="sr-Latn-BA"/>
              </w:rPr>
              <w:t>17</w:t>
            </w:r>
          </w:p>
        </w:tc>
      </w:tr>
      <w:tr w:rsidR="00BF6D48" w:rsidRPr="001B53A8" w14:paraId="3F2563A5" w14:textId="77777777" w:rsidTr="00DB7B1C">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49" w:type="dxa"/>
          </w:tcPr>
          <w:p w14:paraId="3F8E0F4A" w14:textId="648935B4" w:rsidR="00BF6D48" w:rsidRPr="001B53A8" w:rsidRDefault="00003F34" w:rsidP="00BF6D48">
            <w:pPr>
              <w:pStyle w:val="ListParagraph"/>
              <w:spacing w:after="0" w:line="240" w:lineRule="auto"/>
              <w:ind w:left="0" w:firstLine="0"/>
              <w:contextualSpacing w:val="0"/>
              <w:rPr>
                <w:rFonts w:ascii="Times New Roman" w:hAnsi="Times New Roman"/>
                <w:b w:val="0"/>
                <w:sz w:val="22"/>
                <w:lang w:val="sr-Latn-BA"/>
              </w:rPr>
            </w:pPr>
            <w:r w:rsidRPr="001B53A8">
              <w:rPr>
                <w:rFonts w:ascii="Times New Roman" w:hAnsi="Times New Roman"/>
                <w:b w:val="0"/>
                <w:sz w:val="22"/>
                <w:lang w:val="sr-Latn-BA"/>
              </w:rPr>
              <w:t>Broker</w:t>
            </w:r>
          </w:p>
        </w:tc>
        <w:tc>
          <w:tcPr>
            <w:tcW w:w="2377" w:type="dxa"/>
            <w:vAlign w:val="center"/>
          </w:tcPr>
          <w:p w14:paraId="47ED66CB" w14:textId="143399DF" w:rsidR="00BF6D48" w:rsidRPr="001B53A8" w:rsidRDefault="00BF6D48" w:rsidP="00BF6D48">
            <w:pPr>
              <w:tabs>
                <w:tab w:val="decimal" w:pos="1353"/>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0"/>
                <w:szCs w:val="20"/>
                <w:lang w:val="sr-Latn-BA" w:eastAsia="en-GB"/>
              </w:rPr>
            </w:pPr>
            <w:r w:rsidRPr="001B53A8">
              <w:rPr>
                <w:rFonts w:ascii="Times New Roman" w:hAnsi="Times New Roman" w:cs="Times New Roman"/>
                <w:sz w:val="20"/>
                <w:szCs w:val="20"/>
                <w:lang w:val="sr-Latn-BA"/>
              </w:rPr>
              <w:t>195</w:t>
            </w:r>
          </w:p>
        </w:tc>
        <w:tc>
          <w:tcPr>
            <w:tcW w:w="2559" w:type="dxa"/>
            <w:vAlign w:val="center"/>
          </w:tcPr>
          <w:p w14:paraId="798D5C93" w14:textId="6E5110A5" w:rsidR="00BF6D48" w:rsidRPr="001B53A8" w:rsidRDefault="00BF6D48" w:rsidP="00BF6D48">
            <w:pPr>
              <w:tabs>
                <w:tab w:val="decimal" w:pos="1353"/>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0"/>
                <w:szCs w:val="20"/>
                <w:lang w:val="sr-Latn-BA" w:eastAsia="en-GB"/>
              </w:rPr>
            </w:pPr>
            <w:r w:rsidRPr="001B53A8">
              <w:rPr>
                <w:rFonts w:ascii="Times New Roman" w:hAnsi="Times New Roman" w:cs="Times New Roman"/>
                <w:sz w:val="20"/>
                <w:szCs w:val="20"/>
                <w:lang w:val="sr-Latn-BA"/>
              </w:rPr>
              <w:t>11</w:t>
            </w:r>
          </w:p>
        </w:tc>
      </w:tr>
      <w:tr w:rsidR="00BF6D48" w:rsidRPr="001B53A8" w14:paraId="0B107C0E" w14:textId="77777777" w:rsidTr="00E2729B">
        <w:trPr>
          <w:cnfStyle w:val="000000100000" w:firstRow="0" w:lastRow="0" w:firstColumn="0" w:lastColumn="0" w:oddVBand="0" w:evenVBand="0" w:oddHBand="1" w:evenHBand="0" w:firstRowFirstColumn="0" w:firstRowLastColumn="0" w:lastRowFirstColumn="0" w:lastRowLastColumn="0"/>
          <w:trHeight w:val="178"/>
          <w:jc w:val="center"/>
        </w:trPr>
        <w:tc>
          <w:tcPr>
            <w:cnfStyle w:val="001000000000" w:firstRow="0" w:lastRow="0" w:firstColumn="1" w:lastColumn="0" w:oddVBand="0" w:evenVBand="0" w:oddHBand="0" w:evenHBand="0" w:firstRowFirstColumn="0" w:firstRowLastColumn="0" w:lastRowFirstColumn="0" w:lastRowLastColumn="0"/>
            <w:tcW w:w="2649" w:type="dxa"/>
          </w:tcPr>
          <w:p w14:paraId="186C8EAE" w14:textId="4214B696" w:rsidR="00BF6D48" w:rsidRPr="001B53A8" w:rsidRDefault="00003F34" w:rsidP="00BF6D48">
            <w:pPr>
              <w:pStyle w:val="ListParagraph"/>
              <w:spacing w:after="0" w:line="240" w:lineRule="auto"/>
              <w:ind w:left="0" w:firstLine="0"/>
              <w:contextualSpacing w:val="0"/>
              <w:rPr>
                <w:rFonts w:ascii="Times New Roman" w:hAnsi="Times New Roman"/>
                <w:b w:val="0"/>
                <w:sz w:val="22"/>
                <w:lang w:val="sr-Latn-BA"/>
              </w:rPr>
            </w:pPr>
            <w:r w:rsidRPr="001B53A8">
              <w:rPr>
                <w:rFonts w:ascii="Times New Roman" w:hAnsi="Times New Roman"/>
                <w:b w:val="0"/>
                <w:sz w:val="22"/>
                <w:lang w:val="sr-Latn-BA"/>
              </w:rPr>
              <w:t>Investicioni</w:t>
            </w:r>
            <w:r w:rsidR="00BF6D48" w:rsidRPr="001B53A8">
              <w:rPr>
                <w:rFonts w:ascii="Times New Roman" w:hAnsi="Times New Roman"/>
                <w:b w:val="0"/>
                <w:sz w:val="22"/>
                <w:lang w:val="sr-Latn-BA"/>
              </w:rPr>
              <w:t xml:space="preserve"> </w:t>
            </w:r>
            <w:r w:rsidRPr="001B53A8">
              <w:rPr>
                <w:rFonts w:ascii="Times New Roman" w:hAnsi="Times New Roman"/>
                <w:b w:val="0"/>
                <w:sz w:val="22"/>
                <w:lang w:val="sr-Latn-BA"/>
              </w:rPr>
              <w:t>savjetnik</w:t>
            </w:r>
          </w:p>
        </w:tc>
        <w:tc>
          <w:tcPr>
            <w:tcW w:w="2377" w:type="dxa"/>
            <w:vAlign w:val="center"/>
          </w:tcPr>
          <w:p w14:paraId="17AA659B" w14:textId="743AE8D4" w:rsidR="00BF6D48" w:rsidRPr="001B53A8" w:rsidRDefault="00BF6D48" w:rsidP="00BF6D48">
            <w:pPr>
              <w:tabs>
                <w:tab w:val="decimal" w:pos="1353"/>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sr-Latn-BA" w:eastAsia="en-GB"/>
              </w:rPr>
            </w:pPr>
            <w:r w:rsidRPr="001B53A8">
              <w:rPr>
                <w:rFonts w:ascii="Times New Roman" w:hAnsi="Times New Roman" w:cs="Times New Roman"/>
                <w:sz w:val="20"/>
                <w:szCs w:val="20"/>
                <w:lang w:val="sr-Latn-BA"/>
              </w:rPr>
              <w:t>9</w:t>
            </w:r>
          </w:p>
        </w:tc>
        <w:tc>
          <w:tcPr>
            <w:tcW w:w="2559" w:type="dxa"/>
            <w:vAlign w:val="center"/>
          </w:tcPr>
          <w:p w14:paraId="7F08AE37" w14:textId="75BD5EEB" w:rsidR="00BF6D48" w:rsidRPr="001B53A8" w:rsidRDefault="00BF6D48" w:rsidP="00BF6D48">
            <w:pPr>
              <w:tabs>
                <w:tab w:val="decimal" w:pos="1353"/>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sr-Latn-BA" w:eastAsia="en-GB"/>
              </w:rPr>
            </w:pPr>
            <w:r w:rsidRPr="001B53A8">
              <w:rPr>
                <w:rFonts w:ascii="Times New Roman" w:hAnsi="Times New Roman" w:cs="Times New Roman"/>
                <w:sz w:val="20"/>
                <w:szCs w:val="20"/>
                <w:lang w:val="sr-Latn-BA"/>
              </w:rPr>
              <w:t>3</w:t>
            </w:r>
          </w:p>
        </w:tc>
      </w:tr>
      <w:tr w:rsidR="00A72AB0" w:rsidRPr="001B53A8" w14:paraId="04DA67D2" w14:textId="77777777" w:rsidTr="00DB7B1C">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49" w:type="dxa"/>
          </w:tcPr>
          <w:p w14:paraId="1273D32C" w14:textId="4802C322" w:rsidR="00A72AB0" w:rsidRPr="001B53A8" w:rsidRDefault="00003F34" w:rsidP="006B6E0C">
            <w:pPr>
              <w:pStyle w:val="ListParagraph"/>
              <w:spacing w:after="0" w:line="240" w:lineRule="auto"/>
              <w:ind w:left="0" w:firstLine="0"/>
              <w:contextualSpacing w:val="0"/>
              <w:rPr>
                <w:rFonts w:ascii="Times New Roman" w:hAnsi="Times New Roman"/>
                <w:sz w:val="22"/>
                <w:lang w:val="sr-Latn-BA"/>
              </w:rPr>
            </w:pPr>
            <w:r w:rsidRPr="001B53A8">
              <w:rPr>
                <w:rFonts w:ascii="Times New Roman" w:hAnsi="Times New Roman"/>
                <w:sz w:val="22"/>
                <w:lang w:val="sr-Latn-BA"/>
              </w:rPr>
              <w:t>Ukupno</w:t>
            </w:r>
          </w:p>
        </w:tc>
        <w:tc>
          <w:tcPr>
            <w:tcW w:w="2377" w:type="dxa"/>
          </w:tcPr>
          <w:p w14:paraId="0078E74D" w14:textId="01496E47" w:rsidR="00A72AB0" w:rsidRPr="001B53A8" w:rsidRDefault="00D3478F" w:rsidP="006B6E0C">
            <w:pPr>
              <w:tabs>
                <w:tab w:val="decimal" w:pos="1320"/>
              </w:tabs>
              <w:spacing w:after="0" w:line="240" w:lineRule="auto"/>
              <w:ind w:firstLine="0"/>
              <w:jc w:val="left"/>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en-GB"/>
              </w:rPr>
            </w:pPr>
            <w:r w:rsidRPr="001B53A8">
              <w:rPr>
                <w:rFonts w:eastAsia="Times New Roman"/>
                <w:sz w:val="20"/>
                <w:szCs w:val="20"/>
                <w:lang w:val="sr-Latn-BA" w:eastAsia="en-GB"/>
              </w:rPr>
              <w:fldChar w:fldCharType="begin"/>
            </w:r>
            <w:r w:rsidR="00A72AB0" w:rsidRPr="001B53A8">
              <w:rPr>
                <w:rFonts w:ascii="Times New Roman" w:eastAsia="Times New Roman" w:hAnsi="Times New Roman" w:cs="Times New Roman"/>
                <w:sz w:val="20"/>
                <w:szCs w:val="20"/>
                <w:lang w:val="sr-Latn-BA" w:eastAsia="en-GB"/>
              </w:rPr>
              <w:instrText xml:space="preserve"> =SUM(ABOVE) </w:instrText>
            </w:r>
            <w:r w:rsidRPr="001B53A8">
              <w:rPr>
                <w:rFonts w:eastAsia="Times New Roman"/>
                <w:sz w:val="20"/>
                <w:szCs w:val="20"/>
                <w:lang w:val="sr-Latn-BA" w:eastAsia="en-GB"/>
              </w:rPr>
              <w:fldChar w:fldCharType="separate"/>
            </w:r>
            <w:r w:rsidR="002C66E2" w:rsidRPr="001B53A8">
              <w:rPr>
                <w:rFonts w:ascii="Times New Roman" w:eastAsia="Times New Roman" w:hAnsi="Times New Roman" w:cs="Times New Roman"/>
                <w:noProof/>
                <w:sz w:val="20"/>
                <w:szCs w:val="20"/>
                <w:lang w:val="sr-Latn-BA" w:eastAsia="en-GB"/>
              </w:rPr>
              <w:t>436</w:t>
            </w:r>
            <w:r w:rsidRPr="001B53A8">
              <w:rPr>
                <w:rFonts w:eastAsia="Times New Roman"/>
                <w:sz w:val="20"/>
                <w:szCs w:val="20"/>
                <w:lang w:val="sr-Latn-BA" w:eastAsia="en-GB"/>
              </w:rPr>
              <w:fldChar w:fldCharType="end"/>
            </w:r>
          </w:p>
        </w:tc>
        <w:tc>
          <w:tcPr>
            <w:tcW w:w="2559" w:type="dxa"/>
            <w:vAlign w:val="center"/>
          </w:tcPr>
          <w:p w14:paraId="394E1DCF" w14:textId="3683E8C8" w:rsidR="00A72AB0" w:rsidRPr="001B53A8" w:rsidRDefault="00DB7B1C" w:rsidP="006B6E0C">
            <w:pPr>
              <w:tabs>
                <w:tab w:val="decimal" w:pos="1353"/>
              </w:tabs>
              <w:spacing w:after="0" w:line="240" w:lineRule="auto"/>
              <w:ind w:firstLine="0"/>
              <w:jc w:val="left"/>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en-GB"/>
              </w:rPr>
            </w:pPr>
            <w:r w:rsidRPr="001B53A8">
              <w:rPr>
                <w:rFonts w:eastAsia="Times New Roman"/>
                <w:sz w:val="20"/>
                <w:szCs w:val="20"/>
                <w:lang w:val="sr-Latn-BA" w:eastAsia="en-GB"/>
              </w:rPr>
              <w:fldChar w:fldCharType="begin"/>
            </w:r>
            <w:r w:rsidRPr="001B53A8">
              <w:rPr>
                <w:rFonts w:ascii="Times New Roman" w:eastAsia="Times New Roman" w:hAnsi="Times New Roman" w:cs="Times New Roman"/>
                <w:sz w:val="20"/>
                <w:szCs w:val="20"/>
                <w:lang w:val="sr-Latn-BA" w:eastAsia="en-GB"/>
              </w:rPr>
              <w:instrText xml:space="preserve"> =SUM(ABOVE) </w:instrText>
            </w:r>
            <w:r w:rsidRPr="001B53A8">
              <w:rPr>
                <w:rFonts w:eastAsia="Times New Roman"/>
                <w:sz w:val="20"/>
                <w:szCs w:val="20"/>
                <w:lang w:val="sr-Latn-BA" w:eastAsia="en-GB"/>
              </w:rPr>
              <w:fldChar w:fldCharType="separate"/>
            </w:r>
            <w:r w:rsidR="002C66E2" w:rsidRPr="001B53A8">
              <w:rPr>
                <w:rFonts w:ascii="Times New Roman" w:eastAsia="Times New Roman" w:hAnsi="Times New Roman" w:cs="Times New Roman"/>
                <w:noProof/>
                <w:sz w:val="20"/>
                <w:szCs w:val="20"/>
                <w:lang w:val="sr-Latn-BA" w:eastAsia="en-GB"/>
              </w:rPr>
              <w:t>31</w:t>
            </w:r>
            <w:r w:rsidRPr="001B53A8">
              <w:rPr>
                <w:rFonts w:eastAsia="Times New Roman"/>
                <w:sz w:val="20"/>
                <w:szCs w:val="20"/>
                <w:lang w:val="sr-Latn-BA" w:eastAsia="en-GB"/>
              </w:rPr>
              <w:fldChar w:fldCharType="end"/>
            </w:r>
          </w:p>
        </w:tc>
      </w:tr>
    </w:tbl>
    <w:p w14:paraId="49CD8528" w14:textId="2DD103FD" w:rsidR="008D04D1" w:rsidRPr="001B53A8" w:rsidRDefault="00003F34" w:rsidP="00C37211">
      <w:pPr>
        <w:pStyle w:val="ListParagraph"/>
        <w:tabs>
          <w:tab w:val="left" w:pos="1276"/>
        </w:tabs>
        <w:spacing w:after="0" w:line="240" w:lineRule="auto"/>
        <w:ind w:left="1276" w:hanging="1276"/>
        <w:contextualSpacing w:val="0"/>
        <w:rPr>
          <w:lang w:val="sr-Latn-BA"/>
        </w:rPr>
      </w:pPr>
      <w:r w:rsidRPr="001B53A8">
        <w:rPr>
          <w:b/>
          <w:lang w:val="sr-Latn-BA"/>
        </w:rPr>
        <w:t>Tabela</w:t>
      </w:r>
      <w:r w:rsidR="008D04D1" w:rsidRPr="001B53A8">
        <w:rPr>
          <w:b/>
          <w:lang w:val="sr-Latn-BA"/>
        </w:rPr>
        <w:t xml:space="preserve"> </w:t>
      </w:r>
      <w:r w:rsidR="00D3478F" w:rsidRPr="001B53A8">
        <w:rPr>
          <w:b/>
          <w:lang w:val="sr-Latn-BA"/>
        </w:rPr>
        <w:fldChar w:fldCharType="begin"/>
      </w:r>
      <w:r w:rsidR="008D04D1" w:rsidRPr="001B53A8">
        <w:rPr>
          <w:b/>
          <w:lang w:val="sr-Latn-BA"/>
        </w:rPr>
        <w:instrText xml:space="preserve"> SEQ Табела \* ARABIC </w:instrText>
      </w:r>
      <w:r w:rsidR="00D3478F" w:rsidRPr="001B53A8">
        <w:rPr>
          <w:b/>
          <w:lang w:val="sr-Latn-BA"/>
        </w:rPr>
        <w:fldChar w:fldCharType="separate"/>
      </w:r>
      <w:r w:rsidR="00E00890" w:rsidRPr="001B53A8">
        <w:rPr>
          <w:b/>
          <w:noProof/>
          <w:lang w:val="sr-Latn-BA"/>
        </w:rPr>
        <w:t>11</w:t>
      </w:r>
      <w:r w:rsidR="00D3478F" w:rsidRPr="001B53A8">
        <w:rPr>
          <w:b/>
          <w:lang w:val="sr-Latn-BA"/>
        </w:rPr>
        <w:fldChar w:fldCharType="end"/>
      </w:r>
      <w:r w:rsidR="008D04D1" w:rsidRPr="001B53A8">
        <w:rPr>
          <w:b/>
          <w:lang w:val="sr-Latn-BA"/>
        </w:rPr>
        <w:t>.</w:t>
      </w:r>
      <w:r w:rsidR="008D04D1" w:rsidRPr="001B53A8">
        <w:rPr>
          <w:b/>
          <w:lang w:val="sr-Latn-BA"/>
        </w:rPr>
        <w:tab/>
      </w:r>
      <w:r w:rsidRPr="001B53A8">
        <w:rPr>
          <w:lang w:val="sr-Latn-BA"/>
        </w:rPr>
        <w:t>Broj</w:t>
      </w:r>
      <w:r w:rsidR="008D04D1" w:rsidRPr="001B53A8">
        <w:rPr>
          <w:lang w:val="sr-Latn-BA"/>
        </w:rPr>
        <w:t xml:space="preserve"> </w:t>
      </w:r>
      <w:r w:rsidRPr="001B53A8">
        <w:rPr>
          <w:lang w:val="sr-Latn-BA"/>
        </w:rPr>
        <w:t>lica</w:t>
      </w:r>
      <w:r w:rsidR="008D04D1" w:rsidRPr="001B53A8">
        <w:rPr>
          <w:lang w:val="sr-Latn-BA"/>
        </w:rPr>
        <w:t xml:space="preserve"> </w:t>
      </w:r>
      <w:r w:rsidRPr="001B53A8">
        <w:rPr>
          <w:lang w:val="sr-Latn-BA"/>
        </w:rPr>
        <w:t>sa</w:t>
      </w:r>
      <w:r w:rsidR="008D04D1" w:rsidRPr="001B53A8">
        <w:rPr>
          <w:lang w:val="sr-Latn-BA"/>
        </w:rPr>
        <w:t xml:space="preserve"> </w:t>
      </w:r>
      <w:r w:rsidRPr="001B53A8">
        <w:rPr>
          <w:lang w:val="sr-Latn-BA"/>
        </w:rPr>
        <w:t>odgovarajućim</w:t>
      </w:r>
      <w:r w:rsidR="008D04D1" w:rsidRPr="001B53A8">
        <w:rPr>
          <w:lang w:val="sr-Latn-BA"/>
        </w:rPr>
        <w:t xml:space="preserve"> </w:t>
      </w:r>
      <w:r w:rsidRPr="001B53A8">
        <w:rPr>
          <w:lang w:val="sr-Latn-BA"/>
        </w:rPr>
        <w:t>profesionalnim</w:t>
      </w:r>
      <w:r w:rsidR="008D04D1" w:rsidRPr="001B53A8">
        <w:rPr>
          <w:lang w:val="sr-Latn-BA"/>
        </w:rPr>
        <w:t xml:space="preserve"> </w:t>
      </w:r>
      <w:r w:rsidRPr="001B53A8">
        <w:rPr>
          <w:lang w:val="sr-Latn-BA"/>
        </w:rPr>
        <w:t>zvanjem</w:t>
      </w:r>
      <w:r w:rsidR="008D04D1" w:rsidRPr="001B53A8">
        <w:rPr>
          <w:lang w:val="sr-Latn-BA"/>
        </w:rPr>
        <w:t xml:space="preserve"> </w:t>
      </w:r>
      <w:r w:rsidRPr="001B53A8">
        <w:rPr>
          <w:lang w:val="sr-Latn-BA"/>
        </w:rPr>
        <w:t>i</w:t>
      </w:r>
      <w:r w:rsidR="008D04D1" w:rsidRPr="001B53A8">
        <w:rPr>
          <w:lang w:val="sr-Latn-BA"/>
        </w:rPr>
        <w:t xml:space="preserve"> </w:t>
      </w:r>
      <w:r w:rsidRPr="001B53A8">
        <w:rPr>
          <w:lang w:val="sr-Latn-BA"/>
        </w:rPr>
        <w:t>sa</w:t>
      </w:r>
      <w:r w:rsidR="008D04D1" w:rsidRPr="001B53A8">
        <w:rPr>
          <w:lang w:val="sr-Latn-BA"/>
        </w:rPr>
        <w:t xml:space="preserve"> </w:t>
      </w:r>
      <w:r w:rsidRPr="001B53A8">
        <w:rPr>
          <w:lang w:val="sr-Latn-BA"/>
        </w:rPr>
        <w:t>dozvolom</w:t>
      </w:r>
      <w:r w:rsidR="008D04D1" w:rsidRPr="001B53A8">
        <w:rPr>
          <w:lang w:val="sr-Latn-BA"/>
        </w:rPr>
        <w:t xml:space="preserve"> </w:t>
      </w:r>
      <w:r w:rsidRPr="001B53A8">
        <w:rPr>
          <w:lang w:val="sr-Latn-BA"/>
        </w:rPr>
        <w:t>za</w:t>
      </w:r>
      <w:r w:rsidR="008D04D1" w:rsidRPr="001B53A8">
        <w:rPr>
          <w:lang w:val="sr-Latn-BA"/>
        </w:rPr>
        <w:t xml:space="preserve"> </w:t>
      </w:r>
      <w:r w:rsidRPr="001B53A8">
        <w:rPr>
          <w:lang w:val="sr-Latn-BA"/>
        </w:rPr>
        <w:t>obavlјanje</w:t>
      </w:r>
      <w:r w:rsidR="008D04D1" w:rsidRPr="001B53A8">
        <w:rPr>
          <w:lang w:val="sr-Latn-BA"/>
        </w:rPr>
        <w:t xml:space="preserve"> </w:t>
      </w:r>
      <w:r w:rsidRPr="001B53A8">
        <w:rPr>
          <w:lang w:val="sr-Latn-BA"/>
        </w:rPr>
        <w:t>poslovanja</w:t>
      </w:r>
      <w:r w:rsidR="008D04D1" w:rsidRPr="001B53A8">
        <w:rPr>
          <w:lang w:val="sr-Latn-BA"/>
        </w:rPr>
        <w:t xml:space="preserve"> </w:t>
      </w:r>
      <w:r w:rsidRPr="001B53A8">
        <w:rPr>
          <w:lang w:val="sr-Latn-BA"/>
        </w:rPr>
        <w:t>na</w:t>
      </w:r>
      <w:r w:rsidR="008D04D1" w:rsidRPr="001B53A8">
        <w:rPr>
          <w:lang w:val="sr-Latn-BA"/>
        </w:rPr>
        <w:t xml:space="preserve"> </w:t>
      </w:r>
      <w:r w:rsidRPr="001B53A8">
        <w:rPr>
          <w:lang w:val="sr-Latn-BA"/>
        </w:rPr>
        <w:t>dan</w:t>
      </w:r>
      <w:r w:rsidR="008D04D1" w:rsidRPr="001B53A8">
        <w:rPr>
          <w:lang w:val="sr-Latn-BA"/>
        </w:rPr>
        <w:t xml:space="preserve"> 31.12.</w:t>
      </w:r>
      <w:r w:rsidR="00434025" w:rsidRPr="001B53A8">
        <w:rPr>
          <w:lang w:val="sr-Latn-BA"/>
        </w:rPr>
        <w:t>202</w:t>
      </w:r>
      <w:r w:rsidR="002C66E2" w:rsidRPr="001B53A8">
        <w:rPr>
          <w:lang w:val="sr-Latn-BA"/>
        </w:rPr>
        <w:t>3</w:t>
      </w:r>
      <w:r w:rsidR="008D04D1" w:rsidRPr="001B53A8">
        <w:rPr>
          <w:lang w:val="sr-Latn-BA"/>
        </w:rPr>
        <w:t xml:space="preserve">. </w:t>
      </w:r>
      <w:r w:rsidRPr="001B53A8">
        <w:rPr>
          <w:lang w:val="sr-Latn-BA"/>
        </w:rPr>
        <w:t>godine</w:t>
      </w:r>
    </w:p>
    <w:p w14:paraId="234857C9" w14:textId="0A57AF81" w:rsidR="00652230" w:rsidRPr="001B53A8" w:rsidRDefault="00003F34" w:rsidP="00652230">
      <w:pPr>
        <w:spacing w:line="240" w:lineRule="auto"/>
        <w:ind w:firstLine="567"/>
        <w:rPr>
          <w:lang w:val="sr-Latn-BA"/>
        </w:rPr>
      </w:pPr>
      <w:r w:rsidRPr="001B53A8">
        <w:rPr>
          <w:lang w:val="sr-Latn-BA"/>
        </w:rPr>
        <w:t>U</w:t>
      </w:r>
      <w:r w:rsidR="00652230" w:rsidRPr="001B53A8">
        <w:rPr>
          <w:lang w:val="sr-Latn-BA"/>
        </w:rPr>
        <w:t xml:space="preserve"> 2023. </w:t>
      </w:r>
      <w:r w:rsidRPr="001B53A8">
        <w:rPr>
          <w:lang w:val="sr-Latn-BA"/>
        </w:rPr>
        <w:t>godini</w:t>
      </w:r>
      <w:r w:rsidR="00652230" w:rsidRPr="001B53A8">
        <w:rPr>
          <w:lang w:val="sr-Latn-BA"/>
        </w:rPr>
        <w:t xml:space="preserve"> </w:t>
      </w:r>
      <w:r w:rsidRPr="001B53A8">
        <w:rPr>
          <w:lang w:val="sr-Latn-BA"/>
        </w:rPr>
        <w:t>izdate</w:t>
      </w:r>
      <w:r w:rsidR="00652230" w:rsidRPr="001B53A8">
        <w:rPr>
          <w:lang w:val="sr-Latn-BA"/>
        </w:rPr>
        <w:t xml:space="preserve"> </w:t>
      </w:r>
      <w:r w:rsidRPr="001B53A8">
        <w:rPr>
          <w:lang w:val="sr-Latn-BA"/>
        </w:rPr>
        <w:t>su</w:t>
      </w:r>
      <w:r w:rsidR="00652230" w:rsidRPr="001B53A8">
        <w:rPr>
          <w:lang w:val="sr-Latn-BA"/>
        </w:rPr>
        <w:t xml:space="preserve"> </w:t>
      </w:r>
      <w:r w:rsidRPr="001B53A8">
        <w:rPr>
          <w:lang w:val="sr-Latn-BA"/>
        </w:rPr>
        <w:t>tri</w:t>
      </w:r>
      <w:r w:rsidR="00652230" w:rsidRPr="001B53A8">
        <w:rPr>
          <w:lang w:val="sr-Latn-BA"/>
        </w:rPr>
        <w:t xml:space="preserve"> </w:t>
      </w:r>
      <w:r w:rsidRPr="001B53A8">
        <w:rPr>
          <w:lang w:val="sr-Latn-BA"/>
        </w:rPr>
        <w:t>nove</w:t>
      </w:r>
      <w:r w:rsidR="00652230" w:rsidRPr="001B53A8">
        <w:rPr>
          <w:lang w:val="sr-Latn-BA"/>
        </w:rPr>
        <w:t xml:space="preserve"> </w:t>
      </w:r>
      <w:r w:rsidRPr="001B53A8">
        <w:rPr>
          <w:lang w:val="sr-Latn-BA"/>
        </w:rPr>
        <w:t>dozvole</w:t>
      </w:r>
      <w:r w:rsidR="00652230" w:rsidRPr="001B53A8">
        <w:rPr>
          <w:lang w:val="sr-Latn-BA"/>
        </w:rPr>
        <w:t xml:space="preserve"> </w:t>
      </w:r>
      <w:r w:rsidRPr="001B53A8">
        <w:rPr>
          <w:lang w:val="sr-Latn-BA"/>
        </w:rPr>
        <w:t>za</w:t>
      </w:r>
      <w:r w:rsidR="00652230" w:rsidRPr="001B53A8">
        <w:rPr>
          <w:lang w:val="sr-Latn-BA"/>
        </w:rPr>
        <w:t xml:space="preserve"> </w:t>
      </w:r>
      <w:r w:rsidRPr="001B53A8">
        <w:rPr>
          <w:lang w:val="sr-Latn-BA"/>
        </w:rPr>
        <w:t>obavlјanje</w:t>
      </w:r>
      <w:r w:rsidR="00652230" w:rsidRPr="001B53A8">
        <w:rPr>
          <w:lang w:val="sr-Latn-BA"/>
        </w:rPr>
        <w:t xml:space="preserve"> </w:t>
      </w:r>
      <w:r w:rsidRPr="001B53A8">
        <w:rPr>
          <w:lang w:val="sr-Latn-BA"/>
        </w:rPr>
        <w:t>poslova</w:t>
      </w:r>
      <w:r w:rsidR="00652230" w:rsidRPr="001B53A8">
        <w:rPr>
          <w:lang w:val="sr-Latn-BA"/>
        </w:rPr>
        <w:t xml:space="preserve"> </w:t>
      </w:r>
      <w:r w:rsidRPr="001B53A8">
        <w:rPr>
          <w:lang w:val="sr-Latn-BA"/>
        </w:rPr>
        <w:t>sa</w:t>
      </w:r>
      <w:r w:rsidR="00652230" w:rsidRPr="001B53A8">
        <w:rPr>
          <w:lang w:val="sr-Latn-BA"/>
        </w:rPr>
        <w:t xml:space="preserve"> </w:t>
      </w:r>
      <w:r w:rsidRPr="001B53A8">
        <w:rPr>
          <w:lang w:val="sr-Latn-BA"/>
        </w:rPr>
        <w:t>hartijama</w:t>
      </w:r>
      <w:r w:rsidR="00652230" w:rsidRPr="001B53A8">
        <w:rPr>
          <w:lang w:val="sr-Latn-BA"/>
        </w:rPr>
        <w:t xml:space="preserve"> </w:t>
      </w:r>
      <w:r w:rsidRPr="001B53A8">
        <w:rPr>
          <w:lang w:val="sr-Latn-BA"/>
        </w:rPr>
        <w:t>od</w:t>
      </w:r>
      <w:r w:rsidR="00652230" w:rsidRPr="001B53A8">
        <w:rPr>
          <w:lang w:val="sr-Latn-BA"/>
        </w:rPr>
        <w:t xml:space="preserve"> </w:t>
      </w:r>
      <w:r w:rsidRPr="001B53A8">
        <w:rPr>
          <w:lang w:val="sr-Latn-BA"/>
        </w:rPr>
        <w:t>vrijednosti</w:t>
      </w:r>
      <w:r w:rsidR="00652230" w:rsidRPr="001B53A8">
        <w:rPr>
          <w:lang w:val="sr-Latn-BA"/>
        </w:rPr>
        <w:t xml:space="preserve"> </w:t>
      </w:r>
      <w:r w:rsidRPr="001B53A8">
        <w:rPr>
          <w:lang w:val="sr-Latn-BA"/>
        </w:rPr>
        <w:t>u</w:t>
      </w:r>
      <w:r w:rsidR="00652230" w:rsidRPr="001B53A8">
        <w:rPr>
          <w:lang w:val="sr-Latn-BA"/>
        </w:rPr>
        <w:t xml:space="preserve"> </w:t>
      </w:r>
      <w:r w:rsidRPr="001B53A8">
        <w:rPr>
          <w:lang w:val="sr-Latn-BA"/>
        </w:rPr>
        <w:t>zvanju</w:t>
      </w:r>
      <w:r w:rsidR="00652230" w:rsidRPr="001B53A8">
        <w:rPr>
          <w:lang w:val="sr-Latn-BA"/>
        </w:rPr>
        <w:t xml:space="preserve"> </w:t>
      </w:r>
      <w:r w:rsidRPr="001B53A8">
        <w:rPr>
          <w:lang w:val="sr-Latn-BA"/>
        </w:rPr>
        <w:t>investicioni</w:t>
      </w:r>
      <w:r w:rsidR="00652230" w:rsidRPr="001B53A8">
        <w:rPr>
          <w:lang w:val="sr-Latn-BA"/>
        </w:rPr>
        <w:t xml:space="preserve"> </w:t>
      </w:r>
      <w:r w:rsidRPr="001B53A8">
        <w:rPr>
          <w:lang w:val="sr-Latn-BA"/>
        </w:rPr>
        <w:t>menadžer</w:t>
      </w:r>
      <w:r w:rsidR="00652230" w:rsidRPr="001B53A8">
        <w:rPr>
          <w:lang w:val="sr-Latn-BA"/>
        </w:rPr>
        <w:t xml:space="preserve"> </w:t>
      </w:r>
      <w:r w:rsidRPr="001B53A8">
        <w:rPr>
          <w:lang w:val="sr-Latn-BA"/>
        </w:rPr>
        <w:t>i</w:t>
      </w:r>
      <w:r w:rsidR="00652230" w:rsidRPr="001B53A8">
        <w:rPr>
          <w:lang w:val="sr-Latn-BA"/>
        </w:rPr>
        <w:t xml:space="preserve"> </w:t>
      </w:r>
      <w:r w:rsidRPr="001B53A8">
        <w:rPr>
          <w:lang w:val="sr-Latn-BA"/>
        </w:rPr>
        <w:t>pet</w:t>
      </w:r>
      <w:r w:rsidR="00652230" w:rsidRPr="001B53A8">
        <w:rPr>
          <w:lang w:val="sr-Latn-BA"/>
        </w:rPr>
        <w:t xml:space="preserve"> </w:t>
      </w:r>
      <w:r w:rsidRPr="001B53A8">
        <w:rPr>
          <w:lang w:val="sr-Latn-BA"/>
        </w:rPr>
        <w:t>dozvola</w:t>
      </w:r>
      <w:r w:rsidR="00652230" w:rsidRPr="001B53A8">
        <w:rPr>
          <w:lang w:val="sr-Latn-BA"/>
        </w:rPr>
        <w:t xml:space="preserve"> </w:t>
      </w:r>
      <w:r w:rsidRPr="001B53A8">
        <w:rPr>
          <w:lang w:val="sr-Latn-BA"/>
        </w:rPr>
        <w:t>za</w:t>
      </w:r>
      <w:r w:rsidR="00652230" w:rsidRPr="001B53A8">
        <w:rPr>
          <w:lang w:val="sr-Latn-BA"/>
        </w:rPr>
        <w:t xml:space="preserve"> </w:t>
      </w:r>
      <w:r w:rsidRPr="001B53A8">
        <w:rPr>
          <w:lang w:val="sr-Latn-BA"/>
        </w:rPr>
        <w:t>obavlјanje</w:t>
      </w:r>
      <w:r w:rsidR="00652230" w:rsidRPr="001B53A8">
        <w:rPr>
          <w:lang w:val="sr-Latn-BA"/>
        </w:rPr>
        <w:t xml:space="preserve"> </w:t>
      </w:r>
      <w:r w:rsidRPr="001B53A8">
        <w:rPr>
          <w:lang w:val="sr-Latn-BA"/>
        </w:rPr>
        <w:t>poslova</w:t>
      </w:r>
      <w:r w:rsidR="00652230" w:rsidRPr="001B53A8">
        <w:rPr>
          <w:lang w:val="sr-Latn-BA"/>
        </w:rPr>
        <w:t xml:space="preserve"> </w:t>
      </w:r>
      <w:r w:rsidRPr="001B53A8">
        <w:rPr>
          <w:lang w:val="sr-Latn-BA"/>
        </w:rPr>
        <w:t>sa</w:t>
      </w:r>
      <w:r w:rsidR="00652230" w:rsidRPr="001B53A8">
        <w:rPr>
          <w:lang w:val="sr-Latn-BA"/>
        </w:rPr>
        <w:t xml:space="preserve"> </w:t>
      </w:r>
      <w:r w:rsidRPr="001B53A8">
        <w:rPr>
          <w:lang w:val="sr-Latn-BA"/>
        </w:rPr>
        <w:t>hartijama</w:t>
      </w:r>
      <w:r w:rsidR="00652230" w:rsidRPr="001B53A8">
        <w:rPr>
          <w:lang w:val="sr-Latn-BA"/>
        </w:rPr>
        <w:t xml:space="preserve"> </w:t>
      </w:r>
      <w:r w:rsidRPr="001B53A8">
        <w:rPr>
          <w:lang w:val="sr-Latn-BA"/>
        </w:rPr>
        <w:t>od</w:t>
      </w:r>
      <w:r w:rsidR="00652230" w:rsidRPr="001B53A8">
        <w:rPr>
          <w:lang w:val="sr-Latn-BA"/>
        </w:rPr>
        <w:t xml:space="preserve"> </w:t>
      </w:r>
      <w:r w:rsidRPr="001B53A8">
        <w:rPr>
          <w:lang w:val="sr-Latn-BA"/>
        </w:rPr>
        <w:t>vrijednosti</w:t>
      </w:r>
      <w:r w:rsidR="00652230" w:rsidRPr="001B53A8">
        <w:rPr>
          <w:lang w:val="sr-Latn-BA"/>
        </w:rPr>
        <w:t xml:space="preserve"> </w:t>
      </w:r>
      <w:r w:rsidRPr="001B53A8">
        <w:rPr>
          <w:lang w:val="sr-Latn-BA"/>
        </w:rPr>
        <w:t>u</w:t>
      </w:r>
      <w:r w:rsidR="00652230" w:rsidRPr="001B53A8">
        <w:rPr>
          <w:lang w:val="sr-Latn-BA"/>
        </w:rPr>
        <w:t xml:space="preserve"> </w:t>
      </w:r>
      <w:r w:rsidRPr="001B53A8">
        <w:rPr>
          <w:lang w:val="sr-Latn-BA"/>
        </w:rPr>
        <w:t>zvanju</w:t>
      </w:r>
      <w:r w:rsidR="00652230" w:rsidRPr="001B53A8">
        <w:rPr>
          <w:lang w:val="sr-Latn-BA"/>
        </w:rPr>
        <w:t xml:space="preserve"> </w:t>
      </w:r>
      <w:r w:rsidRPr="001B53A8">
        <w:rPr>
          <w:lang w:val="sr-Latn-BA"/>
        </w:rPr>
        <w:t>broker</w:t>
      </w:r>
      <w:r w:rsidR="00652230" w:rsidRPr="001B53A8">
        <w:rPr>
          <w:lang w:val="sr-Latn-BA"/>
        </w:rPr>
        <w:t>.</w:t>
      </w:r>
    </w:p>
    <w:p w14:paraId="295C816E" w14:textId="5A56C681" w:rsidR="00652230" w:rsidRPr="001B53A8" w:rsidRDefault="00003F34" w:rsidP="00652230">
      <w:pPr>
        <w:spacing w:line="240" w:lineRule="auto"/>
        <w:ind w:firstLine="567"/>
        <w:rPr>
          <w:lang w:val="sr-Latn-BA"/>
        </w:rPr>
      </w:pPr>
      <w:r w:rsidRPr="001B53A8">
        <w:rPr>
          <w:lang w:val="sr-Latn-BA"/>
        </w:rPr>
        <w:t>Takođe</w:t>
      </w:r>
      <w:r w:rsidR="00652230" w:rsidRPr="001B53A8">
        <w:rPr>
          <w:lang w:val="sr-Latn-BA"/>
        </w:rPr>
        <w:t xml:space="preserve">, </w:t>
      </w:r>
      <w:r w:rsidRPr="001B53A8">
        <w:rPr>
          <w:lang w:val="sr-Latn-BA"/>
        </w:rPr>
        <w:t>Komisija</w:t>
      </w:r>
      <w:r w:rsidR="00652230" w:rsidRPr="001B53A8">
        <w:rPr>
          <w:lang w:val="sr-Latn-BA"/>
        </w:rPr>
        <w:t xml:space="preserve"> </w:t>
      </w:r>
      <w:r w:rsidRPr="001B53A8">
        <w:rPr>
          <w:lang w:val="sr-Latn-BA"/>
        </w:rPr>
        <w:t>je</w:t>
      </w:r>
      <w:r w:rsidR="00652230" w:rsidRPr="001B53A8">
        <w:rPr>
          <w:lang w:val="sr-Latn-BA"/>
        </w:rPr>
        <w:t xml:space="preserve"> </w:t>
      </w:r>
      <w:r w:rsidRPr="001B53A8">
        <w:rPr>
          <w:lang w:val="sr-Latn-BA"/>
        </w:rPr>
        <w:t>produžila</w:t>
      </w:r>
      <w:r w:rsidR="00652230" w:rsidRPr="001B53A8">
        <w:rPr>
          <w:lang w:val="sr-Latn-BA"/>
        </w:rPr>
        <w:t xml:space="preserve"> </w:t>
      </w:r>
      <w:r w:rsidRPr="001B53A8">
        <w:rPr>
          <w:lang w:val="sr-Latn-BA"/>
        </w:rPr>
        <w:t>važenje</w:t>
      </w:r>
      <w:r w:rsidR="009C0BB3" w:rsidRPr="001B53A8">
        <w:rPr>
          <w:lang w:val="sr-Latn-BA"/>
        </w:rPr>
        <w:t xml:space="preserve"> </w:t>
      </w:r>
      <w:r w:rsidRPr="001B53A8">
        <w:rPr>
          <w:lang w:val="sr-Latn-BA"/>
        </w:rPr>
        <w:t>šest</w:t>
      </w:r>
      <w:r w:rsidR="00652230" w:rsidRPr="001B53A8">
        <w:rPr>
          <w:lang w:val="sr-Latn-BA"/>
        </w:rPr>
        <w:t xml:space="preserve"> </w:t>
      </w:r>
      <w:r w:rsidRPr="001B53A8">
        <w:rPr>
          <w:lang w:val="sr-Latn-BA"/>
        </w:rPr>
        <w:t>dozvola</w:t>
      </w:r>
      <w:r w:rsidR="00652230" w:rsidRPr="001B53A8">
        <w:rPr>
          <w:lang w:val="sr-Latn-BA"/>
        </w:rPr>
        <w:t xml:space="preserve"> </w:t>
      </w:r>
      <w:r w:rsidRPr="001B53A8">
        <w:rPr>
          <w:lang w:val="sr-Latn-BA"/>
        </w:rPr>
        <w:t>za</w:t>
      </w:r>
      <w:r w:rsidR="00652230" w:rsidRPr="001B53A8">
        <w:rPr>
          <w:lang w:val="sr-Latn-BA"/>
        </w:rPr>
        <w:t xml:space="preserve"> </w:t>
      </w:r>
      <w:r w:rsidRPr="001B53A8">
        <w:rPr>
          <w:lang w:val="sr-Latn-BA"/>
        </w:rPr>
        <w:t>obavlјanje</w:t>
      </w:r>
      <w:r w:rsidR="00652230" w:rsidRPr="001B53A8">
        <w:rPr>
          <w:lang w:val="sr-Latn-BA"/>
        </w:rPr>
        <w:t xml:space="preserve"> </w:t>
      </w:r>
      <w:r w:rsidRPr="001B53A8">
        <w:rPr>
          <w:lang w:val="sr-Latn-BA"/>
        </w:rPr>
        <w:t>poslova</w:t>
      </w:r>
      <w:r w:rsidR="00652230" w:rsidRPr="001B53A8">
        <w:rPr>
          <w:lang w:val="sr-Latn-BA"/>
        </w:rPr>
        <w:t xml:space="preserve"> </w:t>
      </w:r>
      <w:r w:rsidRPr="001B53A8">
        <w:rPr>
          <w:lang w:val="sr-Latn-BA"/>
        </w:rPr>
        <w:t>sa</w:t>
      </w:r>
      <w:r w:rsidR="00652230" w:rsidRPr="001B53A8">
        <w:rPr>
          <w:lang w:val="sr-Latn-BA"/>
        </w:rPr>
        <w:t xml:space="preserve"> </w:t>
      </w:r>
      <w:r w:rsidRPr="001B53A8">
        <w:rPr>
          <w:lang w:val="sr-Latn-BA"/>
        </w:rPr>
        <w:t>hartijama</w:t>
      </w:r>
      <w:r w:rsidR="00652230" w:rsidRPr="001B53A8">
        <w:rPr>
          <w:lang w:val="sr-Latn-BA"/>
        </w:rPr>
        <w:t xml:space="preserve"> </w:t>
      </w:r>
      <w:r w:rsidRPr="001B53A8">
        <w:rPr>
          <w:lang w:val="sr-Latn-BA"/>
        </w:rPr>
        <w:t>od</w:t>
      </w:r>
      <w:r w:rsidR="00652230" w:rsidRPr="001B53A8">
        <w:rPr>
          <w:lang w:val="sr-Latn-BA"/>
        </w:rPr>
        <w:t xml:space="preserve"> </w:t>
      </w:r>
      <w:r w:rsidRPr="001B53A8">
        <w:rPr>
          <w:lang w:val="sr-Latn-BA"/>
        </w:rPr>
        <w:t>vrijednosti</w:t>
      </w:r>
      <w:r w:rsidR="00652230" w:rsidRPr="001B53A8">
        <w:rPr>
          <w:lang w:val="sr-Latn-BA"/>
        </w:rPr>
        <w:t xml:space="preserve"> </w:t>
      </w:r>
      <w:r w:rsidRPr="001B53A8">
        <w:rPr>
          <w:lang w:val="sr-Latn-BA"/>
        </w:rPr>
        <w:t>u</w:t>
      </w:r>
      <w:r w:rsidR="00652230" w:rsidRPr="001B53A8">
        <w:rPr>
          <w:lang w:val="sr-Latn-BA"/>
        </w:rPr>
        <w:t xml:space="preserve"> </w:t>
      </w:r>
      <w:r w:rsidRPr="001B53A8">
        <w:rPr>
          <w:lang w:val="sr-Latn-BA"/>
        </w:rPr>
        <w:t>zvanju</w:t>
      </w:r>
      <w:r w:rsidR="00652230" w:rsidRPr="001B53A8">
        <w:rPr>
          <w:lang w:val="sr-Latn-BA"/>
        </w:rPr>
        <w:t xml:space="preserve"> </w:t>
      </w:r>
      <w:r w:rsidRPr="001B53A8">
        <w:rPr>
          <w:lang w:val="sr-Latn-BA"/>
        </w:rPr>
        <w:t>investicioni</w:t>
      </w:r>
      <w:r w:rsidR="00652230" w:rsidRPr="001B53A8">
        <w:rPr>
          <w:lang w:val="sr-Latn-BA"/>
        </w:rPr>
        <w:t xml:space="preserve"> </w:t>
      </w:r>
      <w:r w:rsidRPr="001B53A8">
        <w:rPr>
          <w:lang w:val="sr-Latn-BA"/>
        </w:rPr>
        <w:t>menadžer</w:t>
      </w:r>
      <w:r w:rsidR="00652230" w:rsidRPr="001B53A8">
        <w:rPr>
          <w:lang w:val="sr-Latn-BA"/>
        </w:rPr>
        <w:t xml:space="preserve">, </w:t>
      </w:r>
      <w:r w:rsidRPr="001B53A8">
        <w:rPr>
          <w:lang w:val="sr-Latn-BA"/>
        </w:rPr>
        <w:t>pet</w:t>
      </w:r>
      <w:r w:rsidR="00652230" w:rsidRPr="001B53A8">
        <w:rPr>
          <w:lang w:val="sr-Latn-BA"/>
        </w:rPr>
        <w:t xml:space="preserve"> </w:t>
      </w:r>
      <w:r w:rsidRPr="001B53A8">
        <w:rPr>
          <w:lang w:val="sr-Latn-BA"/>
        </w:rPr>
        <w:t>dozvola</w:t>
      </w:r>
      <w:r w:rsidR="00652230" w:rsidRPr="001B53A8">
        <w:rPr>
          <w:lang w:val="sr-Latn-BA"/>
        </w:rPr>
        <w:t xml:space="preserve"> </w:t>
      </w:r>
      <w:r w:rsidRPr="001B53A8">
        <w:rPr>
          <w:lang w:val="sr-Latn-BA"/>
        </w:rPr>
        <w:t>za</w:t>
      </w:r>
      <w:r w:rsidR="00652230" w:rsidRPr="001B53A8">
        <w:rPr>
          <w:lang w:val="sr-Latn-BA"/>
        </w:rPr>
        <w:t xml:space="preserve"> </w:t>
      </w:r>
      <w:r w:rsidRPr="001B53A8">
        <w:rPr>
          <w:lang w:val="sr-Latn-BA"/>
        </w:rPr>
        <w:t>obavlјanje</w:t>
      </w:r>
      <w:r w:rsidR="00652230" w:rsidRPr="001B53A8">
        <w:rPr>
          <w:lang w:val="sr-Latn-BA"/>
        </w:rPr>
        <w:t xml:space="preserve"> </w:t>
      </w:r>
      <w:r w:rsidRPr="001B53A8">
        <w:rPr>
          <w:lang w:val="sr-Latn-BA"/>
        </w:rPr>
        <w:t>poslova</w:t>
      </w:r>
      <w:r w:rsidR="00652230" w:rsidRPr="001B53A8">
        <w:rPr>
          <w:lang w:val="sr-Latn-BA"/>
        </w:rPr>
        <w:t xml:space="preserve"> </w:t>
      </w:r>
      <w:r w:rsidRPr="001B53A8">
        <w:rPr>
          <w:lang w:val="sr-Latn-BA"/>
        </w:rPr>
        <w:t>sa</w:t>
      </w:r>
      <w:r w:rsidR="00652230" w:rsidRPr="001B53A8">
        <w:rPr>
          <w:lang w:val="sr-Latn-BA"/>
        </w:rPr>
        <w:t xml:space="preserve"> </w:t>
      </w:r>
      <w:r w:rsidRPr="001B53A8">
        <w:rPr>
          <w:lang w:val="sr-Latn-BA"/>
        </w:rPr>
        <w:t>hartijama</w:t>
      </w:r>
      <w:r w:rsidR="00652230" w:rsidRPr="001B53A8">
        <w:rPr>
          <w:lang w:val="sr-Latn-BA"/>
        </w:rPr>
        <w:t xml:space="preserve"> </w:t>
      </w:r>
      <w:r w:rsidRPr="001B53A8">
        <w:rPr>
          <w:lang w:val="sr-Latn-BA"/>
        </w:rPr>
        <w:t>od</w:t>
      </w:r>
      <w:r w:rsidR="00652230" w:rsidRPr="001B53A8">
        <w:rPr>
          <w:lang w:val="sr-Latn-BA"/>
        </w:rPr>
        <w:t xml:space="preserve"> </w:t>
      </w:r>
      <w:r w:rsidRPr="001B53A8">
        <w:rPr>
          <w:lang w:val="sr-Latn-BA"/>
        </w:rPr>
        <w:t>vrijednosti</w:t>
      </w:r>
      <w:r w:rsidR="00652230" w:rsidRPr="001B53A8">
        <w:rPr>
          <w:lang w:val="sr-Latn-BA"/>
        </w:rPr>
        <w:t xml:space="preserve"> </w:t>
      </w:r>
      <w:r w:rsidRPr="001B53A8">
        <w:rPr>
          <w:lang w:val="sr-Latn-BA"/>
        </w:rPr>
        <w:t>u</w:t>
      </w:r>
      <w:r w:rsidR="00652230" w:rsidRPr="001B53A8">
        <w:rPr>
          <w:lang w:val="sr-Latn-BA"/>
        </w:rPr>
        <w:t xml:space="preserve"> </w:t>
      </w:r>
      <w:r w:rsidRPr="001B53A8">
        <w:rPr>
          <w:lang w:val="sr-Latn-BA"/>
        </w:rPr>
        <w:t>zvanju</w:t>
      </w:r>
      <w:r w:rsidR="00652230" w:rsidRPr="001B53A8">
        <w:rPr>
          <w:lang w:val="sr-Latn-BA"/>
        </w:rPr>
        <w:t xml:space="preserve"> </w:t>
      </w:r>
      <w:r w:rsidRPr="001B53A8">
        <w:rPr>
          <w:lang w:val="sr-Latn-BA"/>
        </w:rPr>
        <w:t>broker</w:t>
      </w:r>
      <w:r w:rsidR="00652230" w:rsidRPr="001B53A8">
        <w:rPr>
          <w:lang w:val="sr-Latn-BA"/>
        </w:rPr>
        <w:t xml:space="preserve"> </w:t>
      </w:r>
      <w:r w:rsidRPr="001B53A8">
        <w:rPr>
          <w:lang w:val="sr-Latn-BA"/>
        </w:rPr>
        <w:t>i</w:t>
      </w:r>
      <w:r w:rsidR="00652230" w:rsidRPr="001B53A8">
        <w:rPr>
          <w:lang w:val="sr-Latn-BA"/>
        </w:rPr>
        <w:t xml:space="preserve"> </w:t>
      </w:r>
      <w:r w:rsidRPr="001B53A8">
        <w:rPr>
          <w:lang w:val="sr-Latn-BA"/>
        </w:rPr>
        <w:t>jednu</w:t>
      </w:r>
      <w:r w:rsidR="00652230" w:rsidRPr="001B53A8">
        <w:rPr>
          <w:lang w:val="sr-Latn-BA"/>
        </w:rPr>
        <w:t xml:space="preserve"> </w:t>
      </w:r>
      <w:r w:rsidRPr="001B53A8">
        <w:rPr>
          <w:lang w:val="sr-Latn-BA"/>
        </w:rPr>
        <w:t>dozvolu</w:t>
      </w:r>
      <w:r w:rsidR="00652230" w:rsidRPr="001B53A8">
        <w:rPr>
          <w:lang w:val="sr-Latn-BA"/>
        </w:rPr>
        <w:t xml:space="preserve"> </w:t>
      </w:r>
      <w:r w:rsidRPr="001B53A8">
        <w:rPr>
          <w:lang w:val="sr-Latn-BA"/>
        </w:rPr>
        <w:t>za</w:t>
      </w:r>
      <w:r w:rsidR="00652230" w:rsidRPr="001B53A8">
        <w:rPr>
          <w:lang w:val="sr-Latn-BA"/>
        </w:rPr>
        <w:t xml:space="preserve"> </w:t>
      </w:r>
      <w:r w:rsidRPr="001B53A8">
        <w:rPr>
          <w:lang w:val="sr-Latn-BA"/>
        </w:rPr>
        <w:t>obavlјanje</w:t>
      </w:r>
      <w:r w:rsidR="00652230" w:rsidRPr="001B53A8">
        <w:rPr>
          <w:lang w:val="sr-Latn-BA"/>
        </w:rPr>
        <w:t xml:space="preserve"> </w:t>
      </w:r>
      <w:r w:rsidRPr="001B53A8">
        <w:rPr>
          <w:lang w:val="sr-Latn-BA"/>
        </w:rPr>
        <w:t>poslova</w:t>
      </w:r>
      <w:r w:rsidR="00652230" w:rsidRPr="001B53A8">
        <w:rPr>
          <w:lang w:val="sr-Latn-BA"/>
        </w:rPr>
        <w:t xml:space="preserve"> </w:t>
      </w:r>
      <w:r w:rsidRPr="001B53A8">
        <w:rPr>
          <w:lang w:val="sr-Latn-BA"/>
        </w:rPr>
        <w:t>sa</w:t>
      </w:r>
      <w:r w:rsidR="00652230" w:rsidRPr="001B53A8">
        <w:rPr>
          <w:lang w:val="sr-Latn-BA"/>
        </w:rPr>
        <w:t xml:space="preserve"> </w:t>
      </w:r>
      <w:r w:rsidRPr="001B53A8">
        <w:rPr>
          <w:lang w:val="sr-Latn-BA"/>
        </w:rPr>
        <w:t>hartijama</w:t>
      </w:r>
      <w:r w:rsidR="00652230" w:rsidRPr="001B53A8">
        <w:rPr>
          <w:lang w:val="sr-Latn-BA"/>
        </w:rPr>
        <w:t xml:space="preserve"> </w:t>
      </w:r>
      <w:r w:rsidRPr="001B53A8">
        <w:rPr>
          <w:lang w:val="sr-Latn-BA"/>
        </w:rPr>
        <w:t>od</w:t>
      </w:r>
      <w:r w:rsidR="00652230" w:rsidRPr="001B53A8">
        <w:rPr>
          <w:lang w:val="sr-Latn-BA"/>
        </w:rPr>
        <w:t xml:space="preserve"> </w:t>
      </w:r>
      <w:r w:rsidRPr="001B53A8">
        <w:rPr>
          <w:lang w:val="sr-Latn-BA"/>
        </w:rPr>
        <w:t>vrijednosti</w:t>
      </w:r>
      <w:r w:rsidR="00652230" w:rsidRPr="001B53A8">
        <w:rPr>
          <w:lang w:val="sr-Latn-BA"/>
        </w:rPr>
        <w:t xml:space="preserve"> </w:t>
      </w:r>
      <w:r w:rsidRPr="001B53A8">
        <w:rPr>
          <w:lang w:val="sr-Latn-BA"/>
        </w:rPr>
        <w:t>u</w:t>
      </w:r>
      <w:r w:rsidR="00652230" w:rsidRPr="001B53A8">
        <w:rPr>
          <w:lang w:val="sr-Latn-BA"/>
        </w:rPr>
        <w:t xml:space="preserve"> </w:t>
      </w:r>
      <w:r w:rsidRPr="001B53A8">
        <w:rPr>
          <w:lang w:val="sr-Latn-BA"/>
        </w:rPr>
        <w:t>zvanju</w:t>
      </w:r>
      <w:r w:rsidR="00652230" w:rsidRPr="001B53A8">
        <w:rPr>
          <w:lang w:val="sr-Latn-BA"/>
        </w:rPr>
        <w:t xml:space="preserve"> </w:t>
      </w:r>
      <w:r w:rsidRPr="001B53A8">
        <w:rPr>
          <w:lang w:val="sr-Latn-BA"/>
        </w:rPr>
        <w:t>investicioni</w:t>
      </w:r>
      <w:r w:rsidR="00652230" w:rsidRPr="001B53A8">
        <w:rPr>
          <w:lang w:val="sr-Latn-BA"/>
        </w:rPr>
        <w:t xml:space="preserve"> </w:t>
      </w:r>
      <w:r w:rsidRPr="001B53A8">
        <w:rPr>
          <w:lang w:val="sr-Latn-BA"/>
        </w:rPr>
        <w:t>savjetnik</w:t>
      </w:r>
      <w:r w:rsidR="00652230" w:rsidRPr="001B53A8">
        <w:rPr>
          <w:lang w:val="sr-Latn-BA"/>
        </w:rPr>
        <w:t xml:space="preserve">, </w:t>
      </w:r>
      <w:r w:rsidRPr="001B53A8">
        <w:rPr>
          <w:lang w:val="sr-Latn-BA"/>
        </w:rPr>
        <w:t>dok</w:t>
      </w:r>
      <w:r w:rsidR="00652230" w:rsidRPr="001B53A8">
        <w:rPr>
          <w:lang w:val="sr-Latn-BA"/>
        </w:rPr>
        <w:t xml:space="preserve"> </w:t>
      </w:r>
      <w:r w:rsidRPr="001B53A8">
        <w:rPr>
          <w:lang w:val="sr-Latn-BA"/>
        </w:rPr>
        <w:t>su</w:t>
      </w:r>
      <w:r w:rsidR="00652230" w:rsidRPr="001B53A8">
        <w:rPr>
          <w:lang w:val="sr-Latn-BA"/>
        </w:rPr>
        <w:t xml:space="preserve"> </w:t>
      </w:r>
      <w:r w:rsidRPr="001B53A8">
        <w:rPr>
          <w:lang w:val="sr-Latn-BA"/>
        </w:rPr>
        <w:t>oduzete</w:t>
      </w:r>
      <w:r w:rsidR="00652230" w:rsidRPr="001B53A8">
        <w:rPr>
          <w:lang w:val="sr-Latn-BA"/>
        </w:rPr>
        <w:t xml:space="preserve"> </w:t>
      </w:r>
      <w:r w:rsidRPr="001B53A8">
        <w:rPr>
          <w:lang w:val="sr-Latn-BA"/>
        </w:rPr>
        <w:t>dvije</w:t>
      </w:r>
      <w:r w:rsidR="00652230" w:rsidRPr="001B53A8">
        <w:rPr>
          <w:lang w:val="sr-Latn-BA"/>
        </w:rPr>
        <w:t xml:space="preserve"> </w:t>
      </w:r>
      <w:r w:rsidRPr="001B53A8">
        <w:rPr>
          <w:lang w:val="sr-Latn-BA"/>
        </w:rPr>
        <w:t>dozvole</w:t>
      </w:r>
      <w:r w:rsidR="00652230" w:rsidRPr="001B53A8">
        <w:rPr>
          <w:lang w:val="sr-Latn-BA"/>
        </w:rPr>
        <w:t xml:space="preserve"> </w:t>
      </w:r>
      <w:r w:rsidRPr="001B53A8">
        <w:rPr>
          <w:lang w:val="sr-Latn-BA"/>
        </w:rPr>
        <w:t>za</w:t>
      </w:r>
      <w:r w:rsidR="00652230" w:rsidRPr="001B53A8">
        <w:rPr>
          <w:lang w:val="sr-Latn-BA"/>
        </w:rPr>
        <w:t xml:space="preserve"> </w:t>
      </w:r>
      <w:r w:rsidRPr="001B53A8">
        <w:rPr>
          <w:lang w:val="sr-Latn-BA"/>
        </w:rPr>
        <w:t>obavlјanje</w:t>
      </w:r>
      <w:r w:rsidR="00652230" w:rsidRPr="001B53A8">
        <w:rPr>
          <w:lang w:val="sr-Latn-BA"/>
        </w:rPr>
        <w:t xml:space="preserve"> </w:t>
      </w:r>
      <w:r w:rsidRPr="001B53A8">
        <w:rPr>
          <w:lang w:val="sr-Latn-BA"/>
        </w:rPr>
        <w:t>poslova</w:t>
      </w:r>
      <w:r w:rsidR="00652230" w:rsidRPr="001B53A8">
        <w:rPr>
          <w:lang w:val="sr-Latn-BA"/>
        </w:rPr>
        <w:t xml:space="preserve"> </w:t>
      </w:r>
      <w:r w:rsidRPr="001B53A8">
        <w:rPr>
          <w:lang w:val="sr-Latn-BA"/>
        </w:rPr>
        <w:t>sa</w:t>
      </w:r>
      <w:r w:rsidR="00652230" w:rsidRPr="001B53A8">
        <w:rPr>
          <w:lang w:val="sr-Latn-BA"/>
        </w:rPr>
        <w:t xml:space="preserve"> </w:t>
      </w:r>
      <w:r w:rsidRPr="001B53A8">
        <w:rPr>
          <w:lang w:val="sr-Latn-BA"/>
        </w:rPr>
        <w:t>hartijama</w:t>
      </w:r>
      <w:r w:rsidR="00652230" w:rsidRPr="001B53A8">
        <w:rPr>
          <w:lang w:val="sr-Latn-BA"/>
        </w:rPr>
        <w:t xml:space="preserve"> </w:t>
      </w:r>
      <w:r w:rsidRPr="001B53A8">
        <w:rPr>
          <w:lang w:val="sr-Latn-BA"/>
        </w:rPr>
        <w:t>od</w:t>
      </w:r>
      <w:r w:rsidR="00652230" w:rsidRPr="001B53A8">
        <w:rPr>
          <w:lang w:val="sr-Latn-BA"/>
        </w:rPr>
        <w:t xml:space="preserve"> </w:t>
      </w:r>
      <w:r w:rsidRPr="001B53A8">
        <w:rPr>
          <w:lang w:val="sr-Latn-BA"/>
        </w:rPr>
        <w:t>vrijednosti</w:t>
      </w:r>
      <w:r w:rsidR="00652230" w:rsidRPr="001B53A8">
        <w:rPr>
          <w:lang w:val="sr-Latn-BA"/>
        </w:rPr>
        <w:t xml:space="preserve"> </w:t>
      </w:r>
      <w:r w:rsidRPr="001B53A8">
        <w:rPr>
          <w:lang w:val="sr-Latn-BA"/>
        </w:rPr>
        <w:t>u</w:t>
      </w:r>
      <w:r w:rsidR="00652230" w:rsidRPr="001B53A8">
        <w:rPr>
          <w:lang w:val="sr-Latn-BA"/>
        </w:rPr>
        <w:t xml:space="preserve"> </w:t>
      </w:r>
      <w:r w:rsidRPr="001B53A8">
        <w:rPr>
          <w:lang w:val="sr-Latn-BA"/>
        </w:rPr>
        <w:t>zvanju</w:t>
      </w:r>
      <w:r w:rsidR="00652230" w:rsidRPr="001B53A8">
        <w:rPr>
          <w:lang w:val="sr-Latn-BA"/>
        </w:rPr>
        <w:t xml:space="preserve"> </w:t>
      </w:r>
      <w:r w:rsidRPr="001B53A8">
        <w:rPr>
          <w:lang w:val="sr-Latn-BA"/>
        </w:rPr>
        <w:t>investicioni</w:t>
      </w:r>
      <w:r w:rsidR="00652230" w:rsidRPr="001B53A8">
        <w:rPr>
          <w:lang w:val="sr-Latn-BA"/>
        </w:rPr>
        <w:t xml:space="preserve"> </w:t>
      </w:r>
      <w:r w:rsidRPr="001B53A8">
        <w:rPr>
          <w:lang w:val="sr-Latn-BA"/>
        </w:rPr>
        <w:t>menadžer</w:t>
      </w:r>
      <w:r w:rsidR="00652230" w:rsidRPr="001B53A8">
        <w:rPr>
          <w:lang w:val="sr-Latn-BA"/>
        </w:rPr>
        <w:t xml:space="preserve"> </w:t>
      </w:r>
      <w:r w:rsidRPr="001B53A8">
        <w:rPr>
          <w:lang w:val="sr-Latn-BA"/>
        </w:rPr>
        <w:t>zbog</w:t>
      </w:r>
      <w:r w:rsidR="00652230" w:rsidRPr="001B53A8">
        <w:rPr>
          <w:lang w:val="sr-Latn-BA"/>
        </w:rPr>
        <w:t xml:space="preserve"> </w:t>
      </w:r>
      <w:r w:rsidRPr="001B53A8">
        <w:rPr>
          <w:lang w:val="sr-Latn-BA"/>
        </w:rPr>
        <w:t>prestanka</w:t>
      </w:r>
      <w:r w:rsidR="00652230" w:rsidRPr="001B53A8">
        <w:rPr>
          <w:lang w:val="sr-Latn-BA"/>
        </w:rPr>
        <w:t xml:space="preserve"> </w:t>
      </w:r>
      <w:r w:rsidRPr="001B53A8">
        <w:rPr>
          <w:lang w:val="sr-Latn-BA"/>
        </w:rPr>
        <w:t>radnog</w:t>
      </w:r>
      <w:r w:rsidR="00652230" w:rsidRPr="001B53A8">
        <w:rPr>
          <w:lang w:val="sr-Latn-BA"/>
        </w:rPr>
        <w:t xml:space="preserve"> </w:t>
      </w:r>
      <w:r w:rsidRPr="001B53A8">
        <w:rPr>
          <w:lang w:val="sr-Latn-BA"/>
        </w:rPr>
        <w:t>odnosa</w:t>
      </w:r>
      <w:r w:rsidR="00652230" w:rsidRPr="001B53A8">
        <w:rPr>
          <w:lang w:val="sr-Latn-BA"/>
        </w:rPr>
        <w:t xml:space="preserve">, </w:t>
      </w:r>
      <w:r w:rsidRPr="001B53A8">
        <w:rPr>
          <w:lang w:val="sr-Latn-BA"/>
        </w:rPr>
        <w:t>kao</w:t>
      </w:r>
      <w:r w:rsidR="00652230" w:rsidRPr="001B53A8">
        <w:rPr>
          <w:lang w:val="sr-Latn-BA"/>
        </w:rPr>
        <w:t xml:space="preserve"> </w:t>
      </w:r>
      <w:r w:rsidRPr="001B53A8">
        <w:rPr>
          <w:lang w:val="sr-Latn-BA"/>
        </w:rPr>
        <w:t>i</w:t>
      </w:r>
      <w:r w:rsidR="00652230" w:rsidRPr="001B53A8">
        <w:rPr>
          <w:lang w:val="sr-Latn-BA"/>
        </w:rPr>
        <w:t xml:space="preserve"> </w:t>
      </w:r>
      <w:r w:rsidRPr="001B53A8">
        <w:rPr>
          <w:lang w:val="sr-Latn-BA"/>
        </w:rPr>
        <w:t>četiri</w:t>
      </w:r>
      <w:r w:rsidR="00652230" w:rsidRPr="001B53A8">
        <w:rPr>
          <w:lang w:val="sr-Latn-BA"/>
        </w:rPr>
        <w:t xml:space="preserve"> </w:t>
      </w:r>
      <w:r w:rsidRPr="001B53A8">
        <w:rPr>
          <w:lang w:val="sr-Latn-BA"/>
        </w:rPr>
        <w:t>dozvole</w:t>
      </w:r>
      <w:r w:rsidR="00652230" w:rsidRPr="001B53A8">
        <w:rPr>
          <w:lang w:val="sr-Latn-BA"/>
        </w:rPr>
        <w:t xml:space="preserve"> </w:t>
      </w:r>
      <w:r w:rsidRPr="001B53A8">
        <w:rPr>
          <w:lang w:val="sr-Latn-BA"/>
        </w:rPr>
        <w:t>za</w:t>
      </w:r>
      <w:r w:rsidR="00652230" w:rsidRPr="001B53A8">
        <w:rPr>
          <w:lang w:val="sr-Latn-BA"/>
        </w:rPr>
        <w:t xml:space="preserve"> </w:t>
      </w:r>
      <w:r w:rsidRPr="001B53A8">
        <w:rPr>
          <w:lang w:val="sr-Latn-BA"/>
        </w:rPr>
        <w:t>obavlјanje</w:t>
      </w:r>
      <w:r w:rsidR="00652230" w:rsidRPr="001B53A8">
        <w:rPr>
          <w:lang w:val="sr-Latn-BA"/>
        </w:rPr>
        <w:t xml:space="preserve"> </w:t>
      </w:r>
      <w:r w:rsidRPr="001B53A8">
        <w:rPr>
          <w:lang w:val="sr-Latn-BA"/>
        </w:rPr>
        <w:t>poslova</w:t>
      </w:r>
      <w:r w:rsidR="00652230" w:rsidRPr="001B53A8">
        <w:rPr>
          <w:lang w:val="sr-Latn-BA"/>
        </w:rPr>
        <w:t xml:space="preserve"> </w:t>
      </w:r>
      <w:r w:rsidRPr="001B53A8">
        <w:rPr>
          <w:lang w:val="sr-Latn-BA"/>
        </w:rPr>
        <w:t>u</w:t>
      </w:r>
      <w:r w:rsidR="00652230" w:rsidRPr="001B53A8">
        <w:rPr>
          <w:lang w:val="sr-Latn-BA"/>
        </w:rPr>
        <w:t xml:space="preserve"> </w:t>
      </w:r>
      <w:r w:rsidRPr="001B53A8">
        <w:rPr>
          <w:lang w:val="sr-Latn-BA"/>
        </w:rPr>
        <w:t>zvanju</w:t>
      </w:r>
      <w:r w:rsidR="00652230" w:rsidRPr="001B53A8">
        <w:rPr>
          <w:lang w:val="sr-Latn-BA"/>
        </w:rPr>
        <w:t xml:space="preserve"> </w:t>
      </w:r>
      <w:r w:rsidRPr="001B53A8">
        <w:rPr>
          <w:lang w:val="sr-Latn-BA"/>
        </w:rPr>
        <w:t>broker</w:t>
      </w:r>
      <w:r w:rsidR="00652230" w:rsidRPr="001B53A8">
        <w:rPr>
          <w:lang w:val="sr-Latn-BA"/>
        </w:rPr>
        <w:t xml:space="preserve">, </w:t>
      </w:r>
      <w:r w:rsidRPr="001B53A8">
        <w:rPr>
          <w:lang w:val="sr-Latn-BA"/>
        </w:rPr>
        <w:t>zbog</w:t>
      </w:r>
      <w:r w:rsidR="00652230" w:rsidRPr="001B53A8">
        <w:rPr>
          <w:lang w:val="sr-Latn-BA"/>
        </w:rPr>
        <w:t xml:space="preserve"> </w:t>
      </w:r>
      <w:r w:rsidRPr="001B53A8">
        <w:rPr>
          <w:lang w:val="sr-Latn-BA"/>
        </w:rPr>
        <w:t>prestanka</w:t>
      </w:r>
      <w:r w:rsidR="00652230" w:rsidRPr="001B53A8">
        <w:rPr>
          <w:lang w:val="sr-Latn-BA"/>
        </w:rPr>
        <w:t xml:space="preserve"> </w:t>
      </w:r>
      <w:r w:rsidRPr="001B53A8">
        <w:rPr>
          <w:lang w:val="sr-Latn-BA"/>
        </w:rPr>
        <w:t>radnog</w:t>
      </w:r>
      <w:r w:rsidR="00652230" w:rsidRPr="001B53A8">
        <w:rPr>
          <w:lang w:val="sr-Latn-BA"/>
        </w:rPr>
        <w:t xml:space="preserve"> </w:t>
      </w:r>
      <w:r w:rsidRPr="001B53A8">
        <w:rPr>
          <w:lang w:val="sr-Latn-BA"/>
        </w:rPr>
        <w:t>odnosa</w:t>
      </w:r>
      <w:r w:rsidR="00652230" w:rsidRPr="001B53A8">
        <w:rPr>
          <w:lang w:val="sr-Latn-BA"/>
        </w:rPr>
        <w:t>.</w:t>
      </w:r>
    </w:p>
    <w:p w14:paraId="4E284F81" w14:textId="75C80DE1" w:rsidR="00652230" w:rsidRPr="001B53A8" w:rsidRDefault="00003F34" w:rsidP="009C0BB3">
      <w:pPr>
        <w:rPr>
          <w:lang w:val="sr-Latn-BA"/>
        </w:rPr>
      </w:pPr>
      <w:r w:rsidRPr="001B53A8">
        <w:rPr>
          <w:lang w:val="sr-Latn-BA"/>
        </w:rPr>
        <w:t>Komisija</w:t>
      </w:r>
      <w:r w:rsidR="00652230" w:rsidRPr="001B53A8">
        <w:rPr>
          <w:lang w:val="sr-Latn-BA"/>
        </w:rPr>
        <w:t xml:space="preserve"> </w:t>
      </w:r>
      <w:r w:rsidRPr="001B53A8">
        <w:rPr>
          <w:lang w:val="sr-Latn-BA"/>
        </w:rPr>
        <w:t>je</w:t>
      </w:r>
      <w:r w:rsidR="00652230" w:rsidRPr="001B53A8">
        <w:rPr>
          <w:lang w:val="sr-Latn-BA"/>
        </w:rPr>
        <w:t xml:space="preserve"> </w:t>
      </w:r>
      <w:r w:rsidRPr="001B53A8">
        <w:rPr>
          <w:lang w:val="sr-Latn-BA"/>
        </w:rPr>
        <w:t>krajem</w:t>
      </w:r>
      <w:r w:rsidR="00652230" w:rsidRPr="001B53A8">
        <w:rPr>
          <w:lang w:val="sr-Latn-BA"/>
        </w:rPr>
        <w:t xml:space="preserve"> 2023. </w:t>
      </w:r>
      <w:r w:rsidRPr="001B53A8">
        <w:rPr>
          <w:lang w:val="sr-Latn-BA"/>
        </w:rPr>
        <w:t>godine</w:t>
      </w:r>
      <w:r w:rsidR="00652230" w:rsidRPr="001B53A8">
        <w:rPr>
          <w:lang w:val="sr-Latn-BA"/>
        </w:rPr>
        <w:t xml:space="preserve"> </w:t>
      </w:r>
      <w:r w:rsidRPr="001B53A8">
        <w:rPr>
          <w:lang w:val="sr-Latn-BA"/>
        </w:rPr>
        <w:t>donijela</w:t>
      </w:r>
      <w:r w:rsidR="00652230" w:rsidRPr="001B53A8">
        <w:rPr>
          <w:lang w:val="sr-Latn-BA"/>
        </w:rPr>
        <w:t xml:space="preserve"> </w:t>
      </w:r>
      <w:r w:rsidRPr="001B53A8">
        <w:rPr>
          <w:lang w:val="sr-Latn-BA"/>
        </w:rPr>
        <w:t>Odluku</w:t>
      </w:r>
      <w:r w:rsidR="00652230" w:rsidRPr="001B53A8">
        <w:rPr>
          <w:lang w:val="sr-Latn-BA"/>
        </w:rPr>
        <w:t xml:space="preserve"> </w:t>
      </w:r>
      <w:r w:rsidRPr="001B53A8">
        <w:rPr>
          <w:lang w:val="sr-Latn-BA"/>
        </w:rPr>
        <w:t>o</w:t>
      </w:r>
      <w:r w:rsidR="00652230" w:rsidRPr="001B53A8">
        <w:rPr>
          <w:lang w:val="sr-Latn-BA"/>
        </w:rPr>
        <w:t xml:space="preserve"> </w:t>
      </w:r>
      <w:r w:rsidRPr="001B53A8">
        <w:rPr>
          <w:lang w:val="sr-Latn-BA"/>
        </w:rPr>
        <w:t>utvrđivanju</w:t>
      </w:r>
      <w:r w:rsidR="00652230" w:rsidRPr="001B53A8">
        <w:rPr>
          <w:lang w:val="sr-Latn-BA"/>
        </w:rPr>
        <w:t xml:space="preserve"> </w:t>
      </w:r>
      <w:r w:rsidRPr="001B53A8">
        <w:rPr>
          <w:lang w:val="sr-Latn-BA"/>
        </w:rPr>
        <w:t>ispitnih</w:t>
      </w:r>
      <w:r w:rsidR="00652230" w:rsidRPr="001B53A8">
        <w:rPr>
          <w:lang w:val="sr-Latn-BA"/>
        </w:rPr>
        <w:t xml:space="preserve"> </w:t>
      </w:r>
      <w:r w:rsidRPr="001B53A8">
        <w:rPr>
          <w:lang w:val="sr-Latn-BA"/>
        </w:rPr>
        <w:t>rokova</w:t>
      </w:r>
      <w:r w:rsidR="00652230" w:rsidRPr="001B53A8">
        <w:rPr>
          <w:lang w:val="sr-Latn-BA"/>
        </w:rPr>
        <w:t xml:space="preserve"> </w:t>
      </w:r>
      <w:r w:rsidRPr="001B53A8">
        <w:rPr>
          <w:lang w:val="sr-Latn-BA"/>
        </w:rPr>
        <w:t>za</w:t>
      </w:r>
      <w:r w:rsidR="00652230" w:rsidRPr="001B53A8">
        <w:rPr>
          <w:lang w:val="sr-Latn-BA"/>
        </w:rPr>
        <w:t xml:space="preserve"> 2024. </w:t>
      </w:r>
      <w:r w:rsidRPr="001B53A8">
        <w:rPr>
          <w:lang w:val="sr-Latn-BA"/>
        </w:rPr>
        <w:t>godinu</w:t>
      </w:r>
      <w:r w:rsidR="00652230" w:rsidRPr="001B53A8">
        <w:rPr>
          <w:lang w:val="sr-Latn-BA"/>
        </w:rPr>
        <w:t xml:space="preserve">. </w:t>
      </w:r>
      <w:r w:rsidRPr="001B53A8">
        <w:rPr>
          <w:lang w:val="sr-Latn-BA"/>
        </w:rPr>
        <w:t>Takođe</w:t>
      </w:r>
      <w:r w:rsidR="00652230" w:rsidRPr="001B53A8">
        <w:rPr>
          <w:lang w:val="sr-Latn-BA"/>
        </w:rPr>
        <w:t xml:space="preserve">, </w:t>
      </w:r>
      <w:r w:rsidRPr="001B53A8">
        <w:rPr>
          <w:lang w:val="sr-Latn-BA"/>
        </w:rPr>
        <w:t>u</w:t>
      </w:r>
      <w:r w:rsidR="009C0BB3" w:rsidRPr="001B53A8">
        <w:rPr>
          <w:lang w:val="sr-Latn-BA"/>
        </w:rPr>
        <w:t xml:space="preserve"> </w:t>
      </w:r>
      <w:r w:rsidRPr="001B53A8">
        <w:rPr>
          <w:lang w:val="sr-Latn-BA"/>
        </w:rPr>
        <w:t>cilјu</w:t>
      </w:r>
      <w:r w:rsidR="009C0BB3" w:rsidRPr="001B53A8">
        <w:rPr>
          <w:lang w:val="sr-Latn-BA"/>
        </w:rPr>
        <w:t xml:space="preserve"> </w:t>
      </w:r>
      <w:r w:rsidRPr="001B53A8">
        <w:rPr>
          <w:lang w:val="sr-Latn-BA"/>
        </w:rPr>
        <w:t>promocije</w:t>
      </w:r>
      <w:r w:rsidR="009C0BB3" w:rsidRPr="001B53A8">
        <w:rPr>
          <w:lang w:val="sr-Latn-BA"/>
        </w:rPr>
        <w:t xml:space="preserve"> </w:t>
      </w:r>
      <w:r w:rsidRPr="001B53A8">
        <w:rPr>
          <w:lang w:val="sr-Latn-BA"/>
        </w:rPr>
        <w:t>i</w:t>
      </w:r>
      <w:r w:rsidR="009C0BB3" w:rsidRPr="001B53A8">
        <w:rPr>
          <w:lang w:val="sr-Latn-BA"/>
        </w:rPr>
        <w:t xml:space="preserve"> </w:t>
      </w:r>
      <w:r w:rsidRPr="001B53A8">
        <w:rPr>
          <w:lang w:val="sr-Latn-BA"/>
        </w:rPr>
        <w:t>unapređenja</w:t>
      </w:r>
      <w:r w:rsidR="009C0BB3" w:rsidRPr="001B53A8">
        <w:rPr>
          <w:lang w:val="sr-Latn-BA"/>
        </w:rPr>
        <w:t xml:space="preserve"> </w:t>
      </w:r>
      <w:r w:rsidRPr="001B53A8">
        <w:rPr>
          <w:lang w:val="sr-Latn-BA"/>
        </w:rPr>
        <w:t>tržišta</w:t>
      </w:r>
      <w:r w:rsidR="009C0BB3" w:rsidRPr="001B53A8">
        <w:rPr>
          <w:lang w:val="sr-Latn-BA"/>
        </w:rPr>
        <w:t xml:space="preserve"> </w:t>
      </w:r>
      <w:r w:rsidRPr="001B53A8">
        <w:rPr>
          <w:lang w:val="sr-Latn-BA"/>
        </w:rPr>
        <w:t>hartija</w:t>
      </w:r>
      <w:r w:rsidR="009C0BB3" w:rsidRPr="001B53A8">
        <w:rPr>
          <w:lang w:val="sr-Latn-BA"/>
        </w:rPr>
        <w:t xml:space="preserve"> </w:t>
      </w:r>
      <w:r w:rsidRPr="001B53A8">
        <w:rPr>
          <w:lang w:val="sr-Latn-BA"/>
        </w:rPr>
        <w:t>od</w:t>
      </w:r>
      <w:r w:rsidR="009C0BB3" w:rsidRPr="001B53A8">
        <w:rPr>
          <w:lang w:val="sr-Latn-BA"/>
        </w:rPr>
        <w:t xml:space="preserve"> </w:t>
      </w:r>
      <w:r w:rsidRPr="001B53A8">
        <w:rPr>
          <w:lang w:val="sr-Latn-BA"/>
        </w:rPr>
        <w:t>vrijednosti</w:t>
      </w:r>
      <w:r w:rsidR="009C0BB3" w:rsidRPr="001B53A8">
        <w:rPr>
          <w:lang w:val="sr-Latn-BA"/>
        </w:rPr>
        <w:t xml:space="preserve"> </w:t>
      </w:r>
      <w:r w:rsidRPr="001B53A8">
        <w:rPr>
          <w:lang w:val="sr-Latn-BA"/>
        </w:rPr>
        <w:t>u</w:t>
      </w:r>
      <w:r w:rsidR="009C0BB3" w:rsidRPr="001B53A8">
        <w:rPr>
          <w:lang w:val="sr-Latn-BA"/>
        </w:rPr>
        <w:t xml:space="preserve"> </w:t>
      </w:r>
      <w:r w:rsidRPr="001B53A8">
        <w:rPr>
          <w:lang w:val="sr-Latn-BA"/>
        </w:rPr>
        <w:t>Republici</w:t>
      </w:r>
      <w:r w:rsidR="009C0BB3" w:rsidRPr="001B53A8">
        <w:rPr>
          <w:lang w:val="sr-Latn-BA"/>
        </w:rPr>
        <w:t xml:space="preserve"> </w:t>
      </w:r>
      <w:r w:rsidRPr="001B53A8">
        <w:rPr>
          <w:lang w:val="sr-Latn-BA"/>
        </w:rPr>
        <w:t>Srpskoj</w:t>
      </w:r>
      <w:r w:rsidR="009C0BB3" w:rsidRPr="001B53A8">
        <w:rPr>
          <w:lang w:val="sr-Latn-BA"/>
        </w:rPr>
        <w:t xml:space="preserve">, </w:t>
      </w:r>
      <w:r w:rsidRPr="001B53A8">
        <w:rPr>
          <w:lang w:val="sr-Latn-BA"/>
        </w:rPr>
        <w:t>Komisija</w:t>
      </w:r>
      <w:r w:rsidR="009C0BB3" w:rsidRPr="001B53A8">
        <w:rPr>
          <w:lang w:val="sr-Latn-BA"/>
        </w:rPr>
        <w:t xml:space="preserve"> </w:t>
      </w:r>
      <w:r w:rsidRPr="001B53A8">
        <w:rPr>
          <w:lang w:val="sr-Latn-BA"/>
        </w:rPr>
        <w:t>je</w:t>
      </w:r>
      <w:r w:rsidR="009C0BB3" w:rsidRPr="001B53A8">
        <w:rPr>
          <w:lang w:val="sr-Latn-BA"/>
        </w:rPr>
        <w:t xml:space="preserve"> </w:t>
      </w:r>
      <w:r w:rsidRPr="001B53A8">
        <w:rPr>
          <w:lang w:val="sr-Latn-BA"/>
        </w:rPr>
        <w:t>donijela</w:t>
      </w:r>
      <w:r w:rsidR="009C0BB3" w:rsidRPr="001B53A8">
        <w:rPr>
          <w:lang w:val="sr-Latn-BA"/>
        </w:rPr>
        <w:t xml:space="preserve"> </w:t>
      </w:r>
      <w:r w:rsidRPr="001B53A8">
        <w:rPr>
          <w:lang w:val="sr-Latn-BA"/>
        </w:rPr>
        <w:t>Odluku</w:t>
      </w:r>
      <w:r w:rsidR="009C0BB3" w:rsidRPr="001B53A8">
        <w:rPr>
          <w:lang w:val="sr-Latn-BA"/>
        </w:rPr>
        <w:t xml:space="preserve"> </w:t>
      </w:r>
      <w:r w:rsidRPr="001B53A8">
        <w:rPr>
          <w:lang w:val="sr-Latn-BA"/>
        </w:rPr>
        <w:t>kojom</w:t>
      </w:r>
      <w:r w:rsidR="009C0BB3" w:rsidRPr="001B53A8">
        <w:rPr>
          <w:lang w:val="sr-Latn-BA"/>
        </w:rPr>
        <w:t xml:space="preserve"> </w:t>
      </w:r>
      <w:r w:rsidRPr="001B53A8">
        <w:rPr>
          <w:lang w:val="sr-Latn-BA"/>
        </w:rPr>
        <w:t>sva</w:t>
      </w:r>
      <w:r w:rsidR="009C0BB3" w:rsidRPr="001B53A8">
        <w:rPr>
          <w:lang w:val="sr-Latn-BA"/>
        </w:rPr>
        <w:t xml:space="preserve"> </w:t>
      </w:r>
      <w:r w:rsidRPr="001B53A8">
        <w:rPr>
          <w:lang w:val="sr-Latn-BA"/>
        </w:rPr>
        <w:t>zainteresovana</w:t>
      </w:r>
      <w:r w:rsidR="009C0BB3" w:rsidRPr="001B53A8">
        <w:rPr>
          <w:lang w:val="sr-Latn-BA"/>
        </w:rPr>
        <w:t xml:space="preserve"> </w:t>
      </w:r>
      <w:r w:rsidRPr="001B53A8">
        <w:rPr>
          <w:lang w:val="sr-Latn-BA"/>
        </w:rPr>
        <w:t>lica</w:t>
      </w:r>
      <w:r w:rsidR="009C0BB3" w:rsidRPr="001B53A8">
        <w:rPr>
          <w:lang w:val="sr-Latn-BA"/>
        </w:rPr>
        <w:t xml:space="preserve"> </w:t>
      </w:r>
      <w:r w:rsidRPr="001B53A8">
        <w:rPr>
          <w:lang w:val="sr-Latn-BA"/>
        </w:rPr>
        <w:t>oslobađa</w:t>
      </w:r>
      <w:r w:rsidR="009C0BB3" w:rsidRPr="001B53A8">
        <w:rPr>
          <w:lang w:val="sr-Latn-BA"/>
        </w:rPr>
        <w:t xml:space="preserve"> </w:t>
      </w:r>
      <w:r w:rsidRPr="001B53A8">
        <w:rPr>
          <w:lang w:val="sr-Latn-BA"/>
        </w:rPr>
        <w:t>od</w:t>
      </w:r>
      <w:r w:rsidR="009C0BB3" w:rsidRPr="001B53A8">
        <w:rPr>
          <w:lang w:val="sr-Latn-BA"/>
        </w:rPr>
        <w:t xml:space="preserve"> </w:t>
      </w:r>
      <w:r w:rsidRPr="001B53A8">
        <w:rPr>
          <w:lang w:val="sr-Latn-BA"/>
        </w:rPr>
        <w:t>obaveze</w:t>
      </w:r>
      <w:r w:rsidR="009C0BB3" w:rsidRPr="001B53A8">
        <w:rPr>
          <w:lang w:val="sr-Latn-BA"/>
        </w:rPr>
        <w:t xml:space="preserve"> </w:t>
      </w:r>
      <w:r w:rsidRPr="001B53A8">
        <w:rPr>
          <w:lang w:val="sr-Latn-BA"/>
        </w:rPr>
        <w:t>plaćanja</w:t>
      </w:r>
      <w:r w:rsidR="009C0BB3" w:rsidRPr="001B53A8">
        <w:rPr>
          <w:lang w:val="sr-Latn-BA"/>
        </w:rPr>
        <w:t xml:space="preserve"> </w:t>
      </w:r>
      <w:r w:rsidRPr="001B53A8">
        <w:rPr>
          <w:lang w:val="sr-Latn-BA"/>
        </w:rPr>
        <w:t>naknade</w:t>
      </w:r>
      <w:r w:rsidR="009C0BB3" w:rsidRPr="001B53A8">
        <w:rPr>
          <w:lang w:val="sr-Latn-BA"/>
        </w:rPr>
        <w:t xml:space="preserve"> </w:t>
      </w:r>
      <w:r w:rsidRPr="001B53A8">
        <w:rPr>
          <w:lang w:val="sr-Latn-BA"/>
        </w:rPr>
        <w:t>za</w:t>
      </w:r>
      <w:r w:rsidR="009C0BB3" w:rsidRPr="001B53A8">
        <w:rPr>
          <w:lang w:val="sr-Latn-BA"/>
        </w:rPr>
        <w:t xml:space="preserve"> </w:t>
      </w:r>
      <w:r w:rsidRPr="001B53A8">
        <w:rPr>
          <w:lang w:val="sr-Latn-BA"/>
        </w:rPr>
        <w:t>polaganje</w:t>
      </w:r>
      <w:r w:rsidR="009C0BB3" w:rsidRPr="001B53A8">
        <w:rPr>
          <w:lang w:val="sr-Latn-BA"/>
        </w:rPr>
        <w:t xml:space="preserve"> </w:t>
      </w:r>
      <w:r w:rsidRPr="001B53A8">
        <w:rPr>
          <w:lang w:val="sr-Latn-BA"/>
        </w:rPr>
        <w:t>stručnog</w:t>
      </w:r>
      <w:r w:rsidR="009C0BB3" w:rsidRPr="001B53A8">
        <w:rPr>
          <w:lang w:val="sr-Latn-BA"/>
        </w:rPr>
        <w:t xml:space="preserve"> </w:t>
      </w:r>
      <w:r w:rsidRPr="001B53A8">
        <w:rPr>
          <w:lang w:val="sr-Latn-BA"/>
        </w:rPr>
        <w:t>ispita</w:t>
      </w:r>
      <w:r w:rsidR="009C0BB3" w:rsidRPr="001B53A8">
        <w:rPr>
          <w:lang w:val="sr-Latn-BA"/>
        </w:rPr>
        <w:t xml:space="preserve"> </w:t>
      </w:r>
      <w:r w:rsidRPr="001B53A8">
        <w:rPr>
          <w:lang w:val="sr-Latn-BA"/>
        </w:rPr>
        <w:t>za</w:t>
      </w:r>
      <w:r w:rsidR="009C0BB3" w:rsidRPr="001B53A8">
        <w:rPr>
          <w:lang w:val="sr-Latn-BA"/>
        </w:rPr>
        <w:t xml:space="preserve"> </w:t>
      </w:r>
      <w:r w:rsidRPr="001B53A8">
        <w:rPr>
          <w:lang w:val="sr-Latn-BA"/>
        </w:rPr>
        <w:t>sticanje</w:t>
      </w:r>
      <w:r w:rsidR="009C0BB3" w:rsidRPr="001B53A8">
        <w:rPr>
          <w:lang w:val="sr-Latn-BA"/>
        </w:rPr>
        <w:t xml:space="preserve"> </w:t>
      </w:r>
      <w:r w:rsidRPr="001B53A8">
        <w:rPr>
          <w:lang w:val="sr-Latn-BA"/>
        </w:rPr>
        <w:t>zvanja</w:t>
      </w:r>
      <w:r w:rsidR="009C0BB3" w:rsidRPr="001B53A8">
        <w:rPr>
          <w:lang w:val="sr-Latn-BA"/>
        </w:rPr>
        <w:t xml:space="preserve"> </w:t>
      </w:r>
      <w:r w:rsidRPr="001B53A8">
        <w:rPr>
          <w:lang w:val="sr-Latn-BA"/>
        </w:rPr>
        <w:t>broker</w:t>
      </w:r>
      <w:r w:rsidR="009C0BB3" w:rsidRPr="001B53A8">
        <w:rPr>
          <w:lang w:val="sr-Latn-BA"/>
        </w:rPr>
        <w:t xml:space="preserve">, </w:t>
      </w:r>
      <w:r w:rsidRPr="001B53A8">
        <w:rPr>
          <w:lang w:val="sr-Latn-BA"/>
        </w:rPr>
        <w:t>investicioni</w:t>
      </w:r>
      <w:r w:rsidR="009C0BB3" w:rsidRPr="001B53A8">
        <w:rPr>
          <w:lang w:val="sr-Latn-BA"/>
        </w:rPr>
        <w:t xml:space="preserve"> </w:t>
      </w:r>
      <w:r w:rsidRPr="001B53A8">
        <w:rPr>
          <w:lang w:val="sr-Latn-BA"/>
        </w:rPr>
        <w:t>savjetnik</w:t>
      </w:r>
      <w:r w:rsidR="009C0BB3" w:rsidRPr="001B53A8">
        <w:rPr>
          <w:lang w:val="sr-Latn-BA"/>
        </w:rPr>
        <w:t xml:space="preserve"> </w:t>
      </w:r>
      <w:r w:rsidRPr="001B53A8">
        <w:rPr>
          <w:lang w:val="sr-Latn-BA"/>
        </w:rPr>
        <w:t>i</w:t>
      </w:r>
      <w:r w:rsidR="009C0BB3" w:rsidRPr="001B53A8">
        <w:rPr>
          <w:lang w:val="sr-Latn-BA"/>
        </w:rPr>
        <w:t xml:space="preserve"> </w:t>
      </w:r>
      <w:r w:rsidRPr="001B53A8">
        <w:rPr>
          <w:lang w:val="sr-Latn-BA"/>
        </w:rPr>
        <w:t>investicioni</w:t>
      </w:r>
      <w:r w:rsidR="009C0BB3" w:rsidRPr="001B53A8">
        <w:rPr>
          <w:lang w:val="sr-Latn-BA"/>
        </w:rPr>
        <w:t xml:space="preserve"> </w:t>
      </w:r>
      <w:r w:rsidRPr="001B53A8">
        <w:rPr>
          <w:lang w:val="sr-Latn-BA"/>
        </w:rPr>
        <w:t>menadžer</w:t>
      </w:r>
      <w:r w:rsidR="009C0BB3" w:rsidRPr="001B53A8">
        <w:rPr>
          <w:lang w:val="sr-Latn-BA"/>
        </w:rPr>
        <w:t xml:space="preserve"> </w:t>
      </w:r>
      <w:r w:rsidRPr="001B53A8">
        <w:rPr>
          <w:lang w:val="sr-Latn-BA"/>
        </w:rPr>
        <w:t>u</w:t>
      </w:r>
      <w:r w:rsidR="00652230" w:rsidRPr="001B53A8">
        <w:rPr>
          <w:lang w:val="sr-Latn-BA"/>
        </w:rPr>
        <w:t xml:space="preserve"> 2024. </w:t>
      </w:r>
      <w:r w:rsidRPr="001B53A8">
        <w:rPr>
          <w:lang w:val="sr-Latn-BA"/>
        </w:rPr>
        <w:t>godini</w:t>
      </w:r>
      <w:r w:rsidR="00652230" w:rsidRPr="001B53A8">
        <w:rPr>
          <w:lang w:val="sr-Latn-BA"/>
        </w:rPr>
        <w:t>.</w:t>
      </w:r>
    </w:p>
    <w:p w14:paraId="72F666E3" w14:textId="433BBDAC" w:rsidR="006C0A13" w:rsidRPr="001B53A8" w:rsidRDefault="00003F34" w:rsidP="00652230">
      <w:pPr>
        <w:spacing w:line="240" w:lineRule="auto"/>
        <w:ind w:firstLine="567"/>
        <w:rPr>
          <w:lang w:val="sr-Latn-BA"/>
        </w:rPr>
      </w:pPr>
      <w:r w:rsidRPr="001B53A8">
        <w:rPr>
          <w:lang w:val="sr-Latn-BA"/>
        </w:rPr>
        <w:t>Usvojen</w:t>
      </w:r>
      <w:r w:rsidR="00652230" w:rsidRPr="001B53A8">
        <w:rPr>
          <w:lang w:val="sr-Latn-BA"/>
        </w:rPr>
        <w:t xml:space="preserve"> </w:t>
      </w:r>
      <w:r w:rsidRPr="001B53A8">
        <w:rPr>
          <w:lang w:val="sr-Latn-BA"/>
        </w:rPr>
        <w:t>je</w:t>
      </w:r>
      <w:r w:rsidR="00652230" w:rsidRPr="001B53A8">
        <w:rPr>
          <w:lang w:val="sr-Latn-BA"/>
        </w:rPr>
        <w:t xml:space="preserve"> </w:t>
      </w:r>
      <w:r w:rsidRPr="001B53A8">
        <w:rPr>
          <w:lang w:val="sr-Latn-BA"/>
        </w:rPr>
        <w:t>i</w:t>
      </w:r>
      <w:r w:rsidR="00652230" w:rsidRPr="001B53A8">
        <w:rPr>
          <w:lang w:val="sr-Latn-BA"/>
        </w:rPr>
        <w:t xml:space="preserve"> </w:t>
      </w:r>
      <w:r w:rsidRPr="001B53A8">
        <w:rPr>
          <w:lang w:val="sr-Latn-BA"/>
        </w:rPr>
        <w:t>jedan</w:t>
      </w:r>
      <w:r w:rsidR="00652230" w:rsidRPr="001B53A8">
        <w:rPr>
          <w:lang w:val="sr-Latn-BA"/>
        </w:rPr>
        <w:t xml:space="preserve"> </w:t>
      </w:r>
      <w:r w:rsidRPr="001B53A8">
        <w:rPr>
          <w:lang w:val="sr-Latn-BA"/>
        </w:rPr>
        <w:t>odgovor</w:t>
      </w:r>
      <w:r w:rsidR="00652230" w:rsidRPr="001B53A8">
        <w:rPr>
          <w:lang w:val="sr-Latn-BA"/>
        </w:rPr>
        <w:t xml:space="preserve"> </w:t>
      </w:r>
      <w:r w:rsidRPr="001B53A8">
        <w:rPr>
          <w:lang w:val="sr-Latn-BA"/>
        </w:rPr>
        <w:t>na</w:t>
      </w:r>
      <w:r w:rsidR="00652230" w:rsidRPr="001B53A8">
        <w:rPr>
          <w:lang w:val="sr-Latn-BA"/>
        </w:rPr>
        <w:t xml:space="preserve"> </w:t>
      </w:r>
      <w:r w:rsidRPr="001B53A8">
        <w:rPr>
          <w:lang w:val="sr-Latn-BA"/>
        </w:rPr>
        <w:t>upit</w:t>
      </w:r>
      <w:r w:rsidR="00652230" w:rsidRPr="001B53A8">
        <w:rPr>
          <w:lang w:val="sr-Latn-BA"/>
        </w:rPr>
        <w:t xml:space="preserve"> </w:t>
      </w:r>
      <w:r w:rsidRPr="001B53A8">
        <w:rPr>
          <w:lang w:val="sr-Latn-BA"/>
        </w:rPr>
        <w:t>u</w:t>
      </w:r>
      <w:r w:rsidR="00652230" w:rsidRPr="001B53A8">
        <w:rPr>
          <w:lang w:val="sr-Latn-BA"/>
        </w:rPr>
        <w:t xml:space="preserve"> </w:t>
      </w:r>
      <w:r w:rsidRPr="001B53A8">
        <w:rPr>
          <w:lang w:val="sr-Latn-BA"/>
        </w:rPr>
        <w:t>vezi</w:t>
      </w:r>
      <w:r w:rsidR="00652230" w:rsidRPr="001B53A8">
        <w:rPr>
          <w:lang w:val="sr-Latn-BA"/>
        </w:rPr>
        <w:t xml:space="preserve"> </w:t>
      </w:r>
      <w:r w:rsidRPr="001B53A8">
        <w:rPr>
          <w:lang w:val="sr-Latn-BA"/>
        </w:rPr>
        <w:t>sa</w:t>
      </w:r>
      <w:r w:rsidR="00652230" w:rsidRPr="001B53A8">
        <w:rPr>
          <w:lang w:val="sr-Latn-BA"/>
        </w:rPr>
        <w:t xml:space="preserve"> </w:t>
      </w:r>
      <w:r w:rsidRPr="001B53A8">
        <w:rPr>
          <w:lang w:val="sr-Latn-BA"/>
        </w:rPr>
        <w:t>polaganjem</w:t>
      </w:r>
      <w:r w:rsidR="00652230" w:rsidRPr="001B53A8">
        <w:rPr>
          <w:lang w:val="sr-Latn-BA"/>
        </w:rPr>
        <w:t xml:space="preserve"> </w:t>
      </w:r>
      <w:r w:rsidRPr="001B53A8">
        <w:rPr>
          <w:lang w:val="sr-Latn-BA"/>
        </w:rPr>
        <w:t>ispita</w:t>
      </w:r>
      <w:r w:rsidR="00652230" w:rsidRPr="001B53A8">
        <w:rPr>
          <w:lang w:val="sr-Latn-BA"/>
        </w:rPr>
        <w:t xml:space="preserve"> </w:t>
      </w:r>
      <w:r w:rsidRPr="001B53A8">
        <w:rPr>
          <w:lang w:val="sr-Latn-BA"/>
        </w:rPr>
        <w:t>za</w:t>
      </w:r>
      <w:r w:rsidR="00652230" w:rsidRPr="001B53A8">
        <w:rPr>
          <w:lang w:val="sr-Latn-BA"/>
        </w:rPr>
        <w:t xml:space="preserve"> </w:t>
      </w:r>
      <w:r w:rsidRPr="001B53A8">
        <w:rPr>
          <w:lang w:val="sr-Latn-BA"/>
        </w:rPr>
        <w:t>sticanje</w:t>
      </w:r>
      <w:r w:rsidR="00652230" w:rsidRPr="001B53A8">
        <w:rPr>
          <w:lang w:val="sr-Latn-BA"/>
        </w:rPr>
        <w:t xml:space="preserve"> </w:t>
      </w:r>
      <w:r w:rsidRPr="001B53A8">
        <w:rPr>
          <w:lang w:val="sr-Latn-BA"/>
        </w:rPr>
        <w:t>zvanja</w:t>
      </w:r>
      <w:r w:rsidR="00652230" w:rsidRPr="001B53A8">
        <w:rPr>
          <w:lang w:val="sr-Latn-BA"/>
        </w:rPr>
        <w:t xml:space="preserve"> </w:t>
      </w:r>
      <w:r w:rsidRPr="001B53A8">
        <w:rPr>
          <w:lang w:val="sr-Latn-BA"/>
        </w:rPr>
        <w:t>investicioni</w:t>
      </w:r>
      <w:r w:rsidR="00652230" w:rsidRPr="001B53A8">
        <w:rPr>
          <w:lang w:val="sr-Latn-BA"/>
        </w:rPr>
        <w:t xml:space="preserve"> </w:t>
      </w:r>
      <w:r w:rsidRPr="001B53A8">
        <w:rPr>
          <w:lang w:val="sr-Latn-BA"/>
        </w:rPr>
        <w:t>menadžer</w:t>
      </w:r>
    </w:p>
    <w:p w14:paraId="3BDDE533" w14:textId="3C33E061" w:rsidR="00C37211" w:rsidRDefault="00003F34" w:rsidP="00C37211">
      <w:pPr>
        <w:spacing w:line="240" w:lineRule="auto"/>
        <w:ind w:firstLine="567"/>
        <w:rPr>
          <w:lang w:val="sr-Latn-BA"/>
        </w:rPr>
      </w:pPr>
      <w:r w:rsidRPr="001B53A8">
        <w:rPr>
          <w:lang w:val="sr-Latn-BA"/>
        </w:rPr>
        <w:t>U</w:t>
      </w:r>
      <w:r w:rsidR="00C37211" w:rsidRPr="001B53A8">
        <w:rPr>
          <w:lang w:val="sr-Latn-BA"/>
        </w:rPr>
        <w:t xml:space="preserve"> </w:t>
      </w:r>
      <w:r w:rsidRPr="001B53A8">
        <w:rPr>
          <w:lang w:val="sr-Latn-BA"/>
        </w:rPr>
        <w:t>narednom</w:t>
      </w:r>
      <w:r w:rsidR="00C37211" w:rsidRPr="001B53A8">
        <w:rPr>
          <w:lang w:val="sr-Latn-BA"/>
        </w:rPr>
        <w:t xml:space="preserve"> </w:t>
      </w:r>
      <w:r w:rsidRPr="001B53A8">
        <w:rPr>
          <w:lang w:val="sr-Latn-BA"/>
        </w:rPr>
        <w:t>tabelarnom</w:t>
      </w:r>
      <w:r w:rsidR="00C37211" w:rsidRPr="001B53A8">
        <w:rPr>
          <w:lang w:val="sr-Latn-BA"/>
        </w:rPr>
        <w:t xml:space="preserve"> </w:t>
      </w:r>
      <w:r w:rsidRPr="001B53A8">
        <w:rPr>
          <w:lang w:val="sr-Latn-BA"/>
        </w:rPr>
        <w:t>pregledu</w:t>
      </w:r>
      <w:r w:rsidR="00C37211" w:rsidRPr="001B53A8">
        <w:rPr>
          <w:lang w:val="sr-Latn-BA"/>
        </w:rPr>
        <w:t xml:space="preserve"> </w:t>
      </w:r>
      <w:r w:rsidRPr="001B53A8">
        <w:rPr>
          <w:lang w:val="sr-Latn-BA"/>
        </w:rPr>
        <w:t>dati</w:t>
      </w:r>
      <w:r w:rsidR="00C37211" w:rsidRPr="001B53A8">
        <w:rPr>
          <w:lang w:val="sr-Latn-BA"/>
        </w:rPr>
        <w:t xml:space="preserve"> </w:t>
      </w:r>
      <w:r w:rsidRPr="001B53A8">
        <w:rPr>
          <w:lang w:val="sr-Latn-BA"/>
        </w:rPr>
        <w:t>su</w:t>
      </w:r>
      <w:r w:rsidR="00C37211" w:rsidRPr="001B53A8">
        <w:rPr>
          <w:lang w:val="sr-Latn-BA"/>
        </w:rPr>
        <w:t xml:space="preserve"> </w:t>
      </w:r>
      <w:r w:rsidRPr="001B53A8">
        <w:rPr>
          <w:lang w:val="sr-Latn-BA"/>
        </w:rPr>
        <w:t>pokazatelјi</w:t>
      </w:r>
      <w:r w:rsidR="00C37211" w:rsidRPr="001B53A8">
        <w:rPr>
          <w:lang w:val="sr-Latn-BA"/>
        </w:rPr>
        <w:t xml:space="preserve"> </w:t>
      </w:r>
      <w:r w:rsidRPr="001B53A8">
        <w:rPr>
          <w:lang w:val="sr-Latn-BA"/>
        </w:rPr>
        <w:t>o</w:t>
      </w:r>
      <w:r w:rsidR="00C37211" w:rsidRPr="001B53A8">
        <w:rPr>
          <w:lang w:val="sr-Latn-BA"/>
        </w:rPr>
        <w:t xml:space="preserve"> </w:t>
      </w:r>
      <w:r w:rsidRPr="001B53A8">
        <w:rPr>
          <w:lang w:val="sr-Latn-BA"/>
        </w:rPr>
        <w:t>postupcima</w:t>
      </w:r>
      <w:r w:rsidR="00C37211" w:rsidRPr="001B53A8">
        <w:rPr>
          <w:lang w:val="sr-Latn-BA"/>
        </w:rPr>
        <w:t xml:space="preserve"> </w:t>
      </w:r>
      <w:r w:rsidRPr="001B53A8">
        <w:rPr>
          <w:lang w:val="sr-Latn-BA"/>
        </w:rPr>
        <w:t>u</w:t>
      </w:r>
      <w:r w:rsidR="00C37211" w:rsidRPr="001B53A8">
        <w:rPr>
          <w:lang w:val="sr-Latn-BA"/>
        </w:rPr>
        <w:t xml:space="preserve"> </w:t>
      </w:r>
      <w:r w:rsidRPr="001B53A8">
        <w:rPr>
          <w:lang w:val="sr-Latn-BA"/>
        </w:rPr>
        <w:t>vezi</w:t>
      </w:r>
      <w:r w:rsidR="00C37211" w:rsidRPr="001B53A8">
        <w:rPr>
          <w:lang w:val="sr-Latn-BA"/>
        </w:rPr>
        <w:t xml:space="preserve"> </w:t>
      </w:r>
      <w:r w:rsidRPr="001B53A8">
        <w:rPr>
          <w:lang w:val="sr-Latn-BA"/>
        </w:rPr>
        <w:t>sa</w:t>
      </w:r>
      <w:r w:rsidR="00C37211" w:rsidRPr="001B53A8">
        <w:rPr>
          <w:lang w:val="sr-Latn-BA"/>
        </w:rPr>
        <w:t xml:space="preserve"> </w:t>
      </w:r>
      <w:r w:rsidRPr="001B53A8">
        <w:rPr>
          <w:lang w:val="sr-Latn-BA"/>
        </w:rPr>
        <w:t>dozvolama</w:t>
      </w:r>
      <w:r w:rsidR="00C37211" w:rsidRPr="001B53A8">
        <w:rPr>
          <w:lang w:val="sr-Latn-BA"/>
        </w:rPr>
        <w:t xml:space="preserve"> </w:t>
      </w:r>
      <w:r w:rsidRPr="001B53A8">
        <w:rPr>
          <w:lang w:val="sr-Latn-BA"/>
        </w:rPr>
        <w:t>fizičkim</w:t>
      </w:r>
      <w:r w:rsidR="00C37211" w:rsidRPr="001B53A8">
        <w:rPr>
          <w:lang w:val="sr-Latn-BA"/>
        </w:rPr>
        <w:t xml:space="preserve"> </w:t>
      </w:r>
      <w:r w:rsidRPr="001B53A8">
        <w:rPr>
          <w:lang w:val="sr-Latn-BA"/>
        </w:rPr>
        <w:t>licima</w:t>
      </w:r>
      <w:r w:rsidR="00C37211" w:rsidRPr="001B53A8">
        <w:rPr>
          <w:lang w:val="sr-Latn-BA"/>
        </w:rPr>
        <w:t xml:space="preserve"> </w:t>
      </w:r>
      <w:r w:rsidRPr="001B53A8">
        <w:rPr>
          <w:lang w:val="sr-Latn-BA"/>
        </w:rPr>
        <w:t>za</w:t>
      </w:r>
      <w:r w:rsidR="00C37211" w:rsidRPr="001B53A8">
        <w:rPr>
          <w:lang w:val="sr-Latn-BA"/>
        </w:rPr>
        <w:t xml:space="preserve"> </w:t>
      </w:r>
      <w:r w:rsidRPr="001B53A8">
        <w:rPr>
          <w:lang w:val="sr-Latn-BA"/>
        </w:rPr>
        <w:t>obavlјanje</w:t>
      </w:r>
      <w:r w:rsidR="00C37211" w:rsidRPr="001B53A8">
        <w:rPr>
          <w:lang w:val="sr-Latn-BA"/>
        </w:rPr>
        <w:t xml:space="preserve"> </w:t>
      </w:r>
      <w:r w:rsidRPr="001B53A8">
        <w:rPr>
          <w:lang w:val="sr-Latn-BA"/>
        </w:rPr>
        <w:t>poslova</w:t>
      </w:r>
      <w:r w:rsidR="00C37211" w:rsidRPr="001B53A8">
        <w:rPr>
          <w:lang w:val="sr-Latn-BA"/>
        </w:rPr>
        <w:t xml:space="preserve"> </w:t>
      </w:r>
      <w:r w:rsidRPr="001B53A8">
        <w:rPr>
          <w:lang w:val="sr-Latn-BA"/>
        </w:rPr>
        <w:t>sa</w:t>
      </w:r>
      <w:r w:rsidR="00C37211" w:rsidRPr="001B53A8">
        <w:rPr>
          <w:lang w:val="sr-Latn-BA"/>
        </w:rPr>
        <w:t xml:space="preserve"> </w:t>
      </w:r>
      <w:r w:rsidRPr="001B53A8">
        <w:rPr>
          <w:lang w:val="sr-Latn-BA"/>
        </w:rPr>
        <w:t>hartijama</w:t>
      </w:r>
      <w:r w:rsidR="00C37211" w:rsidRPr="001B53A8">
        <w:rPr>
          <w:lang w:val="sr-Latn-BA"/>
        </w:rPr>
        <w:t xml:space="preserve"> </w:t>
      </w:r>
      <w:r w:rsidRPr="001B53A8">
        <w:rPr>
          <w:lang w:val="sr-Latn-BA"/>
        </w:rPr>
        <w:t>od</w:t>
      </w:r>
      <w:r w:rsidR="00C37211" w:rsidRPr="001B53A8">
        <w:rPr>
          <w:lang w:val="sr-Latn-BA"/>
        </w:rPr>
        <w:t xml:space="preserve"> </w:t>
      </w:r>
      <w:r w:rsidRPr="001B53A8">
        <w:rPr>
          <w:lang w:val="sr-Latn-BA"/>
        </w:rPr>
        <w:t>vrijednosti</w:t>
      </w:r>
      <w:r w:rsidR="00C37211" w:rsidRPr="001B53A8">
        <w:rPr>
          <w:lang w:val="sr-Latn-BA"/>
        </w:rPr>
        <w:t>:</w:t>
      </w:r>
    </w:p>
    <w:p w14:paraId="2D33B3CB" w14:textId="33854252" w:rsidR="0035204D" w:rsidRDefault="0035204D" w:rsidP="00C37211">
      <w:pPr>
        <w:spacing w:line="240" w:lineRule="auto"/>
        <w:ind w:firstLine="567"/>
        <w:rPr>
          <w:lang w:val="sr-Latn-BA"/>
        </w:rPr>
      </w:pPr>
    </w:p>
    <w:p w14:paraId="1A4E19E2" w14:textId="4143C1A0" w:rsidR="0035204D" w:rsidRDefault="0035204D" w:rsidP="00C37211">
      <w:pPr>
        <w:spacing w:line="240" w:lineRule="auto"/>
        <w:ind w:firstLine="567"/>
        <w:rPr>
          <w:lang w:val="sr-Latn-BA"/>
        </w:rPr>
      </w:pPr>
    </w:p>
    <w:p w14:paraId="5F67FEC0" w14:textId="33A4ED9C" w:rsidR="0035204D" w:rsidRDefault="0035204D" w:rsidP="00C37211">
      <w:pPr>
        <w:spacing w:line="240" w:lineRule="auto"/>
        <w:ind w:firstLine="567"/>
        <w:rPr>
          <w:lang w:val="sr-Latn-BA"/>
        </w:rPr>
      </w:pPr>
    </w:p>
    <w:p w14:paraId="593C35B0" w14:textId="75E48DBB" w:rsidR="0035204D" w:rsidRDefault="0035204D" w:rsidP="00C37211">
      <w:pPr>
        <w:spacing w:line="240" w:lineRule="auto"/>
        <w:ind w:firstLine="567"/>
        <w:rPr>
          <w:lang w:val="sr-Latn-BA"/>
        </w:rPr>
      </w:pPr>
    </w:p>
    <w:p w14:paraId="5C1E353E" w14:textId="0DED8489" w:rsidR="0035204D" w:rsidRDefault="0035204D" w:rsidP="00C37211">
      <w:pPr>
        <w:spacing w:line="240" w:lineRule="auto"/>
        <w:ind w:firstLine="567"/>
        <w:rPr>
          <w:lang w:val="sr-Latn-BA"/>
        </w:rPr>
      </w:pPr>
    </w:p>
    <w:p w14:paraId="6C023CA8" w14:textId="2CDDDE69" w:rsidR="0035204D" w:rsidRDefault="0035204D" w:rsidP="00C37211">
      <w:pPr>
        <w:spacing w:line="240" w:lineRule="auto"/>
        <w:ind w:firstLine="567"/>
        <w:rPr>
          <w:lang w:val="sr-Latn-BA"/>
        </w:rPr>
      </w:pPr>
    </w:p>
    <w:p w14:paraId="56AA32D7" w14:textId="5A6D53FF" w:rsidR="0035204D" w:rsidRDefault="0035204D" w:rsidP="00C37211">
      <w:pPr>
        <w:spacing w:line="240" w:lineRule="auto"/>
        <w:ind w:firstLine="567"/>
        <w:rPr>
          <w:lang w:val="sr-Latn-BA"/>
        </w:rPr>
      </w:pPr>
    </w:p>
    <w:p w14:paraId="2F3C3B13" w14:textId="34B30EC9" w:rsidR="0035204D" w:rsidRDefault="0035204D" w:rsidP="00C37211">
      <w:pPr>
        <w:spacing w:line="240" w:lineRule="auto"/>
        <w:ind w:firstLine="567"/>
        <w:rPr>
          <w:lang w:val="sr-Latn-BA"/>
        </w:rPr>
      </w:pPr>
    </w:p>
    <w:p w14:paraId="544B086A" w14:textId="5D8EAAB7" w:rsidR="0035204D" w:rsidRDefault="0035204D" w:rsidP="00C37211">
      <w:pPr>
        <w:spacing w:line="240" w:lineRule="auto"/>
        <w:ind w:firstLine="567"/>
        <w:rPr>
          <w:lang w:val="sr-Latn-BA"/>
        </w:rPr>
      </w:pPr>
    </w:p>
    <w:p w14:paraId="45381103" w14:textId="77777777" w:rsidR="0035204D" w:rsidRPr="001B53A8" w:rsidRDefault="0035204D" w:rsidP="00C37211">
      <w:pPr>
        <w:spacing w:line="240" w:lineRule="auto"/>
        <w:ind w:firstLine="567"/>
        <w:rPr>
          <w:lang w:val="sr-Latn-BA"/>
        </w:rPr>
      </w:pPr>
    </w:p>
    <w:tbl>
      <w:tblPr>
        <w:tblStyle w:val="LightGrid-Accent11"/>
        <w:tblW w:w="8733" w:type="dxa"/>
        <w:jc w:val="center"/>
        <w:tblLayout w:type="fixed"/>
        <w:tblLook w:val="04A0" w:firstRow="1" w:lastRow="0" w:firstColumn="1" w:lastColumn="0" w:noHBand="0" w:noVBand="1"/>
      </w:tblPr>
      <w:tblGrid>
        <w:gridCol w:w="2268"/>
        <w:gridCol w:w="685"/>
        <w:gridCol w:w="722"/>
        <w:gridCol w:w="723"/>
        <w:gridCol w:w="722"/>
        <w:gridCol w:w="723"/>
        <w:gridCol w:w="722"/>
        <w:gridCol w:w="723"/>
        <w:gridCol w:w="722"/>
        <w:gridCol w:w="723"/>
      </w:tblGrid>
      <w:tr w:rsidR="00C37211" w:rsidRPr="001B53A8" w14:paraId="582326C4" w14:textId="77777777" w:rsidTr="00AE35A2">
        <w:trPr>
          <w:cnfStyle w:val="100000000000" w:firstRow="1" w:lastRow="0" w:firstColumn="0" w:lastColumn="0" w:oddVBand="0" w:evenVBand="0" w:oddHBand="0" w:evenHBand="0" w:firstRowFirstColumn="0" w:firstRowLastColumn="0" w:lastRowFirstColumn="0" w:lastRowLastColumn="0"/>
          <w:trHeight w:val="571"/>
          <w:jc w:val="center"/>
        </w:trPr>
        <w:tc>
          <w:tcPr>
            <w:cnfStyle w:val="001000000000" w:firstRow="0" w:lastRow="0" w:firstColumn="1" w:lastColumn="0" w:oddVBand="0" w:evenVBand="0" w:oddHBand="0" w:evenHBand="0" w:firstRowFirstColumn="0" w:firstRowLastColumn="0" w:lastRowFirstColumn="0" w:lastRowLastColumn="0"/>
            <w:tcW w:w="2268" w:type="dxa"/>
            <w:vMerge w:val="restart"/>
            <w:tcBorders>
              <w:tl2br w:val="single" w:sz="2" w:space="0" w:color="365F91" w:themeColor="accent1" w:themeShade="BF"/>
            </w:tcBorders>
          </w:tcPr>
          <w:p w14:paraId="09454402" w14:textId="77777777" w:rsidR="00C37211" w:rsidRPr="001B53A8" w:rsidRDefault="00C37211" w:rsidP="00C37211">
            <w:pPr>
              <w:pStyle w:val="ListParagraph"/>
              <w:spacing w:after="0" w:line="240" w:lineRule="auto"/>
              <w:ind w:left="0" w:firstLine="0"/>
              <w:contextualSpacing w:val="0"/>
              <w:jc w:val="right"/>
              <w:rPr>
                <w:rFonts w:ascii="Times New Roman" w:hAnsi="Times New Roman" w:cs="Times New Roman"/>
                <w:sz w:val="22"/>
                <w:szCs w:val="22"/>
                <w:lang w:val="sr-Latn-BA"/>
              </w:rPr>
            </w:pPr>
          </w:p>
          <w:p w14:paraId="414EA392" w14:textId="09661649" w:rsidR="00C37211" w:rsidRPr="001B53A8" w:rsidRDefault="00C37211" w:rsidP="005E1D59">
            <w:pPr>
              <w:pStyle w:val="ListParagraph"/>
              <w:spacing w:after="0" w:line="240" w:lineRule="auto"/>
              <w:ind w:left="0" w:right="176" w:firstLine="0"/>
              <w:contextualSpacing w:val="0"/>
              <w:jc w:val="right"/>
              <w:rPr>
                <w:rFonts w:ascii="Times New Roman" w:hAnsi="Times New Roman" w:cs="Times New Roman"/>
                <w:sz w:val="22"/>
                <w:szCs w:val="22"/>
                <w:lang w:val="sr-Latn-BA"/>
              </w:rPr>
            </w:pPr>
            <w:r w:rsidRPr="001B53A8">
              <w:rPr>
                <w:rFonts w:ascii="Times New Roman" w:hAnsi="Times New Roman" w:cs="Times New Roman"/>
                <w:sz w:val="22"/>
                <w:szCs w:val="22"/>
                <w:lang w:val="sr-Latn-BA"/>
              </w:rPr>
              <w:t xml:space="preserve">        </w:t>
            </w:r>
            <w:r w:rsidR="00003F34" w:rsidRPr="001B53A8">
              <w:rPr>
                <w:rFonts w:ascii="Times New Roman" w:hAnsi="Times New Roman" w:cs="Times New Roman"/>
                <w:sz w:val="22"/>
                <w:szCs w:val="22"/>
                <w:lang w:val="sr-Latn-BA"/>
              </w:rPr>
              <w:t>Vrste</w:t>
            </w:r>
            <w:r w:rsidRPr="001B53A8">
              <w:rPr>
                <w:rFonts w:ascii="Times New Roman" w:hAnsi="Times New Roman" w:cs="Times New Roman"/>
                <w:sz w:val="22"/>
                <w:szCs w:val="22"/>
                <w:lang w:val="sr-Latn-BA"/>
              </w:rPr>
              <w:t xml:space="preserve"> </w:t>
            </w:r>
            <w:r w:rsidR="00003F34" w:rsidRPr="001B53A8">
              <w:rPr>
                <w:rFonts w:ascii="Times New Roman" w:hAnsi="Times New Roman" w:cs="Times New Roman"/>
                <w:sz w:val="22"/>
                <w:szCs w:val="22"/>
                <w:lang w:val="sr-Latn-BA"/>
              </w:rPr>
              <w:t>dozvola</w:t>
            </w:r>
          </w:p>
          <w:p w14:paraId="00E5DD47" w14:textId="77777777" w:rsidR="00C37211" w:rsidRPr="001B53A8" w:rsidRDefault="00C37211" w:rsidP="00C37211">
            <w:pPr>
              <w:pStyle w:val="ListParagraph"/>
              <w:spacing w:after="0" w:line="240" w:lineRule="auto"/>
              <w:ind w:left="0" w:firstLine="0"/>
              <w:contextualSpacing w:val="0"/>
              <w:jc w:val="left"/>
              <w:rPr>
                <w:rFonts w:ascii="Times New Roman" w:hAnsi="Times New Roman" w:cs="Times New Roman"/>
                <w:sz w:val="22"/>
                <w:szCs w:val="22"/>
                <w:lang w:val="sr-Latn-BA"/>
              </w:rPr>
            </w:pPr>
          </w:p>
          <w:p w14:paraId="0D6699FA" w14:textId="77777777" w:rsidR="00C37211" w:rsidRPr="001B53A8" w:rsidRDefault="00C37211" w:rsidP="00C37211">
            <w:pPr>
              <w:pStyle w:val="ListParagraph"/>
              <w:spacing w:after="0" w:line="240" w:lineRule="auto"/>
              <w:ind w:left="0" w:firstLine="0"/>
              <w:contextualSpacing w:val="0"/>
              <w:jc w:val="left"/>
              <w:rPr>
                <w:rFonts w:ascii="Times New Roman" w:hAnsi="Times New Roman" w:cs="Times New Roman"/>
                <w:sz w:val="22"/>
                <w:szCs w:val="22"/>
                <w:lang w:val="sr-Latn-BA"/>
              </w:rPr>
            </w:pPr>
          </w:p>
          <w:p w14:paraId="2013FC8D" w14:textId="77777777" w:rsidR="005E1D59" w:rsidRPr="001B53A8" w:rsidRDefault="005E1D59" w:rsidP="00C37211">
            <w:pPr>
              <w:pStyle w:val="ListParagraph"/>
              <w:spacing w:after="0" w:line="240" w:lineRule="auto"/>
              <w:ind w:left="0" w:firstLine="0"/>
              <w:contextualSpacing w:val="0"/>
              <w:jc w:val="left"/>
              <w:rPr>
                <w:rFonts w:ascii="Times New Roman" w:hAnsi="Times New Roman" w:cs="Times New Roman"/>
                <w:sz w:val="22"/>
                <w:szCs w:val="22"/>
                <w:lang w:val="sr-Latn-BA"/>
              </w:rPr>
            </w:pPr>
          </w:p>
          <w:p w14:paraId="5467A755" w14:textId="4552A983" w:rsidR="005E1D59" w:rsidRPr="001B53A8" w:rsidRDefault="00003F34" w:rsidP="00C37211">
            <w:pPr>
              <w:pStyle w:val="ListParagraph"/>
              <w:spacing w:after="0" w:line="240" w:lineRule="auto"/>
              <w:ind w:left="0" w:firstLine="0"/>
              <w:contextualSpacing w:val="0"/>
              <w:jc w:val="left"/>
              <w:rPr>
                <w:rFonts w:ascii="Times New Roman" w:hAnsi="Times New Roman" w:cs="Times New Roman"/>
                <w:sz w:val="22"/>
                <w:szCs w:val="22"/>
                <w:lang w:val="sr-Latn-BA"/>
              </w:rPr>
            </w:pPr>
            <w:r w:rsidRPr="001B53A8">
              <w:rPr>
                <w:rFonts w:ascii="Times New Roman" w:hAnsi="Times New Roman" w:cs="Times New Roman"/>
                <w:sz w:val="22"/>
                <w:szCs w:val="22"/>
                <w:lang w:val="sr-Latn-BA"/>
              </w:rPr>
              <w:t>Izvještajni</w:t>
            </w:r>
          </w:p>
          <w:p w14:paraId="07F23011" w14:textId="006E302B" w:rsidR="00C37211" w:rsidRPr="001B53A8" w:rsidRDefault="00003F34" w:rsidP="005E1D59">
            <w:pPr>
              <w:pStyle w:val="ListParagraph"/>
              <w:spacing w:after="0" w:line="240" w:lineRule="auto"/>
              <w:ind w:left="284" w:hanging="284"/>
              <w:contextualSpacing w:val="0"/>
              <w:jc w:val="left"/>
              <w:rPr>
                <w:rFonts w:ascii="Times New Roman" w:hAnsi="Times New Roman" w:cs="Times New Roman"/>
                <w:sz w:val="22"/>
                <w:szCs w:val="22"/>
                <w:lang w:val="sr-Latn-BA"/>
              </w:rPr>
            </w:pPr>
            <w:r w:rsidRPr="001B53A8">
              <w:rPr>
                <w:rFonts w:ascii="Times New Roman" w:hAnsi="Times New Roman" w:cs="Times New Roman"/>
                <w:sz w:val="22"/>
                <w:szCs w:val="22"/>
                <w:lang w:val="sr-Latn-BA"/>
              </w:rPr>
              <w:t>period</w:t>
            </w:r>
          </w:p>
        </w:tc>
        <w:tc>
          <w:tcPr>
            <w:tcW w:w="2130" w:type="dxa"/>
            <w:gridSpan w:val="3"/>
            <w:tcBorders>
              <w:bottom w:val="single" w:sz="2" w:space="0" w:color="365F91" w:themeColor="accent1" w:themeShade="BF"/>
            </w:tcBorders>
          </w:tcPr>
          <w:p w14:paraId="712ABD49" w14:textId="311DA22C" w:rsidR="00C37211" w:rsidRPr="001B53A8" w:rsidRDefault="00003F34" w:rsidP="00C37211">
            <w:pPr>
              <w:pStyle w:val="ListParagraph"/>
              <w:spacing w:after="0" w:line="240" w:lineRule="auto"/>
              <w:ind w:left="0" w:firstLine="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Investicioni</w:t>
            </w:r>
            <w:r w:rsidR="00C37211"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menadžeri</w:t>
            </w:r>
          </w:p>
        </w:tc>
        <w:tc>
          <w:tcPr>
            <w:tcW w:w="2167" w:type="dxa"/>
            <w:gridSpan w:val="3"/>
            <w:tcBorders>
              <w:bottom w:val="single" w:sz="2" w:space="0" w:color="365F91" w:themeColor="accent1" w:themeShade="BF"/>
            </w:tcBorders>
          </w:tcPr>
          <w:p w14:paraId="0FAC93CE" w14:textId="6A04D37D" w:rsidR="00C37211" w:rsidRPr="001B53A8" w:rsidRDefault="00003F34" w:rsidP="00C37211">
            <w:pPr>
              <w:pStyle w:val="ListParagraph"/>
              <w:spacing w:after="0" w:line="240" w:lineRule="auto"/>
              <w:ind w:left="0" w:firstLine="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Brokeri</w:t>
            </w:r>
          </w:p>
        </w:tc>
        <w:tc>
          <w:tcPr>
            <w:tcW w:w="2168" w:type="dxa"/>
            <w:gridSpan w:val="3"/>
            <w:tcBorders>
              <w:bottom w:val="single" w:sz="2" w:space="0" w:color="365F91" w:themeColor="accent1" w:themeShade="BF"/>
            </w:tcBorders>
          </w:tcPr>
          <w:p w14:paraId="6AAF0A18" w14:textId="1A0C904F" w:rsidR="00C37211" w:rsidRPr="001B53A8" w:rsidRDefault="00003F34" w:rsidP="00C37211">
            <w:pPr>
              <w:pStyle w:val="ListParagraph"/>
              <w:spacing w:after="0" w:line="240" w:lineRule="auto"/>
              <w:ind w:left="0" w:firstLine="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Investicioni</w:t>
            </w:r>
            <w:r w:rsidR="00C37211" w:rsidRPr="001B53A8">
              <w:rPr>
                <w:rFonts w:ascii="Times New Roman" w:hAnsi="Times New Roman" w:cs="Times New Roman"/>
                <w:sz w:val="22"/>
                <w:szCs w:val="22"/>
                <w:lang w:val="sr-Latn-BA"/>
              </w:rPr>
              <w:t xml:space="preserve"> </w:t>
            </w:r>
            <w:r w:rsidRPr="001B53A8">
              <w:rPr>
                <w:rFonts w:ascii="Times New Roman" w:hAnsi="Times New Roman" w:cs="Times New Roman"/>
                <w:sz w:val="22"/>
                <w:szCs w:val="22"/>
                <w:lang w:val="sr-Latn-BA"/>
              </w:rPr>
              <w:t>savjetnici</w:t>
            </w:r>
          </w:p>
        </w:tc>
      </w:tr>
      <w:tr w:rsidR="00C37211" w:rsidRPr="001B53A8" w14:paraId="1189691E" w14:textId="77777777" w:rsidTr="00AE35A2">
        <w:trPr>
          <w:cnfStyle w:val="000000100000" w:firstRow="0" w:lastRow="0" w:firstColumn="0" w:lastColumn="0" w:oddVBand="0" w:evenVBand="0" w:oddHBand="1" w:evenHBand="0" w:firstRowFirstColumn="0" w:firstRowLastColumn="0" w:lastRowFirstColumn="0" w:lastRowLastColumn="0"/>
          <w:trHeight w:val="1385"/>
          <w:jc w:val="center"/>
        </w:trPr>
        <w:tc>
          <w:tcPr>
            <w:cnfStyle w:val="001000000000" w:firstRow="0" w:lastRow="0" w:firstColumn="1" w:lastColumn="0" w:oddVBand="0" w:evenVBand="0" w:oddHBand="0" w:evenHBand="0" w:firstRowFirstColumn="0" w:firstRowLastColumn="0" w:lastRowFirstColumn="0" w:lastRowLastColumn="0"/>
            <w:tcW w:w="2268" w:type="dxa"/>
            <w:vMerge/>
            <w:tcBorders>
              <w:bottom w:val="single" w:sz="18" w:space="0" w:color="365F91" w:themeColor="accent1" w:themeShade="BF"/>
            </w:tcBorders>
            <w:textDirection w:val="btLr"/>
          </w:tcPr>
          <w:p w14:paraId="57930432" w14:textId="77777777" w:rsidR="00C37211" w:rsidRPr="001B53A8" w:rsidRDefault="00C37211" w:rsidP="00C37211">
            <w:pPr>
              <w:pStyle w:val="ListParagraph"/>
              <w:spacing w:after="0" w:line="240" w:lineRule="auto"/>
              <w:ind w:left="113" w:right="113" w:firstLine="0"/>
              <w:contextualSpacing w:val="0"/>
              <w:jc w:val="center"/>
              <w:rPr>
                <w:rFonts w:ascii="Times New Roman" w:hAnsi="Times New Roman" w:cs="Times New Roman"/>
                <w:sz w:val="22"/>
                <w:szCs w:val="22"/>
                <w:lang w:val="sr-Latn-BA"/>
              </w:rPr>
            </w:pPr>
          </w:p>
        </w:tc>
        <w:tc>
          <w:tcPr>
            <w:tcW w:w="685" w:type="dxa"/>
            <w:tcBorders>
              <w:top w:val="single" w:sz="2" w:space="0" w:color="365F91" w:themeColor="accent1" w:themeShade="BF"/>
              <w:bottom w:val="single" w:sz="18" w:space="0" w:color="365F91" w:themeColor="accent1" w:themeShade="BF"/>
            </w:tcBorders>
            <w:shd w:val="clear" w:color="auto" w:fill="auto"/>
            <w:textDirection w:val="btLr"/>
          </w:tcPr>
          <w:p w14:paraId="3E14C795" w14:textId="72CED9DB" w:rsidR="00C37211" w:rsidRPr="001B53A8" w:rsidRDefault="00003F34"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nove</w:t>
            </w:r>
          </w:p>
        </w:tc>
        <w:tc>
          <w:tcPr>
            <w:tcW w:w="722" w:type="dxa"/>
            <w:tcBorders>
              <w:top w:val="single" w:sz="2" w:space="0" w:color="365F91" w:themeColor="accent1" w:themeShade="BF"/>
              <w:bottom w:val="single" w:sz="18" w:space="0" w:color="365F91" w:themeColor="accent1" w:themeShade="BF"/>
            </w:tcBorders>
            <w:shd w:val="clear" w:color="auto" w:fill="auto"/>
            <w:textDirection w:val="btLr"/>
          </w:tcPr>
          <w:p w14:paraId="3E397BAA" w14:textId="7D47EDE9" w:rsidR="00C37211" w:rsidRPr="001B53A8" w:rsidRDefault="00003F34"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produžene</w:t>
            </w:r>
          </w:p>
        </w:tc>
        <w:tc>
          <w:tcPr>
            <w:tcW w:w="723" w:type="dxa"/>
            <w:tcBorders>
              <w:top w:val="single" w:sz="2" w:space="0" w:color="365F91" w:themeColor="accent1" w:themeShade="BF"/>
              <w:bottom w:val="single" w:sz="18" w:space="0" w:color="365F91" w:themeColor="accent1" w:themeShade="BF"/>
            </w:tcBorders>
            <w:shd w:val="clear" w:color="auto" w:fill="auto"/>
            <w:textDirection w:val="btLr"/>
          </w:tcPr>
          <w:p w14:paraId="3E4A0F1C" w14:textId="5F53D527" w:rsidR="00C37211" w:rsidRPr="001B53A8" w:rsidRDefault="00003F34"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oduzete</w:t>
            </w:r>
          </w:p>
        </w:tc>
        <w:tc>
          <w:tcPr>
            <w:tcW w:w="722" w:type="dxa"/>
            <w:tcBorders>
              <w:top w:val="single" w:sz="2" w:space="0" w:color="365F91" w:themeColor="accent1" w:themeShade="BF"/>
              <w:bottom w:val="single" w:sz="18" w:space="0" w:color="365F91" w:themeColor="accent1" w:themeShade="BF"/>
            </w:tcBorders>
            <w:shd w:val="clear" w:color="auto" w:fill="auto"/>
            <w:textDirection w:val="btLr"/>
          </w:tcPr>
          <w:p w14:paraId="3A3283A8" w14:textId="0E722C61" w:rsidR="00C37211" w:rsidRPr="001B53A8" w:rsidRDefault="00003F34"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nove</w:t>
            </w:r>
          </w:p>
        </w:tc>
        <w:tc>
          <w:tcPr>
            <w:tcW w:w="723" w:type="dxa"/>
            <w:tcBorders>
              <w:top w:val="single" w:sz="2" w:space="0" w:color="365F91" w:themeColor="accent1" w:themeShade="BF"/>
              <w:bottom w:val="single" w:sz="18" w:space="0" w:color="365F91" w:themeColor="accent1" w:themeShade="BF"/>
            </w:tcBorders>
            <w:shd w:val="clear" w:color="auto" w:fill="auto"/>
            <w:textDirection w:val="btLr"/>
          </w:tcPr>
          <w:p w14:paraId="3EF19FBE" w14:textId="5F9362AE" w:rsidR="00C37211" w:rsidRPr="001B53A8" w:rsidRDefault="00003F34"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produžene</w:t>
            </w:r>
          </w:p>
        </w:tc>
        <w:tc>
          <w:tcPr>
            <w:tcW w:w="722" w:type="dxa"/>
            <w:tcBorders>
              <w:top w:val="single" w:sz="2" w:space="0" w:color="365F91" w:themeColor="accent1" w:themeShade="BF"/>
              <w:bottom w:val="single" w:sz="18" w:space="0" w:color="365F91" w:themeColor="accent1" w:themeShade="BF"/>
            </w:tcBorders>
            <w:shd w:val="clear" w:color="auto" w:fill="auto"/>
            <w:textDirection w:val="btLr"/>
          </w:tcPr>
          <w:p w14:paraId="568A2273" w14:textId="3BA8BEE6" w:rsidR="00C37211" w:rsidRPr="001B53A8" w:rsidRDefault="00003F34"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oduzete</w:t>
            </w:r>
          </w:p>
        </w:tc>
        <w:tc>
          <w:tcPr>
            <w:tcW w:w="723" w:type="dxa"/>
            <w:tcBorders>
              <w:top w:val="single" w:sz="2" w:space="0" w:color="365F91" w:themeColor="accent1" w:themeShade="BF"/>
              <w:bottom w:val="single" w:sz="18" w:space="0" w:color="365F91" w:themeColor="accent1" w:themeShade="BF"/>
            </w:tcBorders>
            <w:shd w:val="clear" w:color="auto" w:fill="auto"/>
            <w:textDirection w:val="btLr"/>
          </w:tcPr>
          <w:p w14:paraId="0C587B3C" w14:textId="2EAD2254" w:rsidR="00C37211" w:rsidRPr="001B53A8" w:rsidRDefault="00003F34"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nove</w:t>
            </w:r>
          </w:p>
        </w:tc>
        <w:tc>
          <w:tcPr>
            <w:tcW w:w="722" w:type="dxa"/>
            <w:tcBorders>
              <w:top w:val="single" w:sz="2" w:space="0" w:color="365F91" w:themeColor="accent1" w:themeShade="BF"/>
              <w:bottom w:val="single" w:sz="18" w:space="0" w:color="365F91" w:themeColor="accent1" w:themeShade="BF"/>
            </w:tcBorders>
            <w:shd w:val="clear" w:color="auto" w:fill="auto"/>
            <w:textDirection w:val="btLr"/>
          </w:tcPr>
          <w:p w14:paraId="397C5E07" w14:textId="2D6382E5" w:rsidR="00C37211" w:rsidRPr="001B53A8" w:rsidRDefault="00003F34"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produžene</w:t>
            </w:r>
          </w:p>
        </w:tc>
        <w:tc>
          <w:tcPr>
            <w:tcW w:w="723" w:type="dxa"/>
            <w:tcBorders>
              <w:top w:val="single" w:sz="2" w:space="0" w:color="365F91" w:themeColor="accent1" w:themeShade="BF"/>
              <w:bottom w:val="single" w:sz="18" w:space="0" w:color="365F91" w:themeColor="accent1" w:themeShade="BF"/>
            </w:tcBorders>
            <w:shd w:val="clear" w:color="auto" w:fill="auto"/>
            <w:textDirection w:val="btLr"/>
          </w:tcPr>
          <w:p w14:paraId="732FF2FA" w14:textId="0F2189F5" w:rsidR="00C37211" w:rsidRPr="001B53A8" w:rsidRDefault="00003F34"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oduzete</w:t>
            </w:r>
          </w:p>
        </w:tc>
      </w:tr>
      <w:tr w:rsidR="00C37211" w:rsidRPr="001B53A8" w14:paraId="18FEC2A3" w14:textId="77777777" w:rsidTr="00AE35A2">
        <w:trPr>
          <w:cnfStyle w:val="000000010000" w:firstRow="0" w:lastRow="0" w:firstColumn="0" w:lastColumn="0" w:oddVBand="0" w:evenVBand="0" w:oddHBand="0" w:evenHBand="1"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40ADE5D2" w14:textId="77777777" w:rsidR="00C37211" w:rsidRPr="001B53A8" w:rsidRDefault="00C37211" w:rsidP="00C37211">
            <w:pPr>
              <w:pStyle w:val="ListParagraph"/>
              <w:spacing w:after="0" w:line="240" w:lineRule="auto"/>
              <w:ind w:left="0" w:firstLine="0"/>
              <w:contextualSpacing w:val="0"/>
              <w:jc w:val="center"/>
              <w:rPr>
                <w:rFonts w:ascii="Times New Roman" w:hAnsi="Times New Roman" w:cs="Times New Roman"/>
                <w:sz w:val="22"/>
                <w:szCs w:val="22"/>
                <w:lang w:val="sr-Latn-BA"/>
              </w:rPr>
            </w:pPr>
            <w:r w:rsidRPr="001B53A8">
              <w:rPr>
                <w:rFonts w:ascii="Times New Roman" w:hAnsi="Times New Roman" w:cs="Times New Roman"/>
                <w:sz w:val="22"/>
                <w:szCs w:val="22"/>
                <w:lang w:val="sr-Latn-BA"/>
              </w:rPr>
              <w:t>2017.</w:t>
            </w:r>
          </w:p>
        </w:tc>
        <w:tc>
          <w:tcPr>
            <w:tcW w:w="685" w:type="dxa"/>
          </w:tcPr>
          <w:p w14:paraId="6A5690EA"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4</w:t>
            </w:r>
          </w:p>
        </w:tc>
        <w:tc>
          <w:tcPr>
            <w:tcW w:w="722" w:type="dxa"/>
          </w:tcPr>
          <w:p w14:paraId="160242DE"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4</w:t>
            </w:r>
          </w:p>
        </w:tc>
        <w:tc>
          <w:tcPr>
            <w:tcW w:w="723" w:type="dxa"/>
          </w:tcPr>
          <w:p w14:paraId="6FCBFAAA"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1</w:t>
            </w:r>
          </w:p>
        </w:tc>
        <w:tc>
          <w:tcPr>
            <w:tcW w:w="722" w:type="dxa"/>
          </w:tcPr>
          <w:p w14:paraId="7F5C388D"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6</w:t>
            </w:r>
          </w:p>
        </w:tc>
        <w:tc>
          <w:tcPr>
            <w:tcW w:w="723" w:type="dxa"/>
          </w:tcPr>
          <w:p w14:paraId="0FF26F8A"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4</w:t>
            </w:r>
          </w:p>
        </w:tc>
        <w:tc>
          <w:tcPr>
            <w:tcW w:w="722" w:type="dxa"/>
          </w:tcPr>
          <w:p w14:paraId="62ADAD6A"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1</w:t>
            </w:r>
          </w:p>
        </w:tc>
        <w:tc>
          <w:tcPr>
            <w:tcW w:w="723" w:type="dxa"/>
          </w:tcPr>
          <w:p w14:paraId="3BE2A2C2"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2</w:t>
            </w:r>
          </w:p>
        </w:tc>
        <w:tc>
          <w:tcPr>
            <w:tcW w:w="722" w:type="dxa"/>
          </w:tcPr>
          <w:p w14:paraId="008AD1DC"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0</w:t>
            </w:r>
          </w:p>
        </w:tc>
        <w:tc>
          <w:tcPr>
            <w:tcW w:w="723" w:type="dxa"/>
          </w:tcPr>
          <w:p w14:paraId="68A18F2E"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0</w:t>
            </w:r>
          </w:p>
        </w:tc>
      </w:tr>
      <w:tr w:rsidR="00C37211" w:rsidRPr="001B53A8" w14:paraId="43BA42E3" w14:textId="77777777" w:rsidTr="00AE35A2">
        <w:trPr>
          <w:cnfStyle w:val="000000100000" w:firstRow="0" w:lastRow="0" w:firstColumn="0" w:lastColumn="0" w:oddVBand="0" w:evenVBand="0" w:oddHBand="1" w:evenHBand="0"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007DADE0" w14:textId="77777777" w:rsidR="00C37211" w:rsidRPr="001B53A8" w:rsidRDefault="00C37211" w:rsidP="00C37211">
            <w:pPr>
              <w:pStyle w:val="ListParagraph"/>
              <w:spacing w:after="0" w:line="240" w:lineRule="auto"/>
              <w:ind w:left="0" w:firstLine="0"/>
              <w:contextualSpacing w:val="0"/>
              <w:jc w:val="center"/>
              <w:rPr>
                <w:rFonts w:ascii="Times New Roman" w:hAnsi="Times New Roman" w:cs="Times New Roman"/>
                <w:sz w:val="22"/>
                <w:szCs w:val="22"/>
                <w:lang w:val="sr-Latn-BA"/>
              </w:rPr>
            </w:pPr>
            <w:r w:rsidRPr="001B53A8">
              <w:rPr>
                <w:rFonts w:ascii="Times New Roman" w:hAnsi="Times New Roman" w:cs="Times New Roman"/>
                <w:sz w:val="22"/>
                <w:szCs w:val="22"/>
                <w:lang w:val="sr-Latn-BA"/>
              </w:rPr>
              <w:t>2018.</w:t>
            </w:r>
          </w:p>
        </w:tc>
        <w:tc>
          <w:tcPr>
            <w:tcW w:w="685" w:type="dxa"/>
          </w:tcPr>
          <w:p w14:paraId="708428DD" w14:textId="77777777" w:rsidR="00C37211" w:rsidRPr="001B53A8"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3</w:t>
            </w:r>
          </w:p>
        </w:tc>
        <w:tc>
          <w:tcPr>
            <w:tcW w:w="722" w:type="dxa"/>
          </w:tcPr>
          <w:p w14:paraId="192092DC" w14:textId="77777777" w:rsidR="00C37211" w:rsidRPr="001B53A8"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6</w:t>
            </w:r>
          </w:p>
        </w:tc>
        <w:tc>
          <w:tcPr>
            <w:tcW w:w="723" w:type="dxa"/>
          </w:tcPr>
          <w:p w14:paraId="11AEC86F" w14:textId="77777777" w:rsidR="00C37211" w:rsidRPr="001B53A8"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3</w:t>
            </w:r>
          </w:p>
        </w:tc>
        <w:tc>
          <w:tcPr>
            <w:tcW w:w="722" w:type="dxa"/>
          </w:tcPr>
          <w:p w14:paraId="794BFAE0" w14:textId="77777777" w:rsidR="00C37211" w:rsidRPr="001B53A8"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1</w:t>
            </w:r>
          </w:p>
        </w:tc>
        <w:tc>
          <w:tcPr>
            <w:tcW w:w="723" w:type="dxa"/>
          </w:tcPr>
          <w:p w14:paraId="72E4582F" w14:textId="77777777" w:rsidR="00C37211" w:rsidRPr="001B53A8"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2</w:t>
            </w:r>
          </w:p>
        </w:tc>
        <w:tc>
          <w:tcPr>
            <w:tcW w:w="722" w:type="dxa"/>
          </w:tcPr>
          <w:p w14:paraId="3D180A2C" w14:textId="77777777" w:rsidR="00C37211" w:rsidRPr="001B53A8"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2</w:t>
            </w:r>
          </w:p>
        </w:tc>
        <w:tc>
          <w:tcPr>
            <w:tcW w:w="723" w:type="dxa"/>
          </w:tcPr>
          <w:p w14:paraId="5E4B00A4" w14:textId="77777777" w:rsidR="00C37211" w:rsidRPr="001B53A8"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0</w:t>
            </w:r>
          </w:p>
        </w:tc>
        <w:tc>
          <w:tcPr>
            <w:tcW w:w="722" w:type="dxa"/>
          </w:tcPr>
          <w:p w14:paraId="7E64786E" w14:textId="77777777" w:rsidR="00C37211" w:rsidRPr="001B53A8"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1</w:t>
            </w:r>
          </w:p>
        </w:tc>
        <w:tc>
          <w:tcPr>
            <w:tcW w:w="723" w:type="dxa"/>
          </w:tcPr>
          <w:p w14:paraId="6F6D0088" w14:textId="77777777" w:rsidR="00C37211" w:rsidRPr="001B53A8"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0</w:t>
            </w:r>
          </w:p>
        </w:tc>
      </w:tr>
      <w:tr w:rsidR="00C37211" w:rsidRPr="001B53A8" w14:paraId="3A677A1A" w14:textId="77777777" w:rsidTr="00AE35A2">
        <w:trPr>
          <w:cnfStyle w:val="000000010000" w:firstRow="0" w:lastRow="0" w:firstColumn="0" w:lastColumn="0" w:oddVBand="0" w:evenVBand="0" w:oddHBand="0" w:evenHBand="1"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5BA4E471" w14:textId="77777777" w:rsidR="00C37211" w:rsidRPr="001B53A8" w:rsidRDefault="00C37211" w:rsidP="00C37211">
            <w:pPr>
              <w:pStyle w:val="ListParagraph"/>
              <w:spacing w:after="0" w:line="240" w:lineRule="auto"/>
              <w:ind w:left="0" w:firstLine="0"/>
              <w:contextualSpacing w:val="0"/>
              <w:jc w:val="center"/>
              <w:rPr>
                <w:rFonts w:ascii="Times New Roman" w:hAnsi="Times New Roman" w:cs="Times New Roman"/>
                <w:sz w:val="22"/>
                <w:szCs w:val="22"/>
                <w:lang w:val="sr-Latn-BA"/>
              </w:rPr>
            </w:pPr>
            <w:r w:rsidRPr="001B53A8">
              <w:rPr>
                <w:rFonts w:ascii="Times New Roman" w:hAnsi="Times New Roman" w:cs="Times New Roman"/>
                <w:sz w:val="22"/>
                <w:szCs w:val="22"/>
                <w:lang w:val="sr-Latn-BA"/>
              </w:rPr>
              <w:t>2019.</w:t>
            </w:r>
          </w:p>
        </w:tc>
        <w:tc>
          <w:tcPr>
            <w:tcW w:w="685" w:type="dxa"/>
          </w:tcPr>
          <w:p w14:paraId="5FDCA50E"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3</w:t>
            </w:r>
          </w:p>
        </w:tc>
        <w:tc>
          <w:tcPr>
            <w:tcW w:w="722" w:type="dxa"/>
          </w:tcPr>
          <w:p w14:paraId="2EB4FA68"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6</w:t>
            </w:r>
          </w:p>
        </w:tc>
        <w:tc>
          <w:tcPr>
            <w:tcW w:w="723" w:type="dxa"/>
          </w:tcPr>
          <w:p w14:paraId="6FF725F8"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2</w:t>
            </w:r>
          </w:p>
        </w:tc>
        <w:tc>
          <w:tcPr>
            <w:tcW w:w="722" w:type="dxa"/>
          </w:tcPr>
          <w:p w14:paraId="77789227"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2</w:t>
            </w:r>
          </w:p>
        </w:tc>
        <w:tc>
          <w:tcPr>
            <w:tcW w:w="723" w:type="dxa"/>
          </w:tcPr>
          <w:p w14:paraId="678BD422"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5</w:t>
            </w:r>
          </w:p>
        </w:tc>
        <w:tc>
          <w:tcPr>
            <w:tcW w:w="722" w:type="dxa"/>
          </w:tcPr>
          <w:p w14:paraId="7A5600D4"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1</w:t>
            </w:r>
          </w:p>
        </w:tc>
        <w:tc>
          <w:tcPr>
            <w:tcW w:w="723" w:type="dxa"/>
          </w:tcPr>
          <w:p w14:paraId="506AB51C"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0</w:t>
            </w:r>
          </w:p>
        </w:tc>
        <w:tc>
          <w:tcPr>
            <w:tcW w:w="722" w:type="dxa"/>
          </w:tcPr>
          <w:p w14:paraId="28B2C2D3"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2</w:t>
            </w:r>
          </w:p>
        </w:tc>
        <w:tc>
          <w:tcPr>
            <w:tcW w:w="723" w:type="dxa"/>
          </w:tcPr>
          <w:p w14:paraId="6CE8CF59"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0</w:t>
            </w:r>
          </w:p>
        </w:tc>
      </w:tr>
      <w:tr w:rsidR="00C37211" w:rsidRPr="001B53A8" w14:paraId="0C3AEABC" w14:textId="77777777" w:rsidTr="00AE35A2">
        <w:trPr>
          <w:cnfStyle w:val="000000100000" w:firstRow="0" w:lastRow="0" w:firstColumn="0" w:lastColumn="0" w:oddVBand="0" w:evenVBand="0" w:oddHBand="1" w:evenHBand="0"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2EC3F929" w14:textId="77777777" w:rsidR="00C37211" w:rsidRPr="001B53A8" w:rsidRDefault="00C37211" w:rsidP="00C37211">
            <w:pPr>
              <w:pStyle w:val="ListParagraph"/>
              <w:spacing w:after="0" w:line="240" w:lineRule="auto"/>
              <w:ind w:left="0" w:firstLine="0"/>
              <w:contextualSpacing w:val="0"/>
              <w:jc w:val="center"/>
              <w:rPr>
                <w:rFonts w:ascii="Times New Roman" w:hAnsi="Times New Roman" w:cs="Times New Roman"/>
                <w:sz w:val="22"/>
                <w:szCs w:val="22"/>
                <w:lang w:val="sr-Latn-BA"/>
              </w:rPr>
            </w:pPr>
            <w:r w:rsidRPr="001B53A8">
              <w:rPr>
                <w:rFonts w:ascii="Times New Roman" w:hAnsi="Times New Roman" w:cs="Times New Roman"/>
                <w:sz w:val="22"/>
                <w:szCs w:val="22"/>
                <w:lang w:val="sr-Latn-BA"/>
              </w:rPr>
              <w:t>2020.</w:t>
            </w:r>
          </w:p>
        </w:tc>
        <w:tc>
          <w:tcPr>
            <w:tcW w:w="685" w:type="dxa"/>
          </w:tcPr>
          <w:p w14:paraId="2F3A58D6" w14:textId="77777777" w:rsidR="00C37211" w:rsidRPr="001B53A8"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2</w:t>
            </w:r>
          </w:p>
        </w:tc>
        <w:tc>
          <w:tcPr>
            <w:tcW w:w="722" w:type="dxa"/>
          </w:tcPr>
          <w:p w14:paraId="6C6ED365" w14:textId="77777777" w:rsidR="00C37211" w:rsidRPr="001B53A8"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6</w:t>
            </w:r>
          </w:p>
        </w:tc>
        <w:tc>
          <w:tcPr>
            <w:tcW w:w="723" w:type="dxa"/>
          </w:tcPr>
          <w:p w14:paraId="72B0B8BB" w14:textId="77777777" w:rsidR="00C37211" w:rsidRPr="001B53A8"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0</w:t>
            </w:r>
          </w:p>
        </w:tc>
        <w:tc>
          <w:tcPr>
            <w:tcW w:w="722" w:type="dxa"/>
          </w:tcPr>
          <w:p w14:paraId="00ABE57C" w14:textId="77777777" w:rsidR="00C37211" w:rsidRPr="001B53A8"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2</w:t>
            </w:r>
          </w:p>
        </w:tc>
        <w:tc>
          <w:tcPr>
            <w:tcW w:w="723" w:type="dxa"/>
          </w:tcPr>
          <w:p w14:paraId="5D8F69C9" w14:textId="77777777" w:rsidR="00C37211" w:rsidRPr="001B53A8"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3</w:t>
            </w:r>
          </w:p>
        </w:tc>
        <w:tc>
          <w:tcPr>
            <w:tcW w:w="722" w:type="dxa"/>
          </w:tcPr>
          <w:p w14:paraId="61DA3682" w14:textId="77777777" w:rsidR="00C37211" w:rsidRPr="001B53A8"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0</w:t>
            </w:r>
          </w:p>
        </w:tc>
        <w:tc>
          <w:tcPr>
            <w:tcW w:w="723" w:type="dxa"/>
          </w:tcPr>
          <w:p w14:paraId="0B6A1383" w14:textId="77777777" w:rsidR="00C37211" w:rsidRPr="001B53A8"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1</w:t>
            </w:r>
          </w:p>
        </w:tc>
        <w:tc>
          <w:tcPr>
            <w:tcW w:w="722" w:type="dxa"/>
          </w:tcPr>
          <w:p w14:paraId="7F7B4CD9" w14:textId="77777777" w:rsidR="00C37211" w:rsidRPr="001B53A8"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1</w:t>
            </w:r>
          </w:p>
        </w:tc>
        <w:tc>
          <w:tcPr>
            <w:tcW w:w="723" w:type="dxa"/>
          </w:tcPr>
          <w:p w14:paraId="38400CE1" w14:textId="77777777" w:rsidR="00C37211" w:rsidRPr="001B53A8" w:rsidRDefault="00C37211" w:rsidP="00C37211">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0</w:t>
            </w:r>
          </w:p>
        </w:tc>
      </w:tr>
      <w:tr w:rsidR="00C37211" w:rsidRPr="001B53A8" w14:paraId="54CC53AF" w14:textId="77777777" w:rsidTr="00AE35A2">
        <w:trPr>
          <w:cnfStyle w:val="000000010000" w:firstRow="0" w:lastRow="0" w:firstColumn="0" w:lastColumn="0" w:oddVBand="0" w:evenVBand="0" w:oddHBand="0" w:evenHBand="1"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4B4BDD5A" w14:textId="1D71E9F5" w:rsidR="00C37211" w:rsidRPr="001B53A8" w:rsidRDefault="00C37211" w:rsidP="00C37211">
            <w:pPr>
              <w:pStyle w:val="ListParagraph"/>
              <w:spacing w:after="0" w:line="240" w:lineRule="auto"/>
              <w:ind w:left="0" w:firstLine="0"/>
              <w:contextualSpacing w:val="0"/>
              <w:jc w:val="center"/>
              <w:rPr>
                <w:rFonts w:ascii="Times New Roman" w:hAnsi="Times New Roman" w:cs="Times New Roman"/>
                <w:sz w:val="22"/>
                <w:szCs w:val="22"/>
                <w:lang w:val="sr-Latn-BA"/>
              </w:rPr>
            </w:pPr>
            <w:r w:rsidRPr="001B53A8">
              <w:rPr>
                <w:rFonts w:ascii="Times New Roman" w:hAnsi="Times New Roman" w:cs="Times New Roman"/>
                <w:sz w:val="22"/>
                <w:szCs w:val="22"/>
                <w:lang w:val="sr-Latn-BA"/>
              </w:rPr>
              <w:t>2021.</w:t>
            </w:r>
          </w:p>
        </w:tc>
        <w:tc>
          <w:tcPr>
            <w:tcW w:w="685" w:type="dxa"/>
          </w:tcPr>
          <w:p w14:paraId="3877A23C"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6</w:t>
            </w:r>
          </w:p>
        </w:tc>
        <w:tc>
          <w:tcPr>
            <w:tcW w:w="722" w:type="dxa"/>
          </w:tcPr>
          <w:p w14:paraId="609797C9"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6</w:t>
            </w:r>
          </w:p>
        </w:tc>
        <w:tc>
          <w:tcPr>
            <w:tcW w:w="723" w:type="dxa"/>
          </w:tcPr>
          <w:p w14:paraId="32A6D881"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1</w:t>
            </w:r>
          </w:p>
        </w:tc>
        <w:tc>
          <w:tcPr>
            <w:tcW w:w="722" w:type="dxa"/>
          </w:tcPr>
          <w:p w14:paraId="45CCA893"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2</w:t>
            </w:r>
          </w:p>
        </w:tc>
        <w:tc>
          <w:tcPr>
            <w:tcW w:w="723" w:type="dxa"/>
          </w:tcPr>
          <w:p w14:paraId="576BF5D4"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6</w:t>
            </w:r>
          </w:p>
        </w:tc>
        <w:tc>
          <w:tcPr>
            <w:tcW w:w="722" w:type="dxa"/>
          </w:tcPr>
          <w:p w14:paraId="63C2AB77"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0</w:t>
            </w:r>
          </w:p>
        </w:tc>
        <w:tc>
          <w:tcPr>
            <w:tcW w:w="723" w:type="dxa"/>
          </w:tcPr>
          <w:p w14:paraId="3E38F22F"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0</w:t>
            </w:r>
          </w:p>
        </w:tc>
        <w:tc>
          <w:tcPr>
            <w:tcW w:w="722" w:type="dxa"/>
          </w:tcPr>
          <w:p w14:paraId="29AFDBE1"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1</w:t>
            </w:r>
          </w:p>
        </w:tc>
        <w:tc>
          <w:tcPr>
            <w:tcW w:w="723" w:type="dxa"/>
          </w:tcPr>
          <w:p w14:paraId="5A93024E" w14:textId="77777777" w:rsidR="00C37211" w:rsidRPr="001B53A8" w:rsidRDefault="00C37211" w:rsidP="00C37211">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sz w:val="22"/>
                <w:szCs w:val="22"/>
                <w:lang w:val="sr-Latn-BA"/>
              </w:rPr>
              <w:t>0</w:t>
            </w:r>
          </w:p>
        </w:tc>
      </w:tr>
      <w:tr w:rsidR="000A0529" w:rsidRPr="001B53A8" w14:paraId="367ACA17" w14:textId="77777777" w:rsidTr="00FC63D2">
        <w:trPr>
          <w:cnfStyle w:val="000000100000" w:firstRow="0" w:lastRow="0" w:firstColumn="0" w:lastColumn="0" w:oddVBand="0" w:evenVBand="0" w:oddHBand="1" w:evenHBand="0"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1DE5BA34" w14:textId="5008AAC9" w:rsidR="000A0529" w:rsidRPr="001B53A8" w:rsidRDefault="000A0529" w:rsidP="000A0529">
            <w:pPr>
              <w:pStyle w:val="ListParagraph"/>
              <w:spacing w:after="0" w:line="240" w:lineRule="auto"/>
              <w:ind w:left="0" w:firstLine="0"/>
              <w:contextualSpacing w:val="0"/>
              <w:jc w:val="center"/>
              <w:rPr>
                <w:rFonts w:ascii="Times New Roman" w:hAnsi="Times New Roman" w:cs="Times New Roman"/>
                <w:sz w:val="22"/>
                <w:szCs w:val="22"/>
                <w:lang w:val="sr-Latn-BA"/>
              </w:rPr>
            </w:pPr>
            <w:r w:rsidRPr="001B53A8">
              <w:rPr>
                <w:rFonts w:ascii="Times New Roman" w:hAnsi="Times New Roman" w:cs="Times New Roman"/>
                <w:sz w:val="22"/>
                <w:szCs w:val="22"/>
                <w:lang w:val="sr-Latn-BA"/>
              </w:rPr>
              <w:t>2022.</w:t>
            </w:r>
          </w:p>
        </w:tc>
        <w:tc>
          <w:tcPr>
            <w:tcW w:w="685" w:type="dxa"/>
            <w:vAlign w:val="center"/>
          </w:tcPr>
          <w:p w14:paraId="1125286C" w14:textId="3E39713B" w:rsidR="000A0529" w:rsidRPr="001B53A8" w:rsidRDefault="000A0529" w:rsidP="000A0529">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lang w:val="sr-Latn-BA"/>
              </w:rPr>
              <w:t>5</w:t>
            </w:r>
          </w:p>
        </w:tc>
        <w:tc>
          <w:tcPr>
            <w:tcW w:w="722" w:type="dxa"/>
            <w:vAlign w:val="center"/>
          </w:tcPr>
          <w:p w14:paraId="598C6E4E" w14:textId="3CB9C218" w:rsidR="000A0529" w:rsidRPr="001B53A8" w:rsidRDefault="000A0529" w:rsidP="000A0529">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lang w:val="sr-Latn-BA"/>
              </w:rPr>
              <w:t>6</w:t>
            </w:r>
          </w:p>
        </w:tc>
        <w:tc>
          <w:tcPr>
            <w:tcW w:w="723" w:type="dxa"/>
            <w:vAlign w:val="center"/>
          </w:tcPr>
          <w:p w14:paraId="7B709394" w14:textId="3D57EE82" w:rsidR="000A0529" w:rsidRPr="001B53A8" w:rsidRDefault="000A0529" w:rsidP="000A0529">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lang w:val="sr-Latn-BA"/>
              </w:rPr>
              <w:t>3</w:t>
            </w:r>
          </w:p>
        </w:tc>
        <w:tc>
          <w:tcPr>
            <w:tcW w:w="722" w:type="dxa"/>
            <w:vAlign w:val="center"/>
          </w:tcPr>
          <w:p w14:paraId="28DA8E87" w14:textId="7165B842" w:rsidR="000A0529" w:rsidRPr="001B53A8" w:rsidRDefault="000A0529" w:rsidP="000A0529">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lang w:val="sr-Latn-BA"/>
              </w:rPr>
              <w:t>1</w:t>
            </w:r>
          </w:p>
        </w:tc>
        <w:tc>
          <w:tcPr>
            <w:tcW w:w="723" w:type="dxa"/>
            <w:vAlign w:val="center"/>
          </w:tcPr>
          <w:p w14:paraId="639A8AF6" w14:textId="665A9D4E" w:rsidR="000A0529" w:rsidRPr="001B53A8" w:rsidRDefault="000A0529" w:rsidP="000A0529">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lang w:val="sr-Latn-BA"/>
              </w:rPr>
              <w:t>4</w:t>
            </w:r>
          </w:p>
        </w:tc>
        <w:tc>
          <w:tcPr>
            <w:tcW w:w="722" w:type="dxa"/>
            <w:vAlign w:val="center"/>
          </w:tcPr>
          <w:p w14:paraId="3AD1E8DE" w14:textId="3D51B7BE" w:rsidR="000A0529" w:rsidRPr="001B53A8" w:rsidRDefault="000A0529" w:rsidP="000A0529">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lang w:val="sr-Latn-BA"/>
              </w:rPr>
              <w:t>0</w:t>
            </w:r>
          </w:p>
        </w:tc>
        <w:tc>
          <w:tcPr>
            <w:tcW w:w="723" w:type="dxa"/>
            <w:vAlign w:val="center"/>
          </w:tcPr>
          <w:p w14:paraId="21DF5CE6" w14:textId="0302B7EA" w:rsidR="000A0529" w:rsidRPr="001B53A8" w:rsidRDefault="000A0529" w:rsidP="000A0529">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lang w:val="sr-Latn-BA"/>
              </w:rPr>
              <w:t>0</w:t>
            </w:r>
          </w:p>
        </w:tc>
        <w:tc>
          <w:tcPr>
            <w:tcW w:w="722" w:type="dxa"/>
            <w:vAlign w:val="center"/>
          </w:tcPr>
          <w:p w14:paraId="10FBABA4" w14:textId="1A562EDA" w:rsidR="000A0529" w:rsidRPr="001B53A8" w:rsidRDefault="000A0529" w:rsidP="000A0529">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lang w:val="sr-Latn-BA"/>
              </w:rPr>
              <w:t>1</w:t>
            </w:r>
          </w:p>
        </w:tc>
        <w:tc>
          <w:tcPr>
            <w:tcW w:w="723" w:type="dxa"/>
            <w:vAlign w:val="center"/>
          </w:tcPr>
          <w:p w14:paraId="21F45C04" w14:textId="7750266E" w:rsidR="000A0529" w:rsidRPr="001B53A8" w:rsidRDefault="000A0529" w:rsidP="000A0529">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1B53A8">
              <w:rPr>
                <w:rFonts w:ascii="Times New Roman" w:hAnsi="Times New Roman" w:cs="Times New Roman"/>
                <w:lang w:val="sr-Latn-BA"/>
              </w:rPr>
              <w:t>0</w:t>
            </w:r>
          </w:p>
        </w:tc>
      </w:tr>
      <w:tr w:rsidR="00652230" w:rsidRPr="001B53A8" w14:paraId="5FC1EEC9" w14:textId="77777777" w:rsidTr="00003F34">
        <w:trPr>
          <w:cnfStyle w:val="000000010000" w:firstRow="0" w:lastRow="0" w:firstColumn="0" w:lastColumn="0" w:oddVBand="0" w:evenVBand="0" w:oddHBand="0" w:evenHBand="1"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07593D65" w14:textId="58E61C36" w:rsidR="00652230" w:rsidRPr="001B53A8" w:rsidRDefault="00652230" w:rsidP="00652230">
            <w:pPr>
              <w:pStyle w:val="ListParagraph"/>
              <w:spacing w:after="0" w:line="240" w:lineRule="auto"/>
              <w:ind w:left="0" w:firstLine="0"/>
              <w:contextualSpacing w:val="0"/>
              <w:jc w:val="center"/>
              <w:rPr>
                <w:rFonts w:ascii="Times New Roman" w:hAnsi="Times New Roman" w:cs="Times New Roman"/>
                <w:sz w:val="22"/>
                <w:szCs w:val="22"/>
                <w:lang w:val="sr-Latn-BA"/>
              </w:rPr>
            </w:pPr>
            <w:r w:rsidRPr="001B53A8">
              <w:rPr>
                <w:rFonts w:ascii="Times New Roman" w:hAnsi="Times New Roman" w:cs="Times New Roman"/>
                <w:sz w:val="22"/>
                <w:szCs w:val="22"/>
                <w:lang w:val="sr-Latn-BA"/>
              </w:rPr>
              <w:t>2023.</w:t>
            </w:r>
          </w:p>
        </w:tc>
        <w:tc>
          <w:tcPr>
            <w:tcW w:w="685" w:type="dxa"/>
          </w:tcPr>
          <w:p w14:paraId="05950670" w14:textId="19922301" w:rsidR="00652230" w:rsidRPr="001B53A8" w:rsidRDefault="00652230" w:rsidP="00652230">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1B53A8">
              <w:rPr>
                <w:rFonts w:ascii="Times New Roman" w:hAnsi="Times New Roman" w:cs="Times New Roman"/>
                <w:lang w:val="sr-Latn-BA"/>
              </w:rPr>
              <w:t>3</w:t>
            </w:r>
          </w:p>
        </w:tc>
        <w:tc>
          <w:tcPr>
            <w:tcW w:w="722" w:type="dxa"/>
          </w:tcPr>
          <w:p w14:paraId="4124B9C0" w14:textId="16559809" w:rsidR="00652230" w:rsidRPr="001B53A8" w:rsidRDefault="00652230" w:rsidP="00652230">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1B53A8">
              <w:rPr>
                <w:rFonts w:ascii="Times New Roman" w:hAnsi="Times New Roman" w:cs="Times New Roman"/>
                <w:lang w:val="sr-Latn-BA"/>
              </w:rPr>
              <w:t>6</w:t>
            </w:r>
          </w:p>
        </w:tc>
        <w:tc>
          <w:tcPr>
            <w:tcW w:w="723" w:type="dxa"/>
          </w:tcPr>
          <w:p w14:paraId="38F6C408" w14:textId="6CB64D5C" w:rsidR="00652230" w:rsidRPr="001B53A8" w:rsidRDefault="00652230" w:rsidP="00652230">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1B53A8">
              <w:rPr>
                <w:rFonts w:ascii="Times New Roman" w:hAnsi="Times New Roman" w:cs="Times New Roman"/>
                <w:lang w:val="sr-Latn-BA"/>
              </w:rPr>
              <w:t>2</w:t>
            </w:r>
          </w:p>
        </w:tc>
        <w:tc>
          <w:tcPr>
            <w:tcW w:w="722" w:type="dxa"/>
          </w:tcPr>
          <w:p w14:paraId="6DCB331B" w14:textId="28C2B630" w:rsidR="00652230" w:rsidRPr="001B53A8" w:rsidRDefault="00652230" w:rsidP="00652230">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1B53A8">
              <w:rPr>
                <w:rFonts w:ascii="Times New Roman" w:hAnsi="Times New Roman" w:cs="Times New Roman"/>
                <w:lang w:val="sr-Latn-BA"/>
              </w:rPr>
              <w:t>5</w:t>
            </w:r>
          </w:p>
        </w:tc>
        <w:tc>
          <w:tcPr>
            <w:tcW w:w="723" w:type="dxa"/>
          </w:tcPr>
          <w:p w14:paraId="27748899" w14:textId="50D41B57" w:rsidR="00652230" w:rsidRPr="001B53A8" w:rsidRDefault="00652230" w:rsidP="00652230">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1B53A8">
              <w:rPr>
                <w:rFonts w:ascii="Times New Roman" w:hAnsi="Times New Roman" w:cs="Times New Roman"/>
                <w:lang w:val="sr-Latn-BA"/>
              </w:rPr>
              <w:t>5</w:t>
            </w:r>
          </w:p>
        </w:tc>
        <w:tc>
          <w:tcPr>
            <w:tcW w:w="722" w:type="dxa"/>
          </w:tcPr>
          <w:p w14:paraId="3CA91DBD" w14:textId="7429B284" w:rsidR="00652230" w:rsidRPr="001B53A8" w:rsidRDefault="00652230" w:rsidP="00652230">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1B53A8">
              <w:rPr>
                <w:rFonts w:ascii="Times New Roman" w:hAnsi="Times New Roman" w:cs="Times New Roman"/>
                <w:lang w:val="sr-Latn-BA"/>
              </w:rPr>
              <w:t>4</w:t>
            </w:r>
          </w:p>
        </w:tc>
        <w:tc>
          <w:tcPr>
            <w:tcW w:w="723" w:type="dxa"/>
          </w:tcPr>
          <w:p w14:paraId="3EE6B26D" w14:textId="7EB270F4" w:rsidR="00652230" w:rsidRPr="001B53A8" w:rsidRDefault="00652230" w:rsidP="00652230">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1B53A8">
              <w:rPr>
                <w:rFonts w:ascii="Times New Roman" w:hAnsi="Times New Roman" w:cs="Times New Roman"/>
                <w:lang w:val="sr-Latn-BA"/>
              </w:rPr>
              <w:t>0</w:t>
            </w:r>
          </w:p>
        </w:tc>
        <w:tc>
          <w:tcPr>
            <w:tcW w:w="722" w:type="dxa"/>
          </w:tcPr>
          <w:p w14:paraId="3357E67A" w14:textId="1EA43C59" w:rsidR="00652230" w:rsidRPr="001B53A8" w:rsidRDefault="00652230" w:rsidP="00652230">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1B53A8">
              <w:rPr>
                <w:rFonts w:ascii="Times New Roman" w:hAnsi="Times New Roman" w:cs="Times New Roman"/>
                <w:lang w:val="sr-Latn-BA"/>
              </w:rPr>
              <w:t>1</w:t>
            </w:r>
          </w:p>
        </w:tc>
        <w:tc>
          <w:tcPr>
            <w:tcW w:w="723" w:type="dxa"/>
          </w:tcPr>
          <w:p w14:paraId="4E3198DB" w14:textId="1DABF7FA" w:rsidR="00652230" w:rsidRPr="001B53A8" w:rsidRDefault="00652230" w:rsidP="00652230">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1B53A8">
              <w:rPr>
                <w:rFonts w:ascii="Times New Roman" w:hAnsi="Times New Roman" w:cs="Times New Roman"/>
                <w:lang w:val="sr-Latn-BA"/>
              </w:rPr>
              <w:t>0</w:t>
            </w:r>
          </w:p>
        </w:tc>
      </w:tr>
    </w:tbl>
    <w:p w14:paraId="3DB34940" w14:textId="2701590D" w:rsidR="00C37211" w:rsidRPr="001B53A8" w:rsidRDefault="00003F34" w:rsidP="00C37211">
      <w:pPr>
        <w:pStyle w:val="ListParagraph"/>
        <w:tabs>
          <w:tab w:val="left" w:pos="1276"/>
        </w:tabs>
        <w:spacing w:after="0" w:line="240" w:lineRule="auto"/>
        <w:ind w:left="1276" w:hanging="1276"/>
        <w:contextualSpacing w:val="0"/>
        <w:rPr>
          <w:lang w:val="sr-Latn-BA"/>
        </w:rPr>
      </w:pPr>
      <w:r w:rsidRPr="001B53A8">
        <w:rPr>
          <w:b/>
          <w:lang w:val="sr-Latn-BA"/>
        </w:rPr>
        <w:t>Tabela</w:t>
      </w:r>
      <w:r w:rsidR="00C37211" w:rsidRPr="001B53A8">
        <w:rPr>
          <w:b/>
          <w:lang w:val="sr-Latn-BA"/>
        </w:rPr>
        <w:t xml:space="preserve"> </w:t>
      </w:r>
      <w:r w:rsidR="00C37211" w:rsidRPr="001B53A8">
        <w:rPr>
          <w:b/>
          <w:lang w:val="sr-Latn-BA"/>
        </w:rPr>
        <w:fldChar w:fldCharType="begin"/>
      </w:r>
      <w:r w:rsidR="00C37211" w:rsidRPr="001B53A8">
        <w:rPr>
          <w:b/>
          <w:lang w:val="sr-Latn-BA"/>
        </w:rPr>
        <w:instrText xml:space="preserve"> SEQ Табела \* ARABIC </w:instrText>
      </w:r>
      <w:r w:rsidR="00C37211" w:rsidRPr="001B53A8">
        <w:rPr>
          <w:b/>
          <w:lang w:val="sr-Latn-BA"/>
        </w:rPr>
        <w:fldChar w:fldCharType="separate"/>
      </w:r>
      <w:r w:rsidR="00E00890" w:rsidRPr="001B53A8">
        <w:rPr>
          <w:b/>
          <w:noProof/>
          <w:lang w:val="sr-Latn-BA"/>
        </w:rPr>
        <w:t>12</w:t>
      </w:r>
      <w:r w:rsidR="00C37211" w:rsidRPr="001B53A8">
        <w:rPr>
          <w:b/>
          <w:lang w:val="sr-Latn-BA"/>
        </w:rPr>
        <w:fldChar w:fldCharType="end"/>
      </w:r>
      <w:r w:rsidR="00C37211" w:rsidRPr="001B53A8">
        <w:rPr>
          <w:b/>
          <w:lang w:val="sr-Latn-BA"/>
        </w:rPr>
        <w:t>.</w:t>
      </w:r>
      <w:r w:rsidR="00C37211" w:rsidRPr="001B53A8">
        <w:rPr>
          <w:b/>
          <w:lang w:val="sr-Latn-BA"/>
        </w:rPr>
        <w:tab/>
      </w:r>
      <w:r w:rsidRPr="001B53A8">
        <w:rPr>
          <w:lang w:val="sr-Latn-BA"/>
        </w:rPr>
        <w:t>Aktivnosti</w:t>
      </w:r>
      <w:r w:rsidR="00C37211" w:rsidRPr="001B53A8">
        <w:rPr>
          <w:lang w:val="sr-Latn-BA"/>
        </w:rPr>
        <w:t xml:space="preserve"> </w:t>
      </w:r>
      <w:r w:rsidRPr="001B53A8">
        <w:rPr>
          <w:lang w:val="sr-Latn-BA"/>
        </w:rPr>
        <w:t>Komisije</w:t>
      </w:r>
      <w:r w:rsidR="00C37211" w:rsidRPr="001B53A8">
        <w:rPr>
          <w:lang w:val="sr-Latn-BA"/>
        </w:rPr>
        <w:t xml:space="preserve"> </w:t>
      </w:r>
      <w:r w:rsidRPr="001B53A8">
        <w:rPr>
          <w:lang w:val="sr-Latn-BA"/>
        </w:rPr>
        <w:t>u</w:t>
      </w:r>
      <w:r w:rsidR="00C37211" w:rsidRPr="001B53A8">
        <w:rPr>
          <w:lang w:val="sr-Latn-BA"/>
        </w:rPr>
        <w:t xml:space="preserve"> </w:t>
      </w:r>
      <w:r w:rsidRPr="001B53A8">
        <w:rPr>
          <w:lang w:val="sr-Latn-BA"/>
        </w:rPr>
        <w:t>vezi</w:t>
      </w:r>
      <w:r w:rsidR="00C37211" w:rsidRPr="001B53A8">
        <w:rPr>
          <w:lang w:val="sr-Latn-BA"/>
        </w:rPr>
        <w:t xml:space="preserve"> </w:t>
      </w:r>
      <w:r w:rsidRPr="001B53A8">
        <w:rPr>
          <w:lang w:val="sr-Latn-BA"/>
        </w:rPr>
        <w:t>sa</w:t>
      </w:r>
      <w:r w:rsidR="00C37211" w:rsidRPr="001B53A8">
        <w:rPr>
          <w:lang w:val="sr-Latn-BA"/>
        </w:rPr>
        <w:t xml:space="preserve"> </w:t>
      </w:r>
      <w:r w:rsidRPr="001B53A8">
        <w:rPr>
          <w:lang w:val="sr-Latn-BA"/>
        </w:rPr>
        <w:t>izdavanjem</w:t>
      </w:r>
      <w:r w:rsidR="00C37211" w:rsidRPr="001B53A8">
        <w:rPr>
          <w:lang w:val="sr-Latn-BA"/>
        </w:rPr>
        <w:t xml:space="preserve">, </w:t>
      </w:r>
      <w:r w:rsidRPr="001B53A8">
        <w:rPr>
          <w:lang w:val="sr-Latn-BA"/>
        </w:rPr>
        <w:t>produžavanjem</w:t>
      </w:r>
      <w:r w:rsidR="00C37211" w:rsidRPr="001B53A8">
        <w:rPr>
          <w:lang w:val="sr-Latn-BA"/>
        </w:rPr>
        <w:t xml:space="preserve"> </w:t>
      </w:r>
      <w:r w:rsidRPr="001B53A8">
        <w:rPr>
          <w:lang w:val="sr-Latn-BA"/>
        </w:rPr>
        <w:t>i</w:t>
      </w:r>
      <w:r w:rsidR="00C37211" w:rsidRPr="001B53A8">
        <w:rPr>
          <w:lang w:val="sr-Latn-BA"/>
        </w:rPr>
        <w:t xml:space="preserve"> </w:t>
      </w:r>
      <w:r w:rsidRPr="001B53A8">
        <w:rPr>
          <w:lang w:val="sr-Latn-BA"/>
        </w:rPr>
        <w:t>oduzimanjem</w:t>
      </w:r>
      <w:r w:rsidR="00C37211" w:rsidRPr="001B53A8">
        <w:rPr>
          <w:b/>
          <w:lang w:val="sr-Latn-BA"/>
        </w:rPr>
        <w:t xml:space="preserve"> </w:t>
      </w:r>
      <w:r w:rsidRPr="001B53A8">
        <w:rPr>
          <w:lang w:val="sr-Latn-BA"/>
        </w:rPr>
        <w:t>dozvola</w:t>
      </w:r>
      <w:r w:rsidR="00C37211" w:rsidRPr="001B53A8">
        <w:rPr>
          <w:lang w:val="sr-Latn-BA"/>
        </w:rPr>
        <w:t xml:space="preserve"> </w:t>
      </w:r>
      <w:r w:rsidRPr="001B53A8">
        <w:rPr>
          <w:lang w:val="sr-Latn-BA"/>
        </w:rPr>
        <w:t>za</w:t>
      </w:r>
      <w:r w:rsidR="00C37211" w:rsidRPr="001B53A8">
        <w:rPr>
          <w:lang w:val="sr-Latn-BA"/>
        </w:rPr>
        <w:t xml:space="preserve"> </w:t>
      </w:r>
      <w:r w:rsidRPr="001B53A8">
        <w:rPr>
          <w:lang w:val="sr-Latn-BA"/>
        </w:rPr>
        <w:t>obavlјanje</w:t>
      </w:r>
      <w:r w:rsidR="00C37211" w:rsidRPr="001B53A8">
        <w:rPr>
          <w:lang w:val="sr-Latn-BA"/>
        </w:rPr>
        <w:t xml:space="preserve"> </w:t>
      </w:r>
      <w:r w:rsidRPr="001B53A8">
        <w:rPr>
          <w:lang w:val="sr-Latn-BA"/>
        </w:rPr>
        <w:t>poslova</w:t>
      </w:r>
      <w:r w:rsidR="00C37211" w:rsidRPr="001B53A8">
        <w:rPr>
          <w:lang w:val="sr-Latn-BA"/>
        </w:rPr>
        <w:t xml:space="preserve"> </w:t>
      </w:r>
      <w:r w:rsidRPr="001B53A8">
        <w:rPr>
          <w:lang w:val="sr-Latn-BA"/>
        </w:rPr>
        <w:t>sa</w:t>
      </w:r>
      <w:r w:rsidR="00C37211" w:rsidRPr="001B53A8">
        <w:rPr>
          <w:lang w:val="sr-Latn-BA"/>
        </w:rPr>
        <w:t xml:space="preserve"> </w:t>
      </w:r>
      <w:r w:rsidRPr="001B53A8">
        <w:rPr>
          <w:lang w:val="sr-Latn-BA"/>
        </w:rPr>
        <w:t>hartijama</w:t>
      </w:r>
      <w:r w:rsidR="00C37211" w:rsidRPr="001B53A8">
        <w:rPr>
          <w:lang w:val="sr-Latn-BA"/>
        </w:rPr>
        <w:t xml:space="preserve"> </w:t>
      </w:r>
      <w:r w:rsidRPr="001B53A8">
        <w:rPr>
          <w:lang w:val="sr-Latn-BA"/>
        </w:rPr>
        <w:t>od</w:t>
      </w:r>
      <w:r w:rsidR="00C37211" w:rsidRPr="001B53A8">
        <w:rPr>
          <w:lang w:val="sr-Latn-BA"/>
        </w:rPr>
        <w:t xml:space="preserve"> </w:t>
      </w:r>
      <w:r w:rsidRPr="001B53A8">
        <w:rPr>
          <w:lang w:val="sr-Latn-BA"/>
        </w:rPr>
        <w:t>vrijednosti</w:t>
      </w:r>
      <w:r w:rsidR="00C37211" w:rsidRPr="001B53A8">
        <w:rPr>
          <w:lang w:val="sr-Latn-BA"/>
        </w:rPr>
        <w:t xml:space="preserve"> </w:t>
      </w:r>
      <w:r w:rsidRPr="001B53A8">
        <w:rPr>
          <w:lang w:val="sr-Latn-BA"/>
        </w:rPr>
        <w:t>u</w:t>
      </w:r>
      <w:r w:rsidR="00C37211" w:rsidRPr="001B53A8">
        <w:rPr>
          <w:lang w:val="sr-Latn-BA"/>
        </w:rPr>
        <w:t xml:space="preserve"> </w:t>
      </w:r>
      <w:r w:rsidRPr="001B53A8">
        <w:rPr>
          <w:lang w:val="sr-Latn-BA"/>
        </w:rPr>
        <w:t>periodu</w:t>
      </w:r>
      <w:r w:rsidR="00C37211" w:rsidRPr="001B53A8">
        <w:rPr>
          <w:lang w:val="sr-Latn-BA"/>
        </w:rPr>
        <w:t xml:space="preserve"> </w:t>
      </w:r>
      <w:r w:rsidRPr="001B53A8">
        <w:rPr>
          <w:lang w:val="sr-Latn-BA"/>
        </w:rPr>
        <w:t>od</w:t>
      </w:r>
      <w:r w:rsidR="00C37211" w:rsidRPr="001B53A8">
        <w:rPr>
          <w:lang w:val="sr-Latn-BA"/>
        </w:rPr>
        <w:t xml:space="preserve"> 201</w:t>
      </w:r>
      <w:r w:rsidR="000A0529" w:rsidRPr="001B53A8">
        <w:rPr>
          <w:lang w:val="sr-Latn-BA"/>
        </w:rPr>
        <w:t>7</w:t>
      </w:r>
      <w:r w:rsidR="00C37211" w:rsidRPr="001B53A8">
        <w:rPr>
          <w:lang w:val="sr-Latn-BA"/>
        </w:rPr>
        <w:t xml:space="preserve">. </w:t>
      </w:r>
      <w:r w:rsidRPr="001B53A8">
        <w:rPr>
          <w:lang w:val="sr-Latn-BA"/>
        </w:rPr>
        <w:t>do</w:t>
      </w:r>
      <w:r w:rsidR="00C37211" w:rsidRPr="001B53A8">
        <w:rPr>
          <w:lang w:val="sr-Latn-BA"/>
        </w:rPr>
        <w:t xml:space="preserve"> </w:t>
      </w:r>
      <w:r w:rsidR="00652230" w:rsidRPr="001B53A8">
        <w:rPr>
          <w:lang w:val="sr-Latn-BA"/>
        </w:rPr>
        <w:t>2023</w:t>
      </w:r>
      <w:r w:rsidR="00C37211" w:rsidRPr="001B53A8">
        <w:rPr>
          <w:lang w:val="sr-Latn-BA"/>
        </w:rPr>
        <w:t xml:space="preserve">. </w:t>
      </w:r>
      <w:r w:rsidRPr="001B53A8">
        <w:rPr>
          <w:lang w:val="sr-Latn-BA"/>
        </w:rPr>
        <w:t>godine</w:t>
      </w:r>
    </w:p>
    <w:p w14:paraId="5178ADED" w14:textId="54814600" w:rsidR="000255CC" w:rsidRPr="001B53A8" w:rsidRDefault="00003F34" w:rsidP="006B6E0C">
      <w:pPr>
        <w:pStyle w:val="Heading2"/>
        <w:spacing w:before="240" w:after="0" w:line="240" w:lineRule="auto"/>
        <w:ind w:left="578" w:hanging="578"/>
        <w:rPr>
          <w:rFonts w:ascii="Times New Roman" w:hAnsi="Times New Roman"/>
          <w:sz w:val="24"/>
          <w:lang w:val="sr-Latn-BA"/>
        </w:rPr>
      </w:pPr>
      <w:bookmarkStart w:id="66" w:name="_Toc167962116"/>
      <w:r w:rsidRPr="001B53A8">
        <w:rPr>
          <w:rFonts w:ascii="Times New Roman" w:hAnsi="Times New Roman"/>
          <w:sz w:val="24"/>
          <w:lang w:val="sr-Latn-BA"/>
        </w:rPr>
        <w:t>Izdavanje</w:t>
      </w:r>
      <w:r w:rsidR="000255CC" w:rsidRPr="001B53A8">
        <w:rPr>
          <w:rFonts w:ascii="Times New Roman" w:hAnsi="Times New Roman"/>
          <w:sz w:val="24"/>
          <w:lang w:val="sr-Latn-BA"/>
        </w:rPr>
        <w:t xml:space="preserve"> </w:t>
      </w:r>
      <w:r w:rsidRPr="001B53A8">
        <w:rPr>
          <w:rFonts w:ascii="Times New Roman" w:hAnsi="Times New Roman"/>
          <w:sz w:val="24"/>
          <w:lang w:val="sr-Latn-BA"/>
        </w:rPr>
        <w:t>dozvola</w:t>
      </w:r>
      <w:r w:rsidR="000255CC" w:rsidRPr="001B53A8">
        <w:rPr>
          <w:rFonts w:ascii="Times New Roman" w:hAnsi="Times New Roman"/>
          <w:sz w:val="24"/>
          <w:lang w:val="sr-Latn-BA"/>
        </w:rPr>
        <w:t xml:space="preserve"> </w:t>
      </w:r>
      <w:r w:rsidRPr="001B53A8">
        <w:rPr>
          <w:rFonts w:ascii="Times New Roman" w:hAnsi="Times New Roman"/>
          <w:sz w:val="24"/>
          <w:lang w:val="sr-Latn-BA"/>
        </w:rPr>
        <w:t>i</w:t>
      </w:r>
      <w:r w:rsidR="000255CC" w:rsidRPr="001B53A8">
        <w:rPr>
          <w:rFonts w:ascii="Times New Roman" w:hAnsi="Times New Roman"/>
          <w:sz w:val="24"/>
          <w:lang w:val="sr-Latn-BA"/>
        </w:rPr>
        <w:t xml:space="preserve"> </w:t>
      </w:r>
      <w:r w:rsidRPr="001B53A8">
        <w:rPr>
          <w:rFonts w:ascii="Times New Roman" w:hAnsi="Times New Roman"/>
          <w:sz w:val="24"/>
          <w:lang w:val="sr-Latn-BA"/>
        </w:rPr>
        <w:t>saglasnosti</w:t>
      </w:r>
      <w:r w:rsidR="000255CC" w:rsidRPr="001B53A8">
        <w:rPr>
          <w:rFonts w:ascii="Times New Roman" w:hAnsi="Times New Roman"/>
          <w:sz w:val="24"/>
          <w:lang w:val="sr-Latn-BA"/>
        </w:rPr>
        <w:t xml:space="preserve"> </w:t>
      </w:r>
      <w:r w:rsidRPr="001B53A8">
        <w:rPr>
          <w:rFonts w:ascii="Times New Roman" w:hAnsi="Times New Roman"/>
          <w:sz w:val="24"/>
          <w:lang w:val="sr-Latn-BA"/>
        </w:rPr>
        <w:t>učesnicima</w:t>
      </w:r>
      <w:r w:rsidR="000255CC" w:rsidRPr="001B53A8">
        <w:rPr>
          <w:rFonts w:ascii="Times New Roman" w:hAnsi="Times New Roman"/>
          <w:sz w:val="24"/>
          <w:lang w:val="sr-Latn-BA"/>
        </w:rPr>
        <w:t xml:space="preserve"> </w:t>
      </w:r>
      <w:r w:rsidRPr="001B53A8">
        <w:rPr>
          <w:rFonts w:ascii="Times New Roman" w:hAnsi="Times New Roman"/>
          <w:sz w:val="24"/>
          <w:lang w:val="sr-Latn-BA"/>
        </w:rPr>
        <w:t>na</w:t>
      </w:r>
      <w:r w:rsidR="000255CC" w:rsidRPr="001B53A8">
        <w:rPr>
          <w:rFonts w:ascii="Times New Roman" w:hAnsi="Times New Roman"/>
          <w:sz w:val="24"/>
          <w:lang w:val="sr-Latn-BA"/>
        </w:rPr>
        <w:t xml:space="preserve"> </w:t>
      </w:r>
      <w:r w:rsidRPr="001B53A8">
        <w:rPr>
          <w:rFonts w:ascii="Times New Roman" w:hAnsi="Times New Roman"/>
          <w:sz w:val="24"/>
          <w:lang w:val="sr-Latn-BA"/>
        </w:rPr>
        <w:t>tržištu</w:t>
      </w:r>
      <w:r w:rsidR="000255CC" w:rsidRPr="001B53A8">
        <w:rPr>
          <w:rFonts w:ascii="Times New Roman" w:hAnsi="Times New Roman"/>
          <w:sz w:val="24"/>
          <w:lang w:val="sr-Latn-BA"/>
        </w:rPr>
        <w:t xml:space="preserve"> </w:t>
      </w:r>
      <w:r w:rsidRPr="001B53A8">
        <w:rPr>
          <w:rFonts w:ascii="Times New Roman" w:hAnsi="Times New Roman"/>
          <w:sz w:val="24"/>
          <w:lang w:val="sr-Latn-BA"/>
        </w:rPr>
        <w:t>u</w:t>
      </w:r>
      <w:r w:rsidR="00E735DE" w:rsidRPr="001B53A8">
        <w:rPr>
          <w:rFonts w:ascii="Times New Roman" w:hAnsi="Times New Roman"/>
          <w:sz w:val="24"/>
          <w:lang w:val="sr-Latn-BA"/>
        </w:rPr>
        <w:t xml:space="preserve"> </w:t>
      </w:r>
      <w:r w:rsidRPr="001B53A8">
        <w:rPr>
          <w:rFonts w:ascii="Times New Roman" w:hAnsi="Times New Roman"/>
          <w:sz w:val="24"/>
          <w:lang w:val="sr-Latn-BA"/>
        </w:rPr>
        <w:t>skladu</w:t>
      </w:r>
      <w:r w:rsidR="00E735DE" w:rsidRPr="001B53A8">
        <w:rPr>
          <w:rFonts w:ascii="Times New Roman" w:hAnsi="Times New Roman"/>
          <w:sz w:val="24"/>
          <w:lang w:val="sr-Latn-BA"/>
        </w:rPr>
        <w:t xml:space="preserve"> </w:t>
      </w:r>
      <w:r w:rsidRPr="001B53A8">
        <w:rPr>
          <w:rFonts w:ascii="Times New Roman" w:hAnsi="Times New Roman"/>
          <w:sz w:val="24"/>
          <w:lang w:val="sr-Latn-BA"/>
        </w:rPr>
        <w:t>sa</w:t>
      </w:r>
      <w:r w:rsidR="00E735DE" w:rsidRPr="001B53A8">
        <w:rPr>
          <w:rFonts w:ascii="Times New Roman" w:hAnsi="Times New Roman"/>
          <w:sz w:val="24"/>
          <w:lang w:val="sr-Latn-BA"/>
        </w:rPr>
        <w:t xml:space="preserve"> </w:t>
      </w:r>
      <w:r w:rsidRPr="001B53A8">
        <w:rPr>
          <w:rFonts w:ascii="Times New Roman" w:hAnsi="Times New Roman"/>
          <w:sz w:val="24"/>
          <w:lang w:val="sr-Latn-BA"/>
        </w:rPr>
        <w:t>Zakonom</w:t>
      </w:r>
      <w:r w:rsidR="000255CC" w:rsidRPr="001B53A8">
        <w:rPr>
          <w:rFonts w:ascii="Times New Roman" w:hAnsi="Times New Roman"/>
          <w:sz w:val="24"/>
          <w:lang w:val="sr-Latn-BA"/>
        </w:rPr>
        <w:t xml:space="preserve"> </w:t>
      </w:r>
      <w:r w:rsidRPr="001B53A8">
        <w:rPr>
          <w:rFonts w:ascii="Times New Roman" w:hAnsi="Times New Roman"/>
          <w:sz w:val="24"/>
          <w:lang w:val="sr-Latn-BA"/>
        </w:rPr>
        <w:t>o</w:t>
      </w:r>
      <w:r w:rsidR="000255CC" w:rsidRPr="001B53A8">
        <w:rPr>
          <w:rFonts w:ascii="Times New Roman" w:hAnsi="Times New Roman"/>
          <w:sz w:val="24"/>
          <w:lang w:val="sr-Latn-BA"/>
        </w:rPr>
        <w:t xml:space="preserve"> </w:t>
      </w:r>
      <w:r w:rsidRPr="001B53A8">
        <w:rPr>
          <w:rFonts w:ascii="Times New Roman" w:hAnsi="Times New Roman"/>
          <w:sz w:val="24"/>
          <w:lang w:val="sr-Latn-BA"/>
        </w:rPr>
        <w:t>investicionim</w:t>
      </w:r>
      <w:r w:rsidR="000255CC" w:rsidRPr="001B53A8">
        <w:rPr>
          <w:rFonts w:ascii="Times New Roman" w:hAnsi="Times New Roman"/>
          <w:sz w:val="24"/>
          <w:lang w:val="sr-Latn-BA"/>
        </w:rPr>
        <w:t xml:space="preserve"> </w:t>
      </w:r>
      <w:r w:rsidRPr="001B53A8">
        <w:rPr>
          <w:rFonts w:ascii="Times New Roman" w:hAnsi="Times New Roman"/>
          <w:sz w:val="24"/>
          <w:lang w:val="sr-Latn-BA"/>
        </w:rPr>
        <w:t>fondovima</w:t>
      </w:r>
      <w:bookmarkEnd w:id="66"/>
    </w:p>
    <w:p w14:paraId="1DB54CBE" w14:textId="22AC9323" w:rsidR="00BC6DCF" w:rsidRPr="001B53A8" w:rsidRDefault="00003F34" w:rsidP="006B6E0C">
      <w:pPr>
        <w:spacing w:after="0" w:line="240" w:lineRule="auto"/>
        <w:ind w:firstLine="567"/>
        <w:rPr>
          <w:lang w:val="sr-Latn-BA"/>
        </w:rPr>
      </w:pPr>
      <w:r w:rsidRPr="001B53A8">
        <w:rPr>
          <w:lang w:val="sr-Latn-BA"/>
        </w:rPr>
        <w:t>U</w:t>
      </w:r>
      <w:r w:rsidR="00BC6DCF" w:rsidRPr="001B53A8">
        <w:rPr>
          <w:lang w:val="sr-Latn-BA"/>
        </w:rPr>
        <w:t xml:space="preserve"> </w:t>
      </w:r>
      <w:r w:rsidRPr="001B53A8">
        <w:rPr>
          <w:lang w:val="sr-Latn-BA"/>
        </w:rPr>
        <w:t>skladu</w:t>
      </w:r>
      <w:r w:rsidR="00BC6DCF" w:rsidRPr="001B53A8">
        <w:rPr>
          <w:lang w:val="sr-Latn-BA"/>
        </w:rPr>
        <w:t xml:space="preserve"> </w:t>
      </w:r>
      <w:r w:rsidRPr="001B53A8">
        <w:rPr>
          <w:lang w:val="sr-Latn-BA"/>
        </w:rPr>
        <w:t>sa</w:t>
      </w:r>
      <w:r w:rsidR="00BC6DCF" w:rsidRPr="001B53A8">
        <w:rPr>
          <w:lang w:val="sr-Latn-BA"/>
        </w:rPr>
        <w:t xml:space="preserve"> </w:t>
      </w:r>
      <w:r w:rsidRPr="001B53A8">
        <w:rPr>
          <w:lang w:val="sr-Latn-BA"/>
        </w:rPr>
        <w:t>nadležnostima</w:t>
      </w:r>
      <w:r w:rsidR="00BC6DCF" w:rsidRPr="001B53A8">
        <w:rPr>
          <w:lang w:val="sr-Latn-BA"/>
        </w:rPr>
        <w:t xml:space="preserve"> </w:t>
      </w:r>
      <w:r w:rsidRPr="001B53A8">
        <w:rPr>
          <w:lang w:val="sr-Latn-BA"/>
        </w:rPr>
        <w:t>i</w:t>
      </w:r>
      <w:r w:rsidR="00BC6DCF" w:rsidRPr="001B53A8">
        <w:rPr>
          <w:lang w:val="sr-Latn-BA"/>
        </w:rPr>
        <w:t xml:space="preserve"> </w:t>
      </w:r>
      <w:r w:rsidRPr="001B53A8">
        <w:rPr>
          <w:lang w:val="sr-Latn-BA"/>
        </w:rPr>
        <w:t>obavezama</w:t>
      </w:r>
      <w:r w:rsidR="00BC6DCF" w:rsidRPr="001B53A8">
        <w:rPr>
          <w:lang w:val="sr-Latn-BA"/>
        </w:rPr>
        <w:t xml:space="preserve"> </w:t>
      </w:r>
      <w:r w:rsidRPr="001B53A8">
        <w:rPr>
          <w:lang w:val="sr-Latn-BA"/>
        </w:rPr>
        <w:t>iz</w:t>
      </w:r>
      <w:r w:rsidR="00EF1648" w:rsidRPr="001B53A8">
        <w:rPr>
          <w:lang w:val="sr-Latn-BA"/>
        </w:rPr>
        <w:t xml:space="preserve"> </w:t>
      </w:r>
      <w:r w:rsidRPr="001B53A8">
        <w:rPr>
          <w:lang w:val="sr-Latn-BA"/>
        </w:rPr>
        <w:t>Zakon</w:t>
      </w:r>
      <w:r w:rsidR="00EF1648" w:rsidRPr="001B53A8">
        <w:rPr>
          <w:lang w:val="sr-Latn-BA"/>
        </w:rPr>
        <w:t xml:space="preserve">a </w:t>
      </w:r>
      <w:r w:rsidRPr="001B53A8">
        <w:rPr>
          <w:lang w:val="sr-Latn-BA"/>
        </w:rPr>
        <w:t>o</w:t>
      </w:r>
      <w:r w:rsidR="00EF1648" w:rsidRPr="001B53A8">
        <w:rPr>
          <w:lang w:val="sr-Latn-BA"/>
        </w:rPr>
        <w:t xml:space="preserve"> </w:t>
      </w:r>
      <w:r w:rsidRPr="001B53A8">
        <w:rPr>
          <w:lang w:val="sr-Latn-BA"/>
        </w:rPr>
        <w:t>investicionim</w:t>
      </w:r>
      <w:r w:rsidR="00EF1648" w:rsidRPr="001B53A8">
        <w:rPr>
          <w:lang w:val="sr-Latn-BA"/>
        </w:rPr>
        <w:t xml:space="preserve"> </w:t>
      </w:r>
      <w:r w:rsidRPr="001B53A8">
        <w:rPr>
          <w:lang w:val="sr-Latn-BA"/>
        </w:rPr>
        <w:t>fondovima</w:t>
      </w:r>
      <w:r w:rsidR="00EF1648" w:rsidRPr="001B53A8">
        <w:rPr>
          <w:lang w:val="sr-Latn-BA"/>
        </w:rPr>
        <w:t xml:space="preserve">, </w:t>
      </w:r>
      <w:r w:rsidRPr="001B53A8">
        <w:rPr>
          <w:lang w:val="sr-Latn-BA"/>
        </w:rPr>
        <w:t>Komisija</w:t>
      </w:r>
      <w:r w:rsidR="00EF1648" w:rsidRPr="001B53A8">
        <w:rPr>
          <w:lang w:val="sr-Latn-BA"/>
        </w:rPr>
        <w:t xml:space="preserve"> </w:t>
      </w:r>
      <w:r w:rsidRPr="001B53A8">
        <w:rPr>
          <w:lang w:val="sr-Latn-BA"/>
        </w:rPr>
        <w:t>je</w:t>
      </w:r>
      <w:r w:rsidR="00EF1648" w:rsidRPr="001B53A8">
        <w:rPr>
          <w:lang w:val="sr-Latn-BA"/>
        </w:rPr>
        <w:t xml:space="preserve"> </w:t>
      </w:r>
      <w:r w:rsidRPr="001B53A8">
        <w:rPr>
          <w:lang w:val="sr-Latn-BA"/>
        </w:rPr>
        <w:t>donijela</w:t>
      </w:r>
      <w:r w:rsidR="00EF1648" w:rsidRPr="001B53A8">
        <w:rPr>
          <w:lang w:val="sr-Latn-BA"/>
        </w:rPr>
        <w:t xml:space="preserve"> </w:t>
      </w:r>
      <w:r w:rsidRPr="001B53A8">
        <w:rPr>
          <w:lang w:val="sr-Latn-BA"/>
        </w:rPr>
        <w:t>slјedeća</w:t>
      </w:r>
      <w:r w:rsidR="00EF1648" w:rsidRPr="001B53A8">
        <w:rPr>
          <w:lang w:val="sr-Latn-BA"/>
        </w:rPr>
        <w:t xml:space="preserve"> </w:t>
      </w:r>
      <w:r w:rsidRPr="001B53A8">
        <w:rPr>
          <w:lang w:val="sr-Latn-BA"/>
        </w:rPr>
        <w:t>podzakonska</w:t>
      </w:r>
      <w:r w:rsidR="00EF1648" w:rsidRPr="001B53A8">
        <w:rPr>
          <w:lang w:val="sr-Latn-BA"/>
        </w:rPr>
        <w:t xml:space="preserve"> </w:t>
      </w:r>
      <w:r w:rsidRPr="001B53A8">
        <w:rPr>
          <w:lang w:val="sr-Latn-BA"/>
        </w:rPr>
        <w:t>akta</w:t>
      </w:r>
      <w:r w:rsidR="00BC6DCF" w:rsidRPr="001B53A8">
        <w:rPr>
          <w:lang w:val="sr-Latn-BA"/>
        </w:rPr>
        <w:t>:</w:t>
      </w:r>
    </w:p>
    <w:p w14:paraId="6E61451B" w14:textId="12CDCE32" w:rsidR="008A4294" w:rsidRPr="001B53A8" w:rsidRDefault="00003F34" w:rsidP="008A4294">
      <w:pPr>
        <w:pStyle w:val="ListParagraph"/>
        <w:numPr>
          <w:ilvl w:val="0"/>
          <w:numId w:val="5"/>
        </w:numPr>
        <w:spacing w:before="0" w:after="0" w:line="240" w:lineRule="auto"/>
        <w:rPr>
          <w:lang w:val="sr-Latn-BA"/>
        </w:rPr>
      </w:pPr>
      <w:r w:rsidRPr="001B53A8">
        <w:rPr>
          <w:lang w:val="sr-Latn-BA"/>
        </w:rPr>
        <w:t>Pravilnik</w:t>
      </w:r>
      <w:r w:rsidR="008A4294" w:rsidRPr="001B53A8">
        <w:rPr>
          <w:lang w:val="sr-Latn-BA"/>
        </w:rPr>
        <w:t xml:space="preserve"> </w:t>
      </w:r>
      <w:r w:rsidRPr="001B53A8">
        <w:rPr>
          <w:lang w:val="sr-Latn-BA"/>
        </w:rPr>
        <w:t>o</w:t>
      </w:r>
      <w:r w:rsidR="008A4294" w:rsidRPr="001B53A8">
        <w:rPr>
          <w:lang w:val="sr-Latn-BA"/>
        </w:rPr>
        <w:t xml:space="preserve"> </w:t>
      </w:r>
      <w:r w:rsidRPr="001B53A8">
        <w:rPr>
          <w:lang w:val="sr-Latn-BA"/>
        </w:rPr>
        <w:t>sadržaju</w:t>
      </w:r>
      <w:r w:rsidR="008A4294" w:rsidRPr="001B53A8">
        <w:rPr>
          <w:lang w:val="sr-Latn-BA"/>
        </w:rPr>
        <w:t xml:space="preserve">, </w:t>
      </w:r>
      <w:r w:rsidRPr="001B53A8">
        <w:rPr>
          <w:lang w:val="sr-Latn-BA"/>
        </w:rPr>
        <w:t>rokovima</w:t>
      </w:r>
      <w:r w:rsidR="008A4294" w:rsidRPr="001B53A8">
        <w:rPr>
          <w:lang w:val="sr-Latn-BA"/>
        </w:rPr>
        <w:t xml:space="preserve"> </w:t>
      </w:r>
      <w:r w:rsidRPr="001B53A8">
        <w:rPr>
          <w:lang w:val="sr-Latn-BA"/>
        </w:rPr>
        <w:t>i</w:t>
      </w:r>
      <w:r w:rsidR="008A4294" w:rsidRPr="001B53A8">
        <w:rPr>
          <w:lang w:val="sr-Latn-BA"/>
        </w:rPr>
        <w:t xml:space="preserve"> </w:t>
      </w:r>
      <w:r w:rsidRPr="001B53A8">
        <w:rPr>
          <w:lang w:val="sr-Latn-BA"/>
        </w:rPr>
        <w:t>obliku</w:t>
      </w:r>
      <w:r w:rsidR="008A4294" w:rsidRPr="001B53A8">
        <w:rPr>
          <w:lang w:val="sr-Latn-BA"/>
        </w:rPr>
        <w:t xml:space="preserve"> </w:t>
      </w:r>
      <w:r w:rsidRPr="001B53A8">
        <w:rPr>
          <w:lang w:val="sr-Latn-BA"/>
        </w:rPr>
        <w:t>izvještaja</w:t>
      </w:r>
      <w:r w:rsidR="008A4294" w:rsidRPr="001B53A8">
        <w:rPr>
          <w:lang w:val="sr-Latn-BA"/>
        </w:rPr>
        <w:t xml:space="preserve"> </w:t>
      </w:r>
      <w:r w:rsidRPr="001B53A8">
        <w:rPr>
          <w:lang w:val="sr-Latn-BA"/>
        </w:rPr>
        <w:t>investicionih</w:t>
      </w:r>
      <w:r w:rsidR="008A4294" w:rsidRPr="001B53A8">
        <w:rPr>
          <w:lang w:val="sr-Latn-BA"/>
        </w:rPr>
        <w:t xml:space="preserve"> </w:t>
      </w:r>
      <w:r w:rsidRPr="001B53A8">
        <w:rPr>
          <w:lang w:val="sr-Latn-BA"/>
        </w:rPr>
        <w:t>fondova</w:t>
      </w:r>
      <w:r w:rsidR="008A4294" w:rsidRPr="001B53A8">
        <w:rPr>
          <w:lang w:val="sr-Latn-BA"/>
        </w:rPr>
        <w:t xml:space="preserve">, </w:t>
      </w:r>
      <w:r w:rsidRPr="001B53A8">
        <w:rPr>
          <w:lang w:val="sr-Latn-BA"/>
        </w:rPr>
        <w:t>društva</w:t>
      </w:r>
      <w:r w:rsidR="008A4294" w:rsidRPr="001B53A8">
        <w:rPr>
          <w:lang w:val="sr-Latn-BA"/>
        </w:rPr>
        <w:t xml:space="preserve"> </w:t>
      </w:r>
      <w:r w:rsidRPr="001B53A8">
        <w:rPr>
          <w:lang w:val="sr-Latn-BA"/>
        </w:rPr>
        <w:t>za</w:t>
      </w:r>
      <w:r w:rsidR="008A4294" w:rsidRPr="001B53A8">
        <w:rPr>
          <w:lang w:val="sr-Latn-BA"/>
        </w:rPr>
        <w:t xml:space="preserve"> </w:t>
      </w:r>
      <w:r w:rsidRPr="001B53A8">
        <w:rPr>
          <w:lang w:val="sr-Latn-BA"/>
        </w:rPr>
        <w:t>upravlјanje</w:t>
      </w:r>
      <w:r w:rsidR="008A4294" w:rsidRPr="001B53A8">
        <w:rPr>
          <w:lang w:val="sr-Latn-BA"/>
        </w:rPr>
        <w:t xml:space="preserve"> </w:t>
      </w:r>
      <w:r w:rsidRPr="001B53A8">
        <w:rPr>
          <w:lang w:val="sr-Latn-BA"/>
        </w:rPr>
        <w:t>investicionim</w:t>
      </w:r>
      <w:r w:rsidR="008A4294" w:rsidRPr="001B53A8">
        <w:rPr>
          <w:lang w:val="sr-Latn-BA"/>
        </w:rPr>
        <w:t xml:space="preserve"> </w:t>
      </w:r>
      <w:r w:rsidRPr="001B53A8">
        <w:rPr>
          <w:lang w:val="sr-Latn-BA"/>
        </w:rPr>
        <w:t>fondovima</w:t>
      </w:r>
      <w:r w:rsidR="008A4294" w:rsidRPr="001B53A8">
        <w:rPr>
          <w:lang w:val="sr-Latn-BA"/>
        </w:rPr>
        <w:t xml:space="preserve"> </w:t>
      </w:r>
      <w:r w:rsidRPr="001B53A8">
        <w:rPr>
          <w:lang w:val="sr-Latn-BA"/>
        </w:rPr>
        <w:t>i</w:t>
      </w:r>
      <w:r w:rsidR="008A4294" w:rsidRPr="001B53A8">
        <w:rPr>
          <w:lang w:val="sr-Latn-BA"/>
        </w:rPr>
        <w:t xml:space="preserve"> </w:t>
      </w:r>
      <w:r w:rsidRPr="001B53A8">
        <w:rPr>
          <w:lang w:val="sr-Latn-BA"/>
        </w:rPr>
        <w:t>banke</w:t>
      </w:r>
      <w:r w:rsidR="008A4294" w:rsidRPr="001B53A8">
        <w:rPr>
          <w:lang w:val="sr-Latn-BA"/>
        </w:rPr>
        <w:t xml:space="preserve"> </w:t>
      </w:r>
      <w:r w:rsidRPr="001B53A8">
        <w:rPr>
          <w:lang w:val="sr-Latn-BA"/>
        </w:rPr>
        <w:t>depozitara</w:t>
      </w:r>
      <w:r w:rsidR="008A4294" w:rsidRPr="001B53A8">
        <w:rPr>
          <w:lang w:val="sr-Latn-BA"/>
        </w:rPr>
        <w:t>,</w:t>
      </w:r>
    </w:p>
    <w:p w14:paraId="24A50303" w14:textId="572EB318" w:rsidR="008A4294" w:rsidRPr="001B53A8" w:rsidRDefault="00003F34" w:rsidP="008A4294">
      <w:pPr>
        <w:pStyle w:val="ListParagraph"/>
        <w:numPr>
          <w:ilvl w:val="0"/>
          <w:numId w:val="5"/>
        </w:numPr>
        <w:spacing w:before="0" w:after="0" w:line="240" w:lineRule="auto"/>
        <w:rPr>
          <w:lang w:val="sr-Latn-BA"/>
        </w:rPr>
      </w:pPr>
      <w:r w:rsidRPr="001B53A8">
        <w:rPr>
          <w:lang w:val="sr-Latn-BA"/>
        </w:rPr>
        <w:t>Pravilnik</w:t>
      </w:r>
      <w:r w:rsidR="008A4294" w:rsidRPr="001B53A8">
        <w:rPr>
          <w:lang w:val="sr-Latn-BA"/>
        </w:rPr>
        <w:t xml:space="preserve"> </w:t>
      </w:r>
      <w:r w:rsidRPr="001B53A8">
        <w:rPr>
          <w:lang w:val="sr-Latn-BA"/>
        </w:rPr>
        <w:t>o</w:t>
      </w:r>
      <w:r w:rsidR="008A4294" w:rsidRPr="001B53A8">
        <w:rPr>
          <w:lang w:val="sr-Latn-BA"/>
        </w:rPr>
        <w:t xml:space="preserve"> </w:t>
      </w:r>
      <w:r w:rsidRPr="001B53A8">
        <w:rPr>
          <w:lang w:val="sr-Latn-BA"/>
        </w:rPr>
        <w:t>uslovima</w:t>
      </w:r>
      <w:r w:rsidR="008A4294" w:rsidRPr="001B53A8">
        <w:rPr>
          <w:lang w:val="sr-Latn-BA"/>
        </w:rPr>
        <w:t xml:space="preserve">, </w:t>
      </w:r>
      <w:r w:rsidRPr="001B53A8">
        <w:rPr>
          <w:lang w:val="sr-Latn-BA"/>
        </w:rPr>
        <w:t>načinu</w:t>
      </w:r>
      <w:r w:rsidR="008A4294" w:rsidRPr="001B53A8">
        <w:rPr>
          <w:lang w:val="sr-Latn-BA"/>
        </w:rPr>
        <w:t xml:space="preserve"> </w:t>
      </w:r>
      <w:r w:rsidRPr="001B53A8">
        <w:rPr>
          <w:lang w:val="sr-Latn-BA"/>
        </w:rPr>
        <w:t>sticanja</w:t>
      </w:r>
      <w:r w:rsidR="008A4294" w:rsidRPr="001B53A8">
        <w:rPr>
          <w:lang w:val="sr-Latn-BA"/>
        </w:rPr>
        <w:t xml:space="preserve"> </w:t>
      </w:r>
      <w:r w:rsidRPr="001B53A8">
        <w:rPr>
          <w:lang w:val="sr-Latn-BA"/>
        </w:rPr>
        <w:t>i</w:t>
      </w:r>
      <w:r w:rsidR="008A4294" w:rsidRPr="001B53A8">
        <w:rPr>
          <w:lang w:val="sr-Latn-BA"/>
        </w:rPr>
        <w:t xml:space="preserve"> </w:t>
      </w:r>
      <w:r w:rsidRPr="001B53A8">
        <w:rPr>
          <w:lang w:val="sr-Latn-BA"/>
        </w:rPr>
        <w:t>priznavanju</w:t>
      </w:r>
      <w:r w:rsidR="008A4294" w:rsidRPr="001B53A8">
        <w:rPr>
          <w:lang w:val="sr-Latn-BA"/>
        </w:rPr>
        <w:t xml:space="preserve"> </w:t>
      </w:r>
      <w:r w:rsidRPr="001B53A8">
        <w:rPr>
          <w:lang w:val="sr-Latn-BA"/>
        </w:rPr>
        <w:t>ovlašćenja</w:t>
      </w:r>
      <w:r w:rsidR="008A4294" w:rsidRPr="001B53A8">
        <w:rPr>
          <w:lang w:val="sr-Latn-BA"/>
        </w:rPr>
        <w:t xml:space="preserve"> </w:t>
      </w:r>
      <w:r w:rsidRPr="001B53A8">
        <w:rPr>
          <w:lang w:val="sr-Latn-BA"/>
        </w:rPr>
        <w:t>za</w:t>
      </w:r>
      <w:r w:rsidR="008A4294" w:rsidRPr="001B53A8">
        <w:rPr>
          <w:lang w:val="sr-Latn-BA"/>
        </w:rPr>
        <w:t xml:space="preserve"> </w:t>
      </w:r>
      <w:r w:rsidRPr="001B53A8">
        <w:rPr>
          <w:lang w:val="sr-Latn-BA"/>
        </w:rPr>
        <w:t>prodaju</w:t>
      </w:r>
      <w:r w:rsidR="008A4294" w:rsidRPr="001B53A8">
        <w:rPr>
          <w:lang w:val="sr-Latn-BA"/>
        </w:rPr>
        <w:t xml:space="preserve"> </w:t>
      </w:r>
      <w:r w:rsidRPr="001B53A8">
        <w:rPr>
          <w:lang w:val="sr-Latn-BA"/>
        </w:rPr>
        <w:t>akcija</w:t>
      </w:r>
      <w:r w:rsidR="008A4294" w:rsidRPr="001B53A8">
        <w:rPr>
          <w:lang w:val="sr-Latn-BA"/>
        </w:rPr>
        <w:t xml:space="preserve"> </w:t>
      </w:r>
      <w:r w:rsidRPr="001B53A8">
        <w:rPr>
          <w:lang w:val="sr-Latn-BA"/>
        </w:rPr>
        <w:t>ili</w:t>
      </w:r>
      <w:r w:rsidR="008A4294" w:rsidRPr="001B53A8">
        <w:rPr>
          <w:lang w:val="sr-Latn-BA"/>
        </w:rPr>
        <w:t xml:space="preserve"> </w:t>
      </w:r>
      <w:r w:rsidRPr="001B53A8">
        <w:rPr>
          <w:lang w:val="sr-Latn-BA"/>
        </w:rPr>
        <w:t>udjela</w:t>
      </w:r>
      <w:r w:rsidR="008A4294" w:rsidRPr="001B53A8">
        <w:rPr>
          <w:lang w:val="sr-Latn-BA"/>
        </w:rPr>
        <w:t xml:space="preserve"> </w:t>
      </w:r>
      <w:r w:rsidRPr="001B53A8">
        <w:rPr>
          <w:lang w:val="sr-Latn-BA"/>
        </w:rPr>
        <w:t>u</w:t>
      </w:r>
      <w:r w:rsidR="008A4294" w:rsidRPr="001B53A8">
        <w:rPr>
          <w:lang w:val="sr-Latn-BA"/>
        </w:rPr>
        <w:t xml:space="preserve"> </w:t>
      </w:r>
      <w:r w:rsidRPr="001B53A8">
        <w:rPr>
          <w:lang w:val="sr-Latn-BA"/>
        </w:rPr>
        <w:t>investicionim</w:t>
      </w:r>
      <w:r w:rsidR="008A4294" w:rsidRPr="001B53A8">
        <w:rPr>
          <w:lang w:val="sr-Latn-BA"/>
        </w:rPr>
        <w:t xml:space="preserve"> </w:t>
      </w:r>
      <w:r w:rsidRPr="001B53A8">
        <w:rPr>
          <w:lang w:val="sr-Latn-BA"/>
        </w:rPr>
        <w:t>fondovima</w:t>
      </w:r>
      <w:r w:rsidR="008A4294" w:rsidRPr="001B53A8">
        <w:rPr>
          <w:lang w:val="sr-Latn-BA"/>
        </w:rPr>
        <w:t xml:space="preserve"> </w:t>
      </w:r>
      <w:r w:rsidRPr="001B53A8">
        <w:rPr>
          <w:lang w:val="sr-Latn-BA"/>
        </w:rPr>
        <w:t>s</w:t>
      </w:r>
      <w:r w:rsidR="008A4294" w:rsidRPr="001B53A8">
        <w:rPr>
          <w:lang w:val="sr-Latn-BA"/>
        </w:rPr>
        <w:t xml:space="preserve"> </w:t>
      </w:r>
      <w:r w:rsidRPr="001B53A8">
        <w:rPr>
          <w:lang w:val="sr-Latn-BA"/>
        </w:rPr>
        <w:t>javnom</w:t>
      </w:r>
      <w:r w:rsidR="008A4294" w:rsidRPr="001B53A8">
        <w:rPr>
          <w:lang w:val="sr-Latn-BA"/>
        </w:rPr>
        <w:t xml:space="preserve"> </w:t>
      </w:r>
      <w:r w:rsidRPr="001B53A8">
        <w:rPr>
          <w:lang w:val="sr-Latn-BA"/>
        </w:rPr>
        <w:t>ponudom</w:t>
      </w:r>
      <w:r w:rsidR="008A4294" w:rsidRPr="001B53A8">
        <w:rPr>
          <w:lang w:val="sr-Latn-BA"/>
        </w:rPr>
        <w:t xml:space="preserve">, </w:t>
      </w:r>
    </w:p>
    <w:p w14:paraId="69715AA3" w14:textId="07D81C14" w:rsidR="008A4294" w:rsidRPr="001B53A8" w:rsidRDefault="00003F34" w:rsidP="008A4294">
      <w:pPr>
        <w:pStyle w:val="ListParagraph"/>
        <w:numPr>
          <w:ilvl w:val="0"/>
          <w:numId w:val="5"/>
        </w:numPr>
        <w:spacing w:before="0" w:after="0" w:line="240" w:lineRule="auto"/>
        <w:rPr>
          <w:lang w:val="sr-Latn-BA"/>
        </w:rPr>
      </w:pPr>
      <w:r w:rsidRPr="001B53A8">
        <w:rPr>
          <w:lang w:val="sr-Latn-BA"/>
        </w:rPr>
        <w:t>Pravilnik</w:t>
      </w:r>
      <w:r w:rsidR="008A4294" w:rsidRPr="001B53A8">
        <w:rPr>
          <w:lang w:val="sr-Latn-BA"/>
        </w:rPr>
        <w:t xml:space="preserve"> </w:t>
      </w:r>
      <w:r w:rsidRPr="001B53A8">
        <w:rPr>
          <w:lang w:val="sr-Latn-BA"/>
        </w:rPr>
        <w:t>o</w:t>
      </w:r>
      <w:r w:rsidR="008A4294" w:rsidRPr="001B53A8">
        <w:rPr>
          <w:lang w:val="sr-Latn-BA"/>
        </w:rPr>
        <w:t xml:space="preserve"> </w:t>
      </w:r>
      <w:r w:rsidRPr="001B53A8">
        <w:rPr>
          <w:lang w:val="sr-Latn-BA"/>
        </w:rPr>
        <w:t>promociji</w:t>
      </w:r>
      <w:r w:rsidR="008A4294" w:rsidRPr="001B53A8">
        <w:rPr>
          <w:lang w:val="sr-Latn-BA"/>
        </w:rPr>
        <w:t xml:space="preserve"> </w:t>
      </w:r>
      <w:r w:rsidRPr="001B53A8">
        <w:rPr>
          <w:lang w:val="sr-Latn-BA"/>
        </w:rPr>
        <w:t>investicionih</w:t>
      </w:r>
      <w:r w:rsidR="008A4294" w:rsidRPr="001B53A8">
        <w:rPr>
          <w:lang w:val="sr-Latn-BA"/>
        </w:rPr>
        <w:t xml:space="preserve"> </w:t>
      </w:r>
      <w:r w:rsidRPr="001B53A8">
        <w:rPr>
          <w:lang w:val="sr-Latn-BA"/>
        </w:rPr>
        <w:t>fondova</w:t>
      </w:r>
      <w:r w:rsidR="008A4294" w:rsidRPr="001B53A8">
        <w:rPr>
          <w:lang w:val="sr-Latn-BA"/>
        </w:rPr>
        <w:t xml:space="preserve"> </w:t>
      </w:r>
      <w:r w:rsidRPr="001B53A8">
        <w:rPr>
          <w:lang w:val="sr-Latn-BA"/>
        </w:rPr>
        <w:t>sa</w:t>
      </w:r>
      <w:r w:rsidR="008A4294" w:rsidRPr="001B53A8">
        <w:rPr>
          <w:lang w:val="sr-Latn-BA"/>
        </w:rPr>
        <w:t xml:space="preserve"> </w:t>
      </w:r>
      <w:r w:rsidRPr="001B53A8">
        <w:rPr>
          <w:lang w:val="sr-Latn-BA"/>
        </w:rPr>
        <w:t>javnom</w:t>
      </w:r>
      <w:r w:rsidR="008A4294" w:rsidRPr="001B53A8">
        <w:rPr>
          <w:lang w:val="sr-Latn-BA"/>
        </w:rPr>
        <w:t xml:space="preserve"> </w:t>
      </w:r>
      <w:r w:rsidRPr="001B53A8">
        <w:rPr>
          <w:lang w:val="sr-Latn-BA"/>
        </w:rPr>
        <w:t>ponudom</w:t>
      </w:r>
      <w:r w:rsidR="008A4294" w:rsidRPr="001B53A8">
        <w:rPr>
          <w:lang w:val="sr-Latn-BA"/>
        </w:rPr>
        <w:t>,</w:t>
      </w:r>
    </w:p>
    <w:p w14:paraId="3CAF032B" w14:textId="5DDE9D57" w:rsidR="008A4294" w:rsidRPr="001B53A8" w:rsidRDefault="00003F34" w:rsidP="008A4294">
      <w:pPr>
        <w:pStyle w:val="ListParagraph"/>
        <w:numPr>
          <w:ilvl w:val="0"/>
          <w:numId w:val="5"/>
        </w:numPr>
        <w:spacing w:before="0" w:after="0" w:line="240" w:lineRule="auto"/>
        <w:rPr>
          <w:lang w:val="sr-Latn-BA"/>
        </w:rPr>
      </w:pPr>
      <w:r w:rsidRPr="001B53A8">
        <w:rPr>
          <w:lang w:val="sr-Latn-BA"/>
        </w:rPr>
        <w:t>Pravilnik</w:t>
      </w:r>
      <w:r w:rsidR="008A4294" w:rsidRPr="001B53A8">
        <w:rPr>
          <w:lang w:val="sr-Latn-BA"/>
        </w:rPr>
        <w:t xml:space="preserve"> </w:t>
      </w:r>
      <w:r w:rsidRPr="001B53A8">
        <w:rPr>
          <w:lang w:val="sr-Latn-BA"/>
        </w:rPr>
        <w:t>o</w:t>
      </w:r>
      <w:r w:rsidR="008A4294" w:rsidRPr="001B53A8">
        <w:rPr>
          <w:lang w:val="sr-Latn-BA"/>
        </w:rPr>
        <w:t xml:space="preserve"> </w:t>
      </w:r>
      <w:r w:rsidRPr="001B53A8">
        <w:rPr>
          <w:lang w:val="sr-Latn-BA"/>
        </w:rPr>
        <w:t>poslovanju</w:t>
      </w:r>
      <w:r w:rsidR="008A4294" w:rsidRPr="001B53A8">
        <w:rPr>
          <w:lang w:val="sr-Latn-BA"/>
        </w:rPr>
        <w:t xml:space="preserve"> </w:t>
      </w:r>
      <w:r w:rsidRPr="001B53A8">
        <w:rPr>
          <w:lang w:val="sr-Latn-BA"/>
        </w:rPr>
        <w:t>društva</w:t>
      </w:r>
      <w:r w:rsidR="008A4294" w:rsidRPr="001B53A8">
        <w:rPr>
          <w:lang w:val="sr-Latn-BA"/>
        </w:rPr>
        <w:t xml:space="preserve"> </w:t>
      </w:r>
      <w:r w:rsidRPr="001B53A8">
        <w:rPr>
          <w:lang w:val="sr-Latn-BA"/>
        </w:rPr>
        <w:t>za</w:t>
      </w:r>
      <w:r w:rsidR="008A4294" w:rsidRPr="001B53A8">
        <w:rPr>
          <w:lang w:val="sr-Latn-BA"/>
        </w:rPr>
        <w:t xml:space="preserve"> </w:t>
      </w:r>
      <w:r w:rsidRPr="001B53A8">
        <w:rPr>
          <w:lang w:val="sr-Latn-BA"/>
        </w:rPr>
        <w:t>upravlјanje</w:t>
      </w:r>
      <w:r w:rsidR="008A4294" w:rsidRPr="001B53A8">
        <w:rPr>
          <w:lang w:val="sr-Latn-BA"/>
        </w:rPr>
        <w:t xml:space="preserve"> </w:t>
      </w:r>
      <w:r w:rsidRPr="001B53A8">
        <w:rPr>
          <w:lang w:val="sr-Latn-BA"/>
        </w:rPr>
        <w:t>investicionim</w:t>
      </w:r>
      <w:r w:rsidR="008A4294" w:rsidRPr="001B53A8">
        <w:rPr>
          <w:lang w:val="sr-Latn-BA"/>
        </w:rPr>
        <w:t xml:space="preserve"> </w:t>
      </w:r>
      <w:r w:rsidRPr="001B53A8">
        <w:rPr>
          <w:lang w:val="sr-Latn-BA"/>
        </w:rPr>
        <w:t>fondovima</w:t>
      </w:r>
      <w:r w:rsidR="008A4294" w:rsidRPr="001B53A8">
        <w:rPr>
          <w:lang w:val="sr-Latn-BA"/>
        </w:rPr>
        <w:t xml:space="preserve">, </w:t>
      </w:r>
    </w:p>
    <w:p w14:paraId="21196E4D" w14:textId="7FA9B7E3" w:rsidR="008A4294" w:rsidRPr="001B53A8" w:rsidRDefault="00003F34" w:rsidP="008A4294">
      <w:pPr>
        <w:pStyle w:val="ListParagraph"/>
        <w:numPr>
          <w:ilvl w:val="0"/>
          <w:numId w:val="5"/>
        </w:numPr>
        <w:spacing w:before="0" w:after="0" w:line="240" w:lineRule="auto"/>
        <w:rPr>
          <w:lang w:val="sr-Latn-BA"/>
        </w:rPr>
      </w:pPr>
      <w:r w:rsidRPr="001B53A8">
        <w:rPr>
          <w:lang w:val="sr-Latn-BA"/>
        </w:rPr>
        <w:t>Pravilnik</w:t>
      </w:r>
      <w:r w:rsidR="008A4294" w:rsidRPr="001B53A8">
        <w:rPr>
          <w:lang w:val="sr-Latn-BA"/>
        </w:rPr>
        <w:t xml:space="preserve"> </w:t>
      </w:r>
      <w:r w:rsidRPr="001B53A8">
        <w:rPr>
          <w:lang w:val="sr-Latn-BA"/>
        </w:rPr>
        <w:t>o</w:t>
      </w:r>
      <w:r w:rsidR="008A4294" w:rsidRPr="001B53A8">
        <w:rPr>
          <w:lang w:val="sr-Latn-BA"/>
        </w:rPr>
        <w:t xml:space="preserve"> </w:t>
      </w:r>
      <w:r w:rsidRPr="001B53A8">
        <w:rPr>
          <w:lang w:val="sr-Latn-BA"/>
        </w:rPr>
        <w:t>sadržaju</w:t>
      </w:r>
      <w:r w:rsidR="008A4294" w:rsidRPr="001B53A8">
        <w:rPr>
          <w:lang w:val="sr-Latn-BA"/>
        </w:rPr>
        <w:t xml:space="preserve"> </w:t>
      </w:r>
      <w:r w:rsidRPr="001B53A8">
        <w:rPr>
          <w:lang w:val="sr-Latn-BA"/>
        </w:rPr>
        <w:t>ugovora</w:t>
      </w:r>
      <w:r w:rsidR="008A4294" w:rsidRPr="001B53A8">
        <w:rPr>
          <w:lang w:val="sr-Latn-BA"/>
        </w:rPr>
        <w:t xml:space="preserve"> </w:t>
      </w:r>
      <w:r w:rsidRPr="001B53A8">
        <w:rPr>
          <w:lang w:val="sr-Latn-BA"/>
        </w:rPr>
        <w:t>između</w:t>
      </w:r>
      <w:r w:rsidR="008A4294" w:rsidRPr="001B53A8">
        <w:rPr>
          <w:lang w:val="sr-Latn-BA"/>
        </w:rPr>
        <w:t xml:space="preserve"> </w:t>
      </w:r>
      <w:r w:rsidRPr="001B53A8">
        <w:rPr>
          <w:lang w:val="sr-Latn-BA"/>
        </w:rPr>
        <w:t>zatvorenog</w:t>
      </w:r>
      <w:r w:rsidR="008A4294" w:rsidRPr="001B53A8">
        <w:rPr>
          <w:lang w:val="sr-Latn-BA"/>
        </w:rPr>
        <w:t xml:space="preserve"> </w:t>
      </w:r>
      <w:r w:rsidRPr="001B53A8">
        <w:rPr>
          <w:lang w:val="sr-Latn-BA"/>
        </w:rPr>
        <w:t>investicionog</w:t>
      </w:r>
      <w:r w:rsidR="008A4294" w:rsidRPr="001B53A8">
        <w:rPr>
          <w:lang w:val="sr-Latn-BA"/>
        </w:rPr>
        <w:t xml:space="preserve"> </w:t>
      </w:r>
      <w:r w:rsidRPr="001B53A8">
        <w:rPr>
          <w:lang w:val="sr-Latn-BA"/>
        </w:rPr>
        <w:t>fonda</w:t>
      </w:r>
      <w:r w:rsidR="008A4294" w:rsidRPr="001B53A8">
        <w:rPr>
          <w:lang w:val="sr-Latn-BA"/>
        </w:rPr>
        <w:t xml:space="preserve"> </w:t>
      </w:r>
      <w:r w:rsidRPr="001B53A8">
        <w:rPr>
          <w:lang w:val="sr-Latn-BA"/>
        </w:rPr>
        <w:t>s</w:t>
      </w:r>
      <w:r w:rsidR="008A4294" w:rsidRPr="001B53A8">
        <w:rPr>
          <w:lang w:val="sr-Latn-BA"/>
        </w:rPr>
        <w:t xml:space="preserve"> </w:t>
      </w:r>
      <w:r w:rsidRPr="001B53A8">
        <w:rPr>
          <w:lang w:val="sr-Latn-BA"/>
        </w:rPr>
        <w:t>javnom</w:t>
      </w:r>
      <w:r w:rsidR="008A4294" w:rsidRPr="001B53A8">
        <w:rPr>
          <w:lang w:val="sr-Latn-BA"/>
        </w:rPr>
        <w:t xml:space="preserve"> </w:t>
      </w:r>
      <w:r w:rsidRPr="001B53A8">
        <w:rPr>
          <w:lang w:val="sr-Latn-BA"/>
        </w:rPr>
        <w:t>ponudom</w:t>
      </w:r>
      <w:r w:rsidR="008A4294" w:rsidRPr="001B53A8">
        <w:rPr>
          <w:lang w:val="sr-Latn-BA"/>
        </w:rPr>
        <w:t xml:space="preserve"> </w:t>
      </w:r>
      <w:r w:rsidRPr="001B53A8">
        <w:rPr>
          <w:lang w:val="sr-Latn-BA"/>
        </w:rPr>
        <w:t>i</w:t>
      </w:r>
      <w:r w:rsidR="008A4294" w:rsidRPr="001B53A8">
        <w:rPr>
          <w:lang w:val="sr-Latn-BA"/>
        </w:rPr>
        <w:t xml:space="preserve"> </w:t>
      </w:r>
      <w:r w:rsidRPr="001B53A8">
        <w:rPr>
          <w:lang w:val="sr-Latn-BA"/>
        </w:rPr>
        <w:t>društva</w:t>
      </w:r>
      <w:r w:rsidR="008A4294" w:rsidRPr="001B53A8">
        <w:rPr>
          <w:lang w:val="sr-Latn-BA"/>
        </w:rPr>
        <w:t xml:space="preserve"> </w:t>
      </w:r>
      <w:r w:rsidRPr="001B53A8">
        <w:rPr>
          <w:lang w:val="sr-Latn-BA"/>
        </w:rPr>
        <w:t>za</w:t>
      </w:r>
      <w:r w:rsidR="008A4294" w:rsidRPr="001B53A8">
        <w:rPr>
          <w:lang w:val="sr-Latn-BA"/>
        </w:rPr>
        <w:t xml:space="preserve"> </w:t>
      </w:r>
      <w:r w:rsidRPr="001B53A8">
        <w:rPr>
          <w:lang w:val="sr-Latn-BA"/>
        </w:rPr>
        <w:t>upravlјanje</w:t>
      </w:r>
      <w:r w:rsidR="008A4294" w:rsidRPr="001B53A8">
        <w:rPr>
          <w:lang w:val="sr-Latn-BA"/>
        </w:rPr>
        <w:t xml:space="preserve">, </w:t>
      </w:r>
    </w:p>
    <w:p w14:paraId="67A9461A" w14:textId="3C32E49E" w:rsidR="008A4294" w:rsidRPr="001B53A8" w:rsidRDefault="00003F34" w:rsidP="008A4294">
      <w:pPr>
        <w:pStyle w:val="ListParagraph"/>
        <w:numPr>
          <w:ilvl w:val="0"/>
          <w:numId w:val="5"/>
        </w:numPr>
        <w:spacing w:before="0" w:after="0" w:line="240" w:lineRule="auto"/>
        <w:rPr>
          <w:lang w:val="sr-Latn-BA"/>
        </w:rPr>
      </w:pPr>
      <w:r w:rsidRPr="001B53A8">
        <w:rPr>
          <w:lang w:val="sr-Latn-BA"/>
        </w:rPr>
        <w:t>Pravilnik</w:t>
      </w:r>
      <w:r w:rsidR="008A4294" w:rsidRPr="001B53A8">
        <w:rPr>
          <w:lang w:val="sr-Latn-BA"/>
        </w:rPr>
        <w:t xml:space="preserve"> </w:t>
      </w:r>
      <w:r w:rsidRPr="001B53A8">
        <w:rPr>
          <w:lang w:val="sr-Latn-BA"/>
        </w:rPr>
        <w:t>o</w:t>
      </w:r>
      <w:r w:rsidR="008A4294" w:rsidRPr="001B53A8">
        <w:rPr>
          <w:lang w:val="sr-Latn-BA"/>
        </w:rPr>
        <w:t xml:space="preserve"> </w:t>
      </w:r>
      <w:r w:rsidRPr="001B53A8">
        <w:rPr>
          <w:lang w:val="sr-Latn-BA"/>
        </w:rPr>
        <w:t>sadržaju</w:t>
      </w:r>
      <w:r w:rsidR="008A4294" w:rsidRPr="001B53A8">
        <w:rPr>
          <w:lang w:val="sr-Latn-BA"/>
        </w:rPr>
        <w:t xml:space="preserve"> </w:t>
      </w:r>
      <w:r w:rsidRPr="001B53A8">
        <w:rPr>
          <w:lang w:val="sr-Latn-BA"/>
        </w:rPr>
        <w:t>i</w:t>
      </w:r>
      <w:r w:rsidR="008A4294" w:rsidRPr="001B53A8">
        <w:rPr>
          <w:lang w:val="sr-Latn-BA"/>
        </w:rPr>
        <w:t xml:space="preserve"> </w:t>
      </w:r>
      <w:r w:rsidRPr="001B53A8">
        <w:rPr>
          <w:lang w:val="sr-Latn-BA"/>
        </w:rPr>
        <w:t>načinu</w:t>
      </w:r>
      <w:r w:rsidR="008A4294" w:rsidRPr="001B53A8">
        <w:rPr>
          <w:lang w:val="sr-Latn-BA"/>
        </w:rPr>
        <w:t xml:space="preserve"> </w:t>
      </w:r>
      <w:r w:rsidRPr="001B53A8">
        <w:rPr>
          <w:lang w:val="sr-Latn-BA"/>
        </w:rPr>
        <w:t>vođenja</w:t>
      </w:r>
      <w:r w:rsidR="008A4294" w:rsidRPr="001B53A8">
        <w:rPr>
          <w:lang w:val="sr-Latn-BA"/>
        </w:rPr>
        <w:t xml:space="preserve"> </w:t>
      </w:r>
      <w:r w:rsidRPr="001B53A8">
        <w:rPr>
          <w:lang w:val="sr-Latn-BA"/>
        </w:rPr>
        <w:t>registra</w:t>
      </w:r>
      <w:r w:rsidR="008A4294" w:rsidRPr="001B53A8">
        <w:rPr>
          <w:lang w:val="sr-Latn-BA"/>
        </w:rPr>
        <w:t xml:space="preserve"> </w:t>
      </w:r>
      <w:r w:rsidRPr="001B53A8">
        <w:rPr>
          <w:lang w:val="sr-Latn-BA"/>
        </w:rPr>
        <w:t>fondova</w:t>
      </w:r>
      <w:r w:rsidR="008A4294" w:rsidRPr="001B53A8">
        <w:rPr>
          <w:lang w:val="sr-Latn-BA"/>
        </w:rPr>
        <w:t>,</w:t>
      </w:r>
    </w:p>
    <w:p w14:paraId="63F3543F" w14:textId="08D61B26" w:rsidR="008A4294" w:rsidRPr="001B53A8" w:rsidRDefault="00003F34" w:rsidP="008A4294">
      <w:pPr>
        <w:pStyle w:val="ListParagraph"/>
        <w:numPr>
          <w:ilvl w:val="0"/>
          <w:numId w:val="5"/>
        </w:numPr>
        <w:spacing w:before="0" w:after="0" w:line="240" w:lineRule="auto"/>
        <w:rPr>
          <w:lang w:val="sr-Latn-BA"/>
        </w:rPr>
      </w:pPr>
      <w:r w:rsidRPr="001B53A8">
        <w:rPr>
          <w:lang w:val="sr-Latn-BA"/>
        </w:rPr>
        <w:t>Pravilnik</w:t>
      </w:r>
      <w:r w:rsidR="008A4294" w:rsidRPr="001B53A8">
        <w:rPr>
          <w:lang w:val="sr-Latn-BA"/>
        </w:rPr>
        <w:t xml:space="preserve"> </w:t>
      </w:r>
      <w:r w:rsidRPr="001B53A8">
        <w:rPr>
          <w:lang w:val="sr-Latn-BA"/>
        </w:rPr>
        <w:t>o</w:t>
      </w:r>
      <w:r w:rsidR="008A4294" w:rsidRPr="001B53A8">
        <w:rPr>
          <w:lang w:val="sr-Latn-BA"/>
        </w:rPr>
        <w:t xml:space="preserve"> </w:t>
      </w:r>
      <w:r w:rsidRPr="001B53A8">
        <w:rPr>
          <w:lang w:val="sr-Latn-BA"/>
        </w:rPr>
        <w:t>uspostavlјanju</w:t>
      </w:r>
      <w:r w:rsidR="008A4294" w:rsidRPr="001B53A8">
        <w:rPr>
          <w:lang w:val="sr-Latn-BA"/>
        </w:rPr>
        <w:t xml:space="preserve">, </w:t>
      </w:r>
      <w:r w:rsidRPr="001B53A8">
        <w:rPr>
          <w:lang w:val="sr-Latn-BA"/>
        </w:rPr>
        <w:t>vođenju</w:t>
      </w:r>
      <w:r w:rsidR="008A4294" w:rsidRPr="001B53A8">
        <w:rPr>
          <w:lang w:val="sr-Latn-BA"/>
        </w:rPr>
        <w:t xml:space="preserve"> </w:t>
      </w:r>
      <w:r w:rsidRPr="001B53A8">
        <w:rPr>
          <w:lang w:val="sr-Latn-BA"/>
        </w:rPr>
        <w:t>i</w:t>
      </w:r>
      <w:r w:rsidR="008A4294" w:rsidRPr="001B53A8">
        <w:rPr>
          <w:lang w:val="sr-Latn-BA"/>
        </w:rPr>
        <w:t xml:space="preserve"> </w:t>
      </w:r>
      <w:r w:rsidRPr="001B53A8">
        <w:rPr>
          <w:lang w:val="sr-Latn-BA"/>
        </w:rPr>
        <w:t>objavlјivanju</w:t>
      </w:r>
      <w:r w:rsidR="008A4294" w:rsidRPr="001B53A8">
        <w:rPr>
          <w:lang w:val="sr-Latn-BA"/>
        </w:rPr>
        <w:t xml:space="preserve"> </w:t>
      </w:r>
      <w:r w:rsidRPr="001B53A8">
        <w:rPr>
          <w:lang w:val="sr-Latn-BA"/>
        </w:rPr>
        <w:t>podataka</w:t>
      </w:r>
      <w:r w:rsidR="008A4294" w:rsidRPr="001B53A8">
        <w:rPr>
          <w:lang w:val="sr-Latn-BA"/>
        </w:rPr>
        <w:t xml:space="preserve"> </w:t>
      </w:r>
      <w:r w:rsidRPr="001B53A8">
        <w:rPr>
          <w:lang w:val="sr-Latn-BA"/>
        </w:rPr>
        <w:t>iz</w:t>
      </w:r>
      <w:r w:rsidR="008A4294" w:rsidRPr="001B53A8">
        <w:rPr>
          <w:lang w:val="sr-Latn-BA"/>
        </w:rPr>
        <w:t xml:space="preserve"> </w:t>
      </w:r>
      <w:r w:rsidRPr="001B53A8">
        <w:rPr>
          <w:lang w:val="sr-Latn-BA"/>
        </w:rPr>
        <w:t>registra</w:t>
      </w:r>
      <w:r w:rsidR="008A4294" w:rsidRPr="001B53A8">
        <w:rPr>
          <w:lang w:val="sr-Latn-BA"/>
        </w:rPr>
        <w:t xml:space="preserve"> </w:t>
      </w:r>
      <w:r w:rsidRPr="001B53A8">
        <w:rPr>
          <w:lang w:val="sr-Latn-BA"/>
        </w:rPr>
        <w:t>udjela</w:t>
      </w:r>
      <w:r w:rsidR="008A4294" w:rsidRPr="001B53A8">
        <w:rPr>
          <w:lang w:val="sr-Latn-BA"/>
        </w:rPr>
        <w:t xml:space="preserve"> </w:t>
      </w:r>
      <w:r w:rsidRPr="001B53A8">
        <w:rPr>
          <w:lang w:val="sr-Latn-BA"/>
        </w:rPr>
        <w:t>u</w:t>
      </w:r>
      <w:r w:rsidR="008A4294" w:rsidRPr="001B53A8">
        <w:rPr>
          <w:lang w:val="sr-Latn-BA"/>
        </w:rPr>
        <w:t xml:space="preserve"> </w:t>
      </w:r>
      <w:r w:rsidRPr="001B53A8">
        <w:rPr>
          <w:lang w:val="sr-Latn-BA"/>
        </w:rPr>
        <w:t>otvorenom</w:t>
      </w:r>
      <w:r w:rsidR="008A4294" w:rsidRPr="001B53A8">
        <w:rPr>
          <w:lang w:val="sr-Latn-BA"/>
        </w:rPr>
        <w:t xml:space="preserve"> </w:t>
      </w:r>
      <w:r w:rsidRPr="001B53A8">
        <w:rPr>
          <w:lang w:val="sr-Latn-BA"/>
        </w:rPr>
        <w:t>investicionom</w:t>
      </w:r>
      <w:r w:rsidR="008A4294" w:rsidRPr="001B53A8">
        <w:rPr>
          <w:lang w:val="sr-Latn-BA"/>
        </w:rPr>
        <w:t xml:space="preserve"> </w:t>
      </w:r>
      <w:r w:rsidRPr="001B53A8">
        <w:rPr>
          <w:lang w:val="sr-Latn-BA"/>
        </w:rPr>
        <w:t>fondu</w:t>
      </w:r>
      <w:r w:rsidR="008A4294" w:rsidRPr="001B53A8">
        <w:rPr>
          <w:lang w:val="sr-Latn-BA"/>
        </w:rPr>
        <w:t xml:space="preserve">, </w:t>
      </w:r>
    </w:p>
    <w:p w14:paraId="08F3D7F2" w14:textId="4E29DACC" w:rsidR="008A4294" w:rsidRPr="001B53A8" w:rsidRDefault="00003F34" w:rsidP="008A4294">
      <w:pPr>
        <w:pStyle w:val="ListParagraph"/>
        <w:numPr>
          <w:ilvl w:val="0"/>
          <w:numId w:val="5"/>
        </w:numPr>
        <w:spacing w:before="0" w:after="0" w:line="240" w:lineRule="auto"/>
        <w:rPr>
          <w:lang w:val="sr-Latn-BA"/>
        </w:rPr>
      </w:pPr>
      <w:r w:rsidRPr="001B53A8">
        <w:rPr>
          <w:lang w:val="sr-Latn-BA"/>
        </w:rPr>
        <w:t>Pravilnik</w:t>
      </w:r>
      <w:r w:rsidR="008A4294" w:rsidRPr="001B53A8">
        <w:rPr>
          <w:lang w:val="sr-Latn-BA"/>
        </w:rPr>
        <w:t xml:space="preserve"> </w:t>
      </w:r>
      <w:r w:rsidRPr="001B53A8">
        <w:rPr>
          <w:lang w:val="sr-Latn-BA"/>
        </w:rPr>
        <w:t>o</w:t>
      </w:r>
      <w:r w:rsidR="008A4294" w:rsidRPr="001B53A8">
        <w:rPr>
          <w:lang w:val="sr-Latn-BA"/>
        </w:rPr>
        <w:t xml:space="preserve"> </w:t>
      </w:r>
      <w:r w:rsidRPr="001B53A8">
        <w:rPr>
          <w:lang w:val="sr-Latn-BA"/>
        </w:rPr>
        <w:t>ulaganjima</w:t>
      </w:r>
      <w:r w:rsidR="008A4294" w:rsidRPr="001B53A8">
        <w:rPr>
          <w:lang w:val="sr-Latn-BA"/>
        </w:rPr>
        <w:t xml:space="preserve"> </w:t>
      </w:r>
      <w:r w:rsidRPr="001B53A8">
        <w:rPr>
          <w:lang w:val="sr-Latn-BA"/>
        </w:rPr>
        <w:t>i</w:t>
      </w:r>
      <w:r w:rsidR="008A4294" w:rsidRPr="001B53A8">
        <w:rPr>
          <w:lang w:val="sr-Latn-BA"/>
        </w:rPr>
        <w:t xml:space="preserve"> </w:t>
      </w:r>
      <w:r w:rsidRPr="001B53A8">
        <w:rPr>
          <w:lang w:val="sr-Latn-BA"/>
        </w:rPr>
        <w:t>ograničenjima</w:t>
      </w:r>
      <w:r w:rsidR="008A4294" w:rsidRPr="001B53A8">
        <w:rPr>
          <w:lang w:val="sr-Latn-BA"/>
        </w:rPr>
        <w:t xml:space="preserve"> </w:t>
      </w:r>
      <w:r w:rsidRPr="001B53A8">
        <w:rPr>
          <w:lang w:val="sr-Latn-BA"/>
        </w:rPr>
        <w:t>ulaganja</w:t>
      </w:r>
      <w:r w:rsidR="008A4294" w:rsidRPr="001B53A8">
        <w:rPr>
          <w:lang w:val="sr-Latn-BA"/>
        </w:rPr>
        <w:t xml:space="preserve"> </w:t>
      </w:r>
      <w:r w:rsidRPr="001B53A8">
        <w:rPr>
          <w:lang w:val="sr-Latn-BA"/>
        </w:rPr>
        <w:t>otvorenih</w:t>
      </w:r>
      <w:r w:rsidR="008A4294" w:rsidRPr="001B53A8">
        <w:rPr>
          <w:lang w:val="sr-Latn-BA"/>
        </w:rPr>
        <w:t xml:space="preserve"> </w:t>
      </w:r>
      <w:r w:rsidRPr="001B53A8">
        <w:rPr>
          <w:lang w:val="sr-Latn-BA"/>
        </w:rPr>
        <w:t>investicionih</w:t>
      </w:r>
      <w:r w:rsidR="008A4294" w:rsidRPr="001B53A8">
        <w:rPr>
          <w:lang w:val="sr-Latn-BA"/>
        </w:rPr>
        <w:t xml:space="preserve"> </w:t>
      </w:r>
      <w:r w:rsidRPr="001B53A8">
        <w:rPr>
          <w:lang w:val="sr-Latn-BA"/>
        </w:rPr>
        <w:t>fondova</w:t>
      </w:r>
      <w:r w:rsidR="008A4294" w:rsidRPr="001B53A8">
        <w:rPr>
          <w:lang w:val="sr-Latn-BA"/>
        </w:rPr>
        <w:t xml:space="preserve"> </w:t>
      </w:r>
      <w:r w:rsidRPr="001B53A8">
        <w:rPr>
          <w:lang w:val="sr-Latn-BA"/>
        </w:rPr>
        <w:t>rizičnog</w:t>
      </w:r>
      <w:r w:rsidR="008A4294" w:rsidRPr="001B53A8">
        <w:rPr>
          <w:lang w:val="sr-Latn-BA"/>
        </w:rPr>
        <w:t xml:space="preserve"> </w:t>
      </w:r>
      <w:r w:rsidRPr="001B53A8">
        <w:rPr>
          <w:lang w:val="sr-Latn-BA"/>
        </w:rPr>
        <w:t>kapitala</w:t>
      </w:r>
      <w:r w:rsidR="008A4294" w:rsidRPr="001B53A8">
        <w:rPr>
          <w:lang w:val="sr-Latn-BA"/>
        </w:rPr>
        <w:t xml:space="preserve"> </w:t>
      </w:r>
      <w:r w:rsidRPr="001B53A8">
        <w:rPr>
          <w:lang w:val="sr-Latn-BA"/>
        </w:rPr>
        <w:t>s</w:t>
      </w:r>
      <w:r w:rsidR="008A4294" w:rsidRPr="001B53A8">
        <w:rPr>
          <w:lang w:val="sr-Latn-BA"/>
        </w:rPr>
        <w:t xml:space="preserve"> </w:t>
      </w:r>
      <w:r w:rsidRPr="001B53A8">
        <w:rPr>
          <w:lang w:val="sr-Latn-BA"/>
        </w:rPr>
        <w:t>privatnom</w:t>
      </w:r>
      <w:r w:rsidR="008A4294" w:rsidRPr="001B53A8">
        <w:rPr>
          <w:lang w:val="sr-Latn-BA"/>
        </w:rPr>
        <w:t xml:space="preserve"> </w:t>
      </w:r>
      <w:r w:rsidRPr="001B53A8">
        <w:rPr>
          <w:lang w:val="sr-Latn-BA"/>
        </w:rPr>
        <w:t>ponudom</w:t>
      </w:r>
      <w:r w:rsidR="008A4294" w:rsidRPr="001B53A8">
        <w:rPr>
          <w:lang w:val="sr-Latn-BA"/>
        </w:rPr>
        <w:t xml:space="preserve">, </w:t>
      </w:r>
    </w:p>
    <w:p w14:paraId="0DB01757" w14:textId="7471139A" w:rsidR="008A4294" w:rsidRPr="001B53A8" w:rsidRDefault="00003F34" w:rsidP="008A4294">
      <w:pPr>
        <w:pStyle w:val="ListParagraph"/>
        <w:numPr>
          <w:ilvl w:val="0"/>
          <w:numId w:val="5"/>
        </w:numPr>
        <w:spacing w:before="0" w:after="0" w:line="240" w:lineRule="auto"/>
        <w:rPr>
          <w:lang w:val="sr-Latn-BA"/>
        </w:rPr>
      </w:pPr>
      <w:r w:rsidRPr="001B53A8">
        <w:rPr>
          <w:lang w:val="sr-Latn-BA"/>
        </w:rPr>
        <w:t>Pravilnik</w:t>
      </w:r>
      <w:r w:rsidR="008A4294" w:rsidRPr="001B53A8">
        <w:rPr>
          <w:lang w:val="sr-Latn-BA"/>
        </w:rPr>
        <w:t xml:space="preserve"> </w:t>
      </w:r>
      <w:r w:rsidRPr="001B53A8">
        <w:rPr>
          <w:lang w:val="sr-Latn-BA"/>
        </w:rPr>
        <w:t>o</w:t>
      </w:r>
      <w:r w:rsidR="008A4294" w:rsidRPr="001B53A8">
        <w:rPr>
          <w:lang w:val="sr-Latn-BA"/>
        </w:rPr>
        <w:t xml:space="preserve"> </w:t>
      </w:r>
      <w:r w:rsidRPr="001B53A8">
        <w:rPr>
          <w:lang w:val="sr-Latn-BA"/>
        </w:rPr>
        <w:t>ulaganju</w:t>
      </w:r>
      <w:r w:rsidR="008A4294" w:rsidRPr="001B53A8">
        <w:rPr>
          <w:lang w:val="sr-Latn-BA"/>
        </w:rPr>
        <w:t xml:space="preserve"> </w:t>
      </w:r>
      <w:r w:rsidRPr="001B53A8">
        <w:rPr>
          <w:lang w:val="sr-Latn-BA"/>
        </w:rPr>
        <w:t>otvorenih</w:t>
      </w:r>
      <w:r w:rsidR="008A4294" w:rsidRPr="001B53A8">
        <w:rPr>
          <w:lang w:val="sr-Latn-BA"/>
        </w:rPr>
        <w:t xml:space="preserve"> </w:t>
      </w:r>
      <w:r w:rsidRPr="001B53A8">
        <w:rPr>
          <w:lang w:val="sr-Latn-BA"/>
        </w:rPr>
        <w:t>investicionih</w:t>
      </w:r>
      <w:r w:rsidR="008A4294" w:rsidRPr="001B53A8">
        <w:rPr>
          <w:lang w:val="sr-Latn-BA"/>
        </w:rPr>
        <w:t xml:space="preserve"> </w:t>
      </w:r>
      <w:r w:rsidRPr="001B53A8">
        <w:rPr>
          <w:lang w:val="sr-Latn-BA"/>
        </w:rPr>
        <w:t>fondova</w:t>
      </w:r>
      <w:r w:rsidR="008A4294" w:rsidRPr="001B53A8">
        <w:rPr>
          <w:lang w:val="sr-Latn-BA"/>
        </w:rPr>
        <w:t xml:space="preserve"> </w:t>
      </w:r>
      <w:r w:rsidRPr="001B53A8">
        <w:rPr>
          <w:lang w:val="sr-Latn-BA"/>
        </w:rPr>
        <w:t>s</w:t>
      </w:r>
      <w:r w:rsidR="008A4294" w:rsidRPr="001B53A8">
        <w:rPr>
          <w:lang w:val="sr-Latn-BA"/>
        </w:rPr>
        <w:t xml:space="preserve"> </w:t>
      </w:r>
      <w:r w:rsidRPr="001B53A8">
        <w:rPr>
          <w:lang w:val="sr-Latn-BA"/>
        </w:rPr>
        <w:t>privatnom</w:t>
      </w:r>
      <w:r w:rsidR="008A4294" w:rsidRPr="001B53A8">
        <w:rPr>
          <w:lang w:val="sr-Latn-BA"/>
        </w:rPr>
        <w:t xml:space="preserve"> </w:t>
      </w:r>
      <w:r w:rsidRPr="001B53A8">
        <w:rPr>
          <w:lang w:val="sr-Latn-BA"/>
        </w:rPr>
        <w:t>ponudom</w:t>
      </w:r>
      <w:r w:rsidR="008A4294" w:rsidRPr="001B53A8">
        <w:rPr>
          <w:lang w:val="sr-Latn-BA"/>
        </w:rPr>
        <w:t>,</w:t>
      </w:r>
    </w:p>
    <w:p w14:paraId="377C0F77" w14:textId="55C14F4B" w:rsidR="008A4294" w:rsidRPr="001B53A8" w:rsidRDefault="00003F34" w:rsidP="008A4294">
      <w:pPr>
        <w:pStyle w:val="ListParagraph"/>
        <w:numPr>
          <w:ilvl w:val="0"/>
          <w:numId w:val="5"/>
        </w:numPr>
        <w:spacing w:before="0" w:after="0" w:line="240" w:lineRule="auto"/>
        <w:rPr>
          <w:lang w:val="sr-Latn-BA"/>
        </w:rPr>
      </w:pPr>
      <w:r w:rsidRPr="001B53A8">
        <w:rPr>
          <w:lang w:val="sr-Latn-BA"/>
        </w:rPr>
        <w:t>Pravilnik</w:t>
      </w:r>
      <w:r w:rsidR="008A4294" w:rsidRPr="001B53A8">
        <w:rPr>
          <w:lang w:val="sr-Latn-BA"/>
        </w:rPr>
        <w:t xml:space="preserve"> </w:t>
      </w:r>
      <w:r w:rsidRPr="001B53A8">
        <w:rPr>
          <w:lang w:val="sr-Latn-BA"/>
        </w:rPr>
        <w:t>o</w:t>
      </w:r>
      <w:r w:rsidR="008A4294" w:rsidRPr="001B53A8">
        <w:rPr>
          <w:lang w:val="sr-Latn-BA"/>
        </w:rPr>
        <w:t xml:space="preserve"> </w:t>
      </w:r>
      <w:r w:rsidRPr="001B53A8">
        <w:rPr>
          <w:lang w:val="sr-Latn-BA"/>
        </w:rPr>
        <w:t>utvrđivanju</w:t>
      </w:r>
      <w:r w:rsidR="008A4294" w:rsidRPr="001B53A8">
        <w:rPr>
          <w:lang w:val="sr-Latn-BA"/>
        </w:rPr>
        <w:t xml:space="preserve"> </w:t>
      </w:r>
      <w:r w:rsidRPr="001B53A8">
        <w:rPr>
          <w:lang w:val="sr-Latn-BA"/>
        </w:rPr>
        <w:t>vrijednosti</w:t>
      </w:r>
      <w:r w:rsidR="008A4294" w:rsidRPr="001B53A8">
        <w:rPr>
          <w:lang w:val="sr-Latn-BA"/>
        </w:rPr>
        <w:t xml:space="preserve"> </w:t>
      </w:r>
      <w:r w:rsidRPr="001B53A8">
        <w:rPr>
          <w:lang w:val="sr-Latn-BA"/>
        </w:rPr>
        <w:t>imovine</w:t>
      </w:r>
      <w:r w:rsidR="008A4294" w:rsidRPr="001B53A8">
        <w:rPr>
          <w:lang w:val="sr-Latn-BA"/>
        </w:rPr>
        <w:t xml:space="preserve"> </w:t>
      </w:r>
      <w:r w:rsidRPr="001B53A8">
        <w:rPr>
          <w:lang w:val="sr-Latn-BA"/>
        </w:rPr>
        <w:t>investicionog</w:t>
      </w:r>
      <w:r w:rsidR="008A4294" w:rsidRPr="001B53A8">
        <w:rPr>
          <w:lang w:val="sr-Latn-BA"/>
        </w:rPr>
        <w:t xml:space="preserve"> </w:t>
      </w:r>
      <w:r w:rsidRPr="001B53A8">
        <w:rPr>
          <w:lang w:val="sr-Latn-BA"/>
        </w:rPr>
        <w:t>fonda</w:t>
      </w:r>
      <w:r w:rsidR="008A4294" w:rsidRPr="001B53A8">
        <w:rPr>
          <w:lang w:val="sr-Latn-BA"/>
        </w:rPr>
        <w:t xml:space="preserve"> </w:t>
      </w:r>
      <w:r w:rsidRPr="001B53A8">
        <w:rPr>
          <w:lang w:val="sr-Latn-BA"/>
        </w:rPr>
        <w:t>i</w:t>
      </w:r>
      <w:r w:rsidR="008A4294" w:rsidRPr="001B53A8">
        <w:rPr>
          <w:lang w:val="sr-Latn-BA"/>
        </w:rPr>
        <w:t xml:space="preserve"> </w:t>
      </w:r>
      <w:r w:rsidRPr="001B53A8">
        <w:rPr>
          <w:lang w:val="sr-Latn-BA"/>
        </w:rPr>
        <w:t>obračunu</w:t>
      </w:r>
      <w:r w:rsidR="008A4294" w:rsidRPr="001B53A8">
        <w:rPr>
          <w:lang w:val="sr-Latn-BA"/>
        </w:rPr>
        <w:t xml:space="preserve"> </w:t>
      </w:r>
      <w:r w:rsidRPr="001B53A8">
        <w:rPr>
          <w:lang w:val="sr-Latn-BA"/>
        </w:rPr>
        <w:t>neto</w:t>
      </w:r>
      <w:r w:rsidR="008A4294" w:rsidRPr="001B53A8">
        <w:rPr>
          <w:lang w:val="sr-Latn-BA"/>
        </w:rPr>
        <w:t xml:space="preserve"> </w:t>
      </w:r>
      <w:r w:rsidRPr="001B53A8">
        <w:rPr>
          <w:lang w:val="sr-Latn-BA"/>
        </w:rPr>
        <w:t>vrijednosti</w:t>
      </w:r>
      <w:r w:rsidR="008A4294" w:rsidRPr="001B53A8">
        <w:rPr>
          <w:lang w:val="sr-Latn-BA"/>
        </w:rPr>
        <w:t xml:space="preserve"> </w:t>
      </w:r>
      <w:r w:rsidRPr="001B53A8">
        <w:rPr>
          <w:lang w:val="sr-Latn-BA"/>
        </w:rPr>
        <w:t>imovine</w:t>
      </w:r>
      <w:r w:rsidR="008A4294" w:rsidRPr="001B53A8">
        <w:rPr>
          <w:lang w:val="sr-Latn-BA"/>
        </w:rPr>
        <w:t xml:space="preserve"> </w:t>
      </w:r>
      <w:r w:rsidRPr="001B53A8">
        <w:rPr>
          <w:lang w:val="sr-Latn-BA"/>
        </w:rPr>
        <w:t>po</w:t>
      </w:r>
      <w:r w:rsidR="008A4294" w:rsidRPr="001B53A8">
        <w:rPr>
          <w:lang w:val="sr-Latn-BA"/>
        </w:rPr>
        <w:t xml:space="preserve"> </w:t>
      </w:r>
      <w:r w:rsidRPr="001B53A8">
        <w:rPr>
          <w:lang w:val="sr-Latn-BA"/>
        </w:rPr>
        <w:t>udjelu</w:t>
      </w:r>
      <w:r w:rsidR="008A4294" w:rsidRPr="001B53A8">
        <w:rPr>
          <w:lang w:val="sr-Latn-BA"/>
        </w:rPr>
        <w:t xml:space="preserve"> </w:t>
      </w:r>
      <w:r w:rsidRPr="001B53A8">
        <w:rPr>
          <w:lang w:val="sr-Latn-BA"/>
        </w:rPr>
        <w:t>ili</w:t>
      </w:r>
      <w:r w:rsidR="008A4294" w:rsidRPr="001B53A8">
        <w:rPr>
          <w:lang w:val="sr-Latn-BA"/>
        </w:rPr>
        <w:t xml:space="preserve"> </w:t>
      </w:r>
      <w:r w:rsidRPr="001B53A8">
        <w:rPr>
          <w:lang w:val="sr-Latn-BA"/>
        </w:rPr>
        <w:t>po</w:t>
      </w:r>
      <w:r w:rsidR="008A4294" w:rsidRPr="001B53A8">
        <w:rPr>
          <w:lang w:val="sr-Latn-BA"/>
        </w:rPr>
        <w:t xml:space="preserve"> </w:t>
      </w:r>
      <w:r w:rsidRPr="001B53A8">
        <w:rPr>
          <w:lang w:val="sr-Latn-BA"/>
        </w:rPr>
        <w:t>akciji</w:t>
      </w:r>
      <w:r w:rsidR="008A4294" w:rsidRPr="001B53A8">
        <w:rPr>
          <w:lang w:val="sr-Latn-BA"/>
        </w:rPr>
        <w:t xml:space="preserve"> </w:t>
      </w:r>
      <w:r w:rsidRPr="001B53A8">
        <w:rPr>
          <w:lang w:val="sr-Latn-BA"/>
        </w:rPr>
        <w:t>investicionog</w:t>
      </w:r>
      <w:r w:rsidR="008A4294" w:rsidRPr="001B53A8">
        <w:rPr>
          <w:lang w:val="sr-Latn-BA"/>
        </w:rPr>
        <w:t xml:space="preserve"> </w:t>
      </w:r>
      <w:r w:rsidRPr="001B53A8">
        <w:rPr>
          <w:lang w:val="sr-Latn-BA"/>
        </w:rPr>
        <w:t>fonda</w:t>
      </w:r>
      <w:r w:rsidR="008A4294" w:rsidRPr="001B53A8">
        <w:rPr>
          <w:lang w:val="sr-Latn-BA"/>
        </w:rPr>
        <w:t>,</w:t>
      </w:r>
    </w:p>
    <w:p w14:paraId="2D6A1E2D" w14:textId="07CF8DA1" w:rsidR="008A4294" w:rsidRPr="001B53A8" w:rsidRDefault="00003F34" w:rsidP="008A4294">
      <w:pPr>
        <w:pStyle w:val="ListParagraph"/>
        <w:numPr>
          <w:ilvl w:val="0"/>
          <w:numId w:val="5"/>
        </w:numPr>
        <w:spacing w:before="0" w:after="0" w:line="240" w:lineRule="auto"/>
        <w:rPr>
          <w:lang w:val="sr-Latn-BA"/>
        </w:rPr>
      </w:pPr>
      <w:r w:rsidRPr="001B53A8">
        <w:rPr>
          <w:lang w:val="sr-Latn-BA"/>
        </w:rPr>
        <w:t>Pravilnik</w:t>
      </w:r>
      <w:r w:rsidR="008A4294" w:rsidRPr="001B53A8">
        <w:rPr>
          <w:lang w:val="sr-Latn-BA"/>
        </w:rPr>
        <w:t xml:space="preserve"> </w:t>
      </w:r>
      <w:r w:rsidRPr="001B53A8">
        <w:rPr>
          <w:lang w:val="sr-Latn-BA"/>
        </w:rPr>
        <w:t>o</w:t>
      </w:r>
      <w:r w:rsidR="008A4294" w:rsidRPr="001B53A8">
        <w:rPr>
          <w:lang w:val="sr-Latn-BA"/>
        </w:rPr>
        <w:t xml:space="preserve"> </w:t>
      </w:r>
      <w:r w:rsidRPr="001B53A8">
        <w:rPr>
          <w:lang w:val="sr-Latn-BA"/>
        </w:rPr>
        <w:t>uslovima</w:t>
      </w:r>
      <w:r w:rsidR="008A4294" w:rsidRPr="001B53A8">
        <w:rPr>
          <w:lang w:val="sr-Latn-BA"/>
        </w:rPr>
        <w:t xml:space="preserve"> </w:t>
      </w:r>
      <w:r w:rsidRPr="001B53A8">
        <w:rPr>
          <w:lang w:val="sr-Latn-BA"/>
        </w:rPr>
        <w:t>i</w:t>
      </w:r>
      <w:r w:rsidR="008A4294" w:rsidRPr="001B53A8">
        <w:rPr>
          <w:lang w:val="sr-Latn-BA"/>
        </w:rPr>
        <w:t xml:space="preserve"> </w:t>
      </w:r>
      <w:r w:rsidRPr="001B53A8">
        <w:rPr>
          <w:lang w:val="sr-Latn-BA"/>
        </w:rPr>
        <w:t>postupku</w:t>
      </w:r>
      <w:r w:rsidR="008A4294" w:rsidRPr="001B53A8">
        <w:rPr>
          <w:lang w:val="sr-Latn-BA"/>
        </w:rPr>
        <w:t xml:space="preserve"> </w:t>
      </w:r>
      <w:r w:rsidRPr="001B53A8">
        <w:rPr>
          <w:lang w:val="sr-Latn-BA"/>
        </w:rPr>
        <w:t>za</w:t>
      </w:r>
      <w:r w:rsidR="008A4294" w:rsidRPr="001B53A8">
        <w:rPr>
          <w:lang w:val="sr-Latn-BA"/>
        </w:rPr>
        <w:t xml:space="preserve"> </w:t>
      </w:r>
      <w:r w:rsidRPr="001B53A8">
        <w:rPr>
          <w:lang w:val="sr-Latn-BA"/>
        </w:rPr>
        <w:t>izdavanje</w:t>
      </w:r>
      <w:r w:rsidR="008A4294" w:rsidRPr="001B53A8">
        <w:rPr>
          <w:lang w:val="sr-Latn-BA"/>
        </w:rPr>
        <w:t xml:space="preserve"> </w:t>
      </w:r>
      <w:r w:rsidRPr="001B53A8">
        <w:rPr>
          <w:lang w:val="sr-Latn-BA"/>
        </w:rPr>
        <w:t>dozvole</w:t>
      </w:r>
      <w:r w:rsidR="008A4294" w:rsidRPr="001B53A8">
        <w:rPr>
          <w:lang w:val="sr-Latn-BA"/>
        </w:rPr>
        <w:t xml:space="preserve"> </w:t>
      </w:r>
      <w:r w:rsidRPr="001B53A8">
        <w:rPr>
          <w:lang w:val="sr-Latn-BA"/>
        </w:rPr>
        <w:t>za</w:t>
      </w:r>
      <w:r w:rsidR="008A4294" w:rsidRPr="001B53A8">
        <w:rPr>
          <w:lang w:val="sr-Latn-BA"/>
        </w:rPr>
        <w:t xml:space="preserve"> </w:t>
      </w:r>
      <w:r w:rsidRPr="001B53A8">
        <w:rPr>
          <w:lang w:val="sr-Latn-BA"/>
        </w:rPr>
        <w:t>vršenje</w:t>
      </w:r>
      <w:r w:rsidR="008A4294" w:rsidRPr="001B53A8">
        <w:rPr>
          <w:lang w:val="sr-Latn-BA"/>
        </w:rPr>
        <w:t xml:space="preserve"> </w:t>
      </w:r>
      <w:r w:rsidRPr="001B53A8">
        <w:rPr>
          <w:lang w:val="sr-Latn-BA"/>
        </w:rPr>
        <w:t>funkcije</w:t>
      </w:r>
      <w:r w:rsidR="008A4294" w:rsidRPr="001B53A8">
        <w:rPr>
          <w:lang w:val="sr-Latn-BA"/>
        </w:rPr>
        <w:t xml:space="preserve"> </w:t>
      </w:r>
      <w:r w:rsidRPr="001B53A8">
        <w:rPr>
          <w:lang w:val="sr-Latn-BA"/>
        </w:rPr>
        <w:t>člana</w:t>
      </w:r>
      <w:r w:rsidR="008A4294" w:rsidRPr="001B53A8">
        <w:rPr>
          <w:lang w:val="sr-Latn-BA"/>
        </w:rPr>
        <w:t xml:space="preserve"> </w:t>
      </w:r>
      <w:r w:rsidRPr="001B53A8">
        <w:rPr>
          <w:lang w:val="sr-Latn-BA"/>
        </w:rPr>
        <w:t>nadzornog</w:t>
      </w:r>
      <w:r w:rsidR="008A4294" w:rsidRPr="001B53A8">
        <w:rPr>
          <w:lang w:val="sr-Latn-BA"/>
        </w:rPr>
        <w:t xml:space="preserve"> </w:t>
      </w:r>
      <w:r w:rsidRPr="001B53A8">
        <w:rPr>
          <w:lang w:val="sr-Latn-BA"/>
        </w:rPr>
        <w:t>odbora</w:t>
      </w:r>
      <w:r w:rsidR="008A4294" w:rsidRPr="001B53A8">
        <w:rPr>
          <w:lang w:val="sr-Latn-BA"/>
        </w:rPr>
        <w:t xml:space="preserve"> </w:t>
      </w:r>
      <w:r w:rsidRPr="001B53A8">
        <w:rPr>
          <w:lang w:val="sr-Latn-BA"/>
        </w:rPr>
        <w:t>zatvorenog</w:t>
      </w:r>
      <w:r w:rsidR="008A4294" w:rsidRPr="001B53A8">
        <w:rPr>
          <w:lang w:val="sr-Latn-BA"/>
        </w:rPr>
        <w:t xml:space="preserve"> </w:t>
      </w:r>
      <w:r w:rsidRPr="001B53A8">
        <w:rPr>
          <w:lang w:val="sr-Latn-BA"/>
        </w:rPr>
        <w:t>investicionog</w:t>
      </w:r>
      <w:r w:rsidR="008A4294" w:rsidRPr="001B53A8">
        <w:rPr>
          <w:lang w:val="sr-Latn-BA"/>
        </w:rPr>
        <w:t xml:space="preserve"> </w:t>
      </w:r>
      <w:r w:rsidRPr="001B53A8">
        <w:rPr>
          <w:lang w:val="sr-Latn-BA"/>
        </w:rPr>
        <w:t>fonda</w:t>
      </w:r>
      <w:r w:rsidR="008A4294" w:rsidRPr="001B53A8">
        <w:rPr>
          <w:lang w:val="sr-Latn-BA"/>
        </w:rPr>
        <w:t>,</w:t>
      </w:r>
    </w:p>
    <w:p w14:paraId="5B1464EF" w14:textId="7FD6472F" w:rsidR="008A4294" w:rsidRPr="001B53A8" w:rsidRDefault="00003F34" w:rsidP="008A4294">
      <w:pPr>
        <w:pStyle w:val="ListParagraph"/>
        <w:numPr>
          <w:ilvl w:val="0"/>
          <w:numId w:val="5"/>
        </w:numPr>
        <w:spacing w:before="0" w:after="0" w:line="240" w:lineRule="auto"/>
        <w:rPr>
          <w:lang w:val="sr-Latn-BA"/>
        </w:rPr>
      </w:pPr>
      <w:r w:rsidRPr="001B53A8">
        <w:rPr>
          <w:lang w:val="sr-Latn-BA"/>
        </w:rPr>
        <w:t>Pravilnik</w:t>
      </w:r>
      <w:r w:rsidR="008A4294" w:rsidRPr="001B53A8">
        <w:rPr>
          <w:lang w:val="sr-Latn-BA"/>
        </w:rPr>
        <w:t xml:space="preserve"> </w:t>
      </w:r>
      <w:r w:rsidRPr="001B53A8">
        <w:rPr>
          <w:lang w:val="sr-Latn-BA"/>
        </w:rPr>
        <w:t>o</w:t>
      </w:r>
      <w:r w:rsidR="008A4294" w:rsidRPr="001B53A8">
        <w:rPr>
          <w:lang w:val="sr-Latn-BA"/>
        </w:rPr>
        <w:t xml:space="preserve"> </w:t>
      </w:r>
      <w:r w:rsidRPr="001B53A8">
        <w:rPr>
          <w:lang w:val="sr-Latn-BA"/>
        </w:rPr>
        <w:t>uslovima</w:t>
      </w:r>
      <w:r w:rsidR="008A4294" w:rsidRPr="001B53A8">
        <w:rPr>
          <w:lang w:val="sr-Latn-BA"/>
        </w:rPr>
        <w:t xml:space="preserve"> </w:t>
      </w:r>
      <w:r w:rsidRPr="001B53A8">
        <w:rPr>
          <w:lang w:val="sr-Latn-BA"/>
        </w:rPr>
        <w:t>i</w:t>
      </w:r>
      <w:r w:rsidR="008A4294" w:rsidRPr="001B53A8">
        <w:rPr>
          <w:lang w:val="sr-Latn-BA"/>
        </w:rPr>
        <w:t xml:space="preserve"> </w:t>
      </w:r>
      <w:r w:rsidRPr="001B53A8">
        <w:rPr>
          <w:lang w:val="sr-Latn-BA"/>
        </w:rPr>
        <w:t>postupku</w:t>
      </w:r>
      <w:r w:rsidR="008A4294" w:rsidRPr="001B53A8">
        <w:rPr>
          <w:lang w:val="sr-Latn-BA"/>
        </w:rPr>
        <w:t xml:space="preserve"> </w:t>
      </w:r>
      <w:r w:rsidRPr="001B53A8">
        <w:rPr>
          <w:lang w:val="sr-Latn-BA"/>
        </w:rPr>
        <w:t>izdavanja</w:t>
      </w:r>
      <w:r w:rsidR="008A4294" w:rsidRPr="001B53A8">
        <w:rPr>
          <w:lang w:val="sr-Latn-BA"/>
        </w:rPr>
        <w:t xml:space="preserve"> </w:t>
      </w:r>
      <w:r w:rsidRPr="001B53A8">
        <w:rPr>
          <w:lang w:val="sr-Latn-BA"/>
        </w:rPr>
        <w:t>dozvole</w:t>
      </w:r>
      <w:r w:rsidR="008A4294" w:rsidRPr="001B53A8">
        <w:rPr>
          <w:lang w:val="sr-Latn-BA"/>
        </w:rPr>
        <w:t xml:space="preserve"> </w:t>
      </w:r>
      <w:r w:rsidRPr="001B53A8">
        <w:rPr>
          <w:lang w:val="sr-Latn-BA"/>
        </w:rPr>
        <w:t>za</w:t>
      </w:r>
      <w:r w:rsidR="008A4294" w:rsidRPr="001B53A8">
        <w:rPr>
          <w:lang w:val="sr-Latn-BA"/>
        </w:rPr>
        <w:t xml:space="preserve"> </w:t>
      </w:r>
      <w:r w:rsidRPr="001B53A8">
        <w:rPr>
          <w:lang w:val="sr-Latn-BA"/>
        </w:rPr>
        <w:t>obavlјanje</w:t>
      </w:r>
      <w:r w:rsidR="008A4294" w:rsidRPr="001B53A8">
        <w:rPr>
          <w:lang w:val="sr-Latn-BA"/>
        </w:rPr>
        <w:t xml:space="preserve"> </w:t>
      </w:r>
      <w:r w:rsidRPr="001B53A8">
        <w:rPr>
          <w:lang w:val="sr-Latn-BA"/>
        </w:rPr>
        <w:t>funkcije</w:t>
      </w:r>
      <w:r w:rsidR="008A4294" w:rsidRPr="001B53A8">
        <w:rPr>
          <w:lang w:val="sr-Latn-BA"/>
        </w:rPr>
        <w:t xml:space="preserve"> </w:t>
      </w:r>
      <w:r w:rsidRPr="001B53A8">
        <w:rPr>
          <w:lang w:val="sr-Latn-BA"/>
        </w:rPr>
        <w:t>člana</w:t>
      </w:r>
      <w:r w:rsidR="008A4294" w:rsidRPr="001B53A8">
        <w:rPr>
          <w:lang w:val="sr-Latn-BA"/>
        </w:rPr>
        <w:t xml:space="preserve"> </w:t>
      </w:r>
      <w:r w:rsidRPr="001B53A8">
        <w:rPr>
          <w:lang w:val="sr-Latn-BA"/>
        </w:rPr>
        <w:t>upravnog</w:t>
      </w:r>
      <w:r w:rsidR="008A4294" w:rsidRPr="001B53A8">
        <w:rPr>
          <w:lang w:val="sr-Latn-BA"/>
        </w:rPr>
        <w:t xml:space="preserve"> </w:t>
      </w:r>
      <w:r w:rsidRPr="001B53A8">
        <w:rPr>
          <w:lang w:val="sr-Latn-BA"/>
        </w:rPr>
        <w:t>odbora</w:t>
      </w:r>
      <w:r w:rsidR="008A4294" w:rsidRPr="001B53A8">
        <w:rPr>
          <w:lang w:val="sr-Latn-BA"/>
        </w:rPr>
        <w:t xml:space="preserve"> </w:t>
      </w:r>
      <w:r w:rsidRPr="001B53A8">
        <w:rPr>
          <w:lang w:val="sr-Latn-BA"/>
        </w:rPr>
        <w:t>društva</w:t>
      </w:r>
      <w:r w:rsidR="008A4294" w:rsidRPr="001B53A8">
        <w:rPr>
          <w:lang w:val="sr-Latn-BA"/>
        </w:rPr>
        <w:t xml:space="preserve"> </w:t>
      </w:r>
      <w:r w:rsidRPr="001B53A8">
        <w:rPr>
          <w:lang w:val="sr-Latn-BA"/>
        </w:rPr>
        <w:t>za</w:t>
      </w:r>
      <w:r w:rsidR="008A4294" w:rsidRPr="001B53A8">
        <w:rPr>
          <w:lang w:val="sr-Latn-BA"/>
        </w:rPr>
        <w:t xml:space="preserve"> </w:t>
      </w:r>
      <w:r w:rsidRPr="001B53A8">
        <w:rPr>
          <w:lang w:val="sr-Latn-BA"/>
        </w:rPr>
        <w:t>upravlјanje</w:t>
      </w:r>
      <w:r w:rsidR="008A4294" w:rsidRPr="001B53A8">
        <w:rPr>
          <w:lang w:val="sr-Latn-BA"/>
        </w:rPr>
        <w:t xml:space="preserve"> </w:t>
      </w:r>
      <w:r w:rsidRPr="001B53A8">
        <w:rPr>
          <w:lang w:val="sr-Latn-BA"/>
        </w:rPr>
        <w:t>investicionim</w:t>
      </w:r>
      <w:r w:rsidR="008A4294" w:rsidRPr="001B53A8">
        <w:rPr>
          <w:lang w:val="sr-Latn-BA"/>
        </w:rPr>
        <w:t xml:space="preserve"> </w:t>
      </w:r>
      <w:r w:rsidRPr="001B53A8">
        <w:rPr>
          <w:lang w:val="sr-Latn-BA"/>
        </w:rPr>
        <w:t>fondovima</w:t>
      </w:r>
      <w:r w:rsidR="008A4294" w:rsidRPr="001B53A8">
        <w:rPr>
          <w:lang w:val="sr-Latn-BA"/>
        </w:rPr>
        <w:t xml:space="preserve">, </w:t>
      </w:r>
    </w:p>
    <w:p w14:paraId="387114B1" w14:textId="5162FF6E" w:rsidR="008A4294" w:rsidRPr="001B53A8" w:rsidRDefault="00003F34" w:rsidP="008A4294">
      <w:pPr>
        <w:pStyle w:val="ListParagraph"/>
        <w:numPr>
          <w:ilvl w:val="0"/>
          <w:numId w:val="5"/>
        </w:numPr>
        <w:spacing w:before="0" w:after="0" w:line="240" w:lineRule="auto"/>
        <w:rPr>
          <w:lang w:val="sr-Latn-BA"/>
        </w:rPr>
      </w:pPr>
      <w:r w:rsidRPr="001B53A8">
        <w:rPr>
          <w:lang w:val="sr-Latn-BA"/>
        </w:rPr>
        <w:t>Pravilnik</w:t>
      </w:r>
      <w:r w:rsidR="008A4294" w:rsidRPr="001B53A8">
        <w:rPr>
          <w:lang w:val="sr-Latn-BA"/>
        </w:rPr>
        <w:t xml:space="preserve"> </w:t>
      </w:r>
      <w:r w:rsidRPr="001B53A8">
        <w:rPr>
          <w:lang w:val="sr-Latn-BA"/>
        </w:rPr>
        <w:t>o</w:t>
      </w:r>
      <w:r w:rsidR="008A4294" w:rsidRPr="001B53A8">
        <w:rPr>
          <w:lang w:val="sr-Latn-BA"/>
        </w:rPr>
        <w:t xml:space="preserve"> </w:t>
      </w:r>
      <w:r w:rsidRPr="001B53A8">
        <w:rPr>
          <w:lang w:val="sr-Latn-BA"/>
        </w:rPr>
        <w:t>izdavanju</w:t>
      </w:r>
      <w:r w:rsidR="008A4294" w:rsidRPr="001B53A8">
        <w:rPr>
          <w:lang w:val="sr-Latn-BA"/>
        </w:rPr>
        <w:t xml:space="preserve"> </w:t>
      </w:r>
      <w:r w:rsidRPr="001B53A8">
        <w:rPr>
          <w:lang w:val="sr-Latn-BA"/>
        </w:rPr>
        <w:t>dozvole</w:t>
      </w:r>
      <w:r w:rsidR="008A4294" w:rsidRPr="001B53A8">
        <w:rPr>
          <w:lang w:val="sr-Latn-BA"/>
        </w:rPr>
        <w:t xml:space="preserve"> </w:t>
      </w:r>
      <w:r w:rsidRPr="001B53A8">
        <w:rPr>
          <w:lang w:val="sr-Latn-BA"/>
        </w:rPr>
        <w:t>za</w:t>
      </w:r>
      <w:r w:rsidR="008A4294" w:rsidRPr="001B53A8">
        <w:rPr>
          <w:lang w:val="sr-Latn-BA"/>
        </w:rPr>
        <w:t xml:space="preserve"> </w:t>
      </w:r>
      <w:r w:rsidRPr="001B53A8">
        <w:rPr>
          <w:lang w:val="sr-Latn-BA"/>
        </w:rPr>
        <w:t>sticanje</w:t>
      </w:r>
      <w:r w:rsidR="008A4294" w:rsidRPr="001B53A8">
        <w:rPr>
          <w:lang w:val="sr-Latn-BA"/>
        </w:rPr>
        <w:t xml:space="preserve"> </w:t>
      </w:r>
      <w:r w:rsidRPr="001B53A8">
        <w:rPr>
          <w:lang w:val="sr-Latn-BA"/>
        </w:rPr>
        <w:t>kvalifikovanog</w:t>
      </w:r>
      <w:r w:rsidR="008A4294" w:rsidRPr="001B53A8">
        <w:rPr>
          <w:lang w:val="sr-Latn-BA"/>
        </w:rPr>
        <w:t xml:space="preserve"> </w:t>
      </w:r>
      <w:r w:rsidRPr="001B53A8">
        <w:rPr>
          <w:lang w:val="sr-Latn-BA"/>
        </w:rPr>
        <w:t>učešća</w:t>
      </w:r>
      <w:r w:rsidR="008A4294" w:rsidRPr="001B53A8">
        <w:rPr>
          <w:lang w:val="sr-Latn-BA"/>
        </w:rPr>
        <w:t xml:space="preserve"> </w:t>
      </w:r>
      <w:r w:rsidRPr="001B53A8">
        <w:rPr>
          <w:lang w:val="sr-Latn-BA"/>
        </w:rPr>
        <w:t>u</w:t>
      </w:r>
      <w:r w:rsidR="008A4294" w:rsidRPr="001B53A8">
        <w:rPr>
          <w:lang w:val="sr-Latn-BA"/>
        </w:rPr>
        <w:t xml:space="preserve"> </w:t>
      </w:r>
      <w:r w:rsidRPr="001B53A8">
        <w:rPr>
          <w:lang w:val="sr-Latn-BA"/>
        </w:rPr>
        <w:t>društvu</w:t>
      </w:r>
      <w:r w:rsidR="008A4294" w:rsidRPr="001B53A8">
        <w:rPr>
          <w:lang w:val="sr-Latn-BA"/>
        </w:rPr>
        <w:t xml:space="preserve"> </w:t>
      </w:r>
      <w:r w:rsidRPr="001B53A8">
        <w:rPr>
          <w:lang w:val="sr-Latn-BA"/>
        </w:rPr>
        <w:t>za</w:t>
      </w:r>
      <w:r w:rsidR="008A4294" w:rsidRPr="001B53A8">
        <w:rPr>
          <w:lang w:val="sr-Latn-BA"/>
        </w:rPr>
        <w:t xml:space="preserve"> </w:t>
      </w:r>
      <w:r w:rsidRPr="001B53A8">
        <w:rPr>
          <w:lang w:val="sr-Latn-BA"/>
        </w:rPr>
        <w:t>upravlјanje</w:t>
      </w:r>
      <w:r w:rsidR="008A4294" w:rsidRPr="001B53A8">
        <w:rPr>
          <w:lang w:val="sr-Latn-BA"/>
        </w:rPr>
        <w:t xml:space="preserve"> </w:t>
      </w:r>
      <w:r w:rsidRPr="001B53A8">
        <w:rPr>
          <w:lang w:val="sr-Latn-BA"/>
        </w:rPr>
        <w:t>investicionim</w:t>
      </w:r>
      <w:r w:rsidR="008A4294" w:rsidRPr="001B53A8">
        <w:rPr>
          <w:lang w:val="sr-Latn-BA"/>
        </w:rPr>
        <w:t xml:space="preserve"> </w:t>
      </w:r>
      <w:r w:rsidRPr="001B53A8">
        <w:rPr>
          <w:lang w:val="sr-Latn-BA"/>
        </w:rPr>
        <w:t>fondovima</w:t>
      </w:r>
      <w:r w:rsidR="008A4294" w:rsidRPr="001B53A8">
        <w:rPr>
          <w:lang w:val="sr-Latn-BA"/>
        </w:rPr>
        <w:t xml:space="preserve">, </w:t>
      </w:r>
    </w:p>
    <w:p w14:paraId="6533AB68" w14:textId="6DDF1993" w:rsidR="008A4294" w:rsidRPr="001B53A8" w:rsidRDefault="00003F34" w:rsidP="008A4294">
      <w:pPr>
        <w:pStyle w:val="ListParagraph"/>
        <w:numPr>
          <w:ilvl w:val="0"/>
          <w:numId w:val="5"/>
        </w:numPr>
        <w:spacing w:before="0" w:after="0" w:line="240" w:lineRule="auto"/>
        <w:rPr>
          <w:lang w:val="sr-Latn-BA"/>
        </w:rPr>
      </w:pPr>
      <w:r w:rsidRPr="001B53A8">
        <w:rPr>
          <w:lang w:val="sr-Latn-BA"/>
        </w:rPr>
        <w:lastRenderedPageBreak/>
        <w:t>Pravilnik</w:t>
      </w:r>
      <w:r w:rsidR="008A4294" w:rsidRPr="001B53A8">
        <w:rPr>
          <w:lang w:val="sr-Latn-BA"/>
        </w:rPr>
        <w:t xml:space="preserve"> </w:t>
      </w:r>
      <w:r w:rsidRPr="001B53A8">
        <w:rPr>
          <w:lang w:val="sr-Latn-BA"/>
        </w:rPr>
        <w:t>o</w:t>
      </w:r>
      <w:r w:rsidR="008A4294" w:rsidRPr="001B53A8">
        <w:rPr>
          <w:lang w:val="sr-Latn-BA"/>
        </w:rPr>
        <w:t xml:space="preserve"> </w:t>
      </w:r>
      <w:r w:rsidRPr="001B53A8">
        <w:rPr>
          <w:lang w:val="sr-Latn-BA"/>
        </w:rPr>
        <w:t>postupku</w:t>
      </w:r>
      <w:r w:rsidR="008A4294" w:rsidRPr="001B53A8">
        <w:rPr>
          <w:lang w:val="sr-Latn-BA"/>
        </w:rPr>
        <w:t xml:space="preserve"> </w:t>
      </w:r>
      <w:r w:rsidRPr="001B53A8">
        <w:rPr>
          <w:lang w:val="sr-Latn-BA"/>
        </w:rPr>
        <w:t>i</w:t>
      </w:r>
      <w:r w:rsidR="008A4294" w:rsidRPr="001B53A8">
        <w:rPr>
          <w:lang w:val="sr-Latn-BA"/>
        </w:rPr>
        <w:t xml:space="preserve"> </w:t>
      </w:r>
      <w:r w:rsidRPr="001B53A8">
        <w:rPr>
          <w:lang w:val="sr-Latn-BA"/>
        </w:rPr>
        <w:t>vrsti</w:t>
      </w:r>
      <w:r w:rsidR="008A4294" w:rsidRPr="001B53A8">
        <w:rPr>
          <w:lang w:val="sr-Latn-BA"/>
        </w:rPr>
        <w:t xml:space="preserve"> </w:t>
      </w:r>
      <w:r w:rsidRPr="001B53A8">
        <w:rPr>
          <w:lang w:val="sr-Latn-BA"/>
        </w:rPr>
        <w:t>poslova</w:t>
      </w:r>
      <w:r w:rsidR="008A4294" w:rsidRPr="001B53A8">
        <w:rPr>
          <w:lang w:val="sr-Latn-BA"/>
        </w:rPr>
        <w:t xml:space="preserve"> </w:t>
      </w:r>
      <w:r w:rsidRPr="001B53A8">
        <w:rPr>
          <w:lang w:val="sr-Latn-BA"/>
        </w:rPr>
        <w:t>koje</w:t>
      </w:r>
      <w:r w:rsidR="008A4294" w:rsidRPr="001B53A8">
        <w:rPr>
          <w:lang w:val="sr-Latn-BA"/>
        </w:rPr>
        <w:t xml:space="preserve"> </w:t>
      </w:r>
      <w:r w:rsidRPr="001B53A8">
        <w:rPr>
          <w:lang w:val="sr-Latn-BA"/>
        </w:rPr>
        <w:t>društvo</w:t>
      </w:r>
      <w:r w:rsidR="008A4294" w:rsidRPr="001B53A8">
        <w:rPr>
          <w:lang w:val="sr-Latn-BA"/>
        </w:rPr>
        <w:t xml:space="preserve"> </w:t>
      </w:r>
      <w:r w:rsidRPr="001B53A8">
        <w:rPr>
          <w:lang w:val="sr-Latn-BA"/>
        </w:rPr>
        <w:t>za</w:t>
      </w:r>
      <w:r w:rsidR="008A4294" w:rsidRPr="001B53A8">
        <w:rPr>
          <w:lang w:val="sr-Latn-BA"/>
        </w:rPr>
        <w:t xml:space="preserve"> </w:t>
      </w:r>
      <w:r w:rsidRPr="001B53A8">
        <w:rPr>
          <w:lang w:val="sr-Latn-BA"/>
        </w:rPr>
        <w:t>upravlјanje</w:t>
      </w:r>
      <w:r w:rsidR="008A4294" w:rsidRPr="001B53A8">
        <w:rPr>
          <w:lang w:val="sr-Latn-BA"/>
        </w:rPr>
        <w:t xml:space="preserve"> </w:t>
      </w:r>
      <w:r w:rsidRPr="001B53A8">
        <w:rPr>
          <w:lang w:val="sr-Latn-BA"/>
        </w:rPr>
        <w:t>može</w:t>
      </w:r>
      <w:r w:rsidR="008A4294" w:rsidRPr="001B53A8">
        <w:rPr>
          <w:lang w:val="sr-Latn-BA"/>
        </w:rPr>
        <w:t xml:space="preserve"> </w:t>
      </w:r>
      <w:r w:rsidRPr="001B53A8">
        <w:rPr>
          <w:lang w:val="sr-Latn-BA"/>
        </w:rPr>
        <w:t>prenijeti</w:t>
      </w:r>
      <w:r w:rsidR="008A4294" w:rsidRPr="001B53A8">
        <w:rPr>
          <w:lang w:val="sr-Latn-BA"/>
        </w:rPr>
        <w:t xml:space="preserve"> </w:t>
      </w:r>
      <w:r w:rsidRPr="001B53A8">
        <w:rPr>
          <w:lang w:val="sr-Latn-BA"/>
        </w:rPr>
        <w:t>na</w:t>
      </w:r>
      <w:r w:rsidR="008A4294" w:rsidRPr="001B53A8">
        <w:rPr>
          <w:lang w:val="sr-Latn-BA"/>
        </w:rPr>
        <w:t xml:space="preserve"> </w:t>
      </w:r>
      <w:r w:rsidRPr="001B53A8">
        <w:rPr>
          <w:lang w:val="sr-Latn-BA"/>
        </w:rPr>
        <w:t>treće</w:t>
      </w:r>
      <w:r w:rsidR="008A4294" w:rsidRPr="001B53A8">
        <w:rPr>
          <w:lang w:val="sr-Latn-BA"/>
        </w:rPr>
        <w:t xml:space="preserve"> </w:t>
      </w:r>
      <w:r w:rsidRPr="001B53A8">
        <w:rPr>
          <w:lang w:val="sr-Latn-BA"/>
        </w:rPr>
        <w:t>lice</w:t>
      </w:r>
      <w:r w:rsidR="008A4294" w:rsidRPr="001B53A8">
        <w:rPr>
          <w:lang w:val="sr-Latn-BA"/>
        </w:rPr>
        <w:t xml:space="preserve"> </w:t>
      </w:r>
      <w:r w:rsidRPr="001B53A8">
        <w:rPr>
          <w:lang w:val="sr-Latn-BA"/>
        </w:rPr>
        <w:t>i</w:t>
      </w:r>
      <w:r w:rsidR="008A4294" w:rsidRPr="001B53A8">
        <w:rPr>
          <w:lang w:val="sr-Latn-BA"/>
        </w:rPr>
        <w:t xml:space="preserve"> </w:t>
      </w:r>
      <w:r w:rsidRPr="001B53A8">
        <w:rPr>
          <w:lang w:val="sr-Latn-BA"/>
        </w:rPr>
        <w:t>načinu</w:t>
      </w:r>
      <w:r w:rsidR="008A4294" w:rsidRPr="001B53A8">
        <w:rPr>
          <w:lang w:val="sr-Latn-BA"/>
        </w:rPr>
        <w:t xml:space="preserve"> </w:t>
      </w:r>
      <w:r w:rsidRPr="001B53A8">
        <w:rPr>
          <w:lang w:val="sr-Latn-BA"/>
        </w:rPr>
        <w:t>prenosa</w:t>
      </w:r>
      <w:r w:rsidR="008A4294" w:rsidRPr="001B53A8">
        <w:rPr>
          <w:lang w:val="sr-Latn-BA"/>
        </w:rPr>
        <w:t xml:space="preserve"> </w:t>
      </w:r>
      <w:r w:rsidRPr="001B53A8">
        <w:rPr>
          <w:lang w:val="sr-Latn-BA"/>
        </w:rPr>
        <w:t>poslova</w:t>
      </w:r>
      <w:r w:rsidR="008A4294" w:rsidRPr="001B53A8">
        <w:rPr>
          <w:lang w:val="sr-Latn-BA"/>
        </w:rPr>
        <w:t xml:space="preserve"> </w:t>
      </w:r>
      <w:r w:rsidRPr="001B53A8">
        <w:rPr>
          <w:lang w:val="sr-Latn-BA"/>
        </w:rPr>
        <w:t>upravlјanja</w:t>
      </w:r>
      <w:r w:rsidR="008A4294" w:rsidRPr="001B53A8">
        <w:rPr>
          <w:lang w:val="sr-Latn-BA"/>
        </w:rPr>
        <w:t xml:space="preserve"> </w:t>
      </w:r>
      <w:r w:rsidRPr="001B53A8">
        <w:rPr>
          <w:lang w:val="sr-Latn-BA"/>
        </w:rPr>
        <w:t>investicionim</w:t>
      </w:r>
      <w:r w:rsidR="008A4294" w:rsidRPr="001B53A8">
        <w:rPr>
          <w:lang w:val="sr-Latn-BA"/>
        </w:rPr>
        <w:t xml:space="preserve"> </w:t>
      </w:r>
      <w:r w:rsidRPr="001B53A8">
        <w:rPr>
          <w:lang w:val="sr-Latn-BA"/>
        </w:rPr>
        <w:t>fondom</w:t>
      </w:r>
      <w:r w:rsidR="008A4294" w:rsidRPr="001B53A8">
        <w:rPr>
          <w:lang w:val="sr-Latn-BA"/>
        </w:rPr>
        <w:t xml:space="preserve"> </w:t>
      </w:r>
      <w:r w:rsidRPr="001B53A8">
        <w:rPr>
          <w:lang w:val="sr-Latn-BA"/>
        </w:rPr>
        <w:t>na</w:t>
      </w:r>
      <w:r w:rsidR="008A4294" w:rsidRPr="001B53A8">
        <w:rPr>
          <w:lang w:val="sr-Latn-BA"/>
        </w:rPr>
        <w:t xml:space="preserve"> </w:t>
      </w:r>
      <w:r w:rsidRPr="001B53A8">
        <w:rPr>
          <w:lang w:val="sr-Latn-BA"/>
        </w:rPr>
        <w:t>drugo</w:t>
      </w:r>
      <w:r w:rsidR="008A4294" w:rsidRPr="001B53A8">
        <w:rPr>
          <w:lang w:val="sr-Latn-BA"/>
        </w:rPr>
        <w:t xml:space="preserve"> </w:t>
      </w:r>
      <w:r w:rsidRPr="001B53A8">
        <w:rPr>
          <w:lang w:val="sr-Latn-BA"/>
        </w:rPr>
        <w:t>društvo</w:t>
      </w:r>
      <w:r w:rsidR="008A4294" w:rsidRPr="001B53A8">
        <w:rPr>
          <w:lang w:val="sr-Latn-BA"/>
        </w:rPr>
        <w:t xml:space="preserve"> </w:t>
      </w:r>
      <w:r w:rsidRPr="001B53A8">
        <w:rPr>
          <w:lang w:val="sr-Latn-BA"/>
        </w:rPr>
        <w:t>za</w:t>
      </w:r>
      <w:r w:rsidR="008A4294" w:rsidRPr="001B53A8">
        <w:rPr>
          <w:lang w:val="sr-Latn-BA"/>
        </w:rPr>
        <w:t xml:space="preserve"> </w:t>
      </w:r>
      <w:r w:rsidRPr="001B53A8">
        <w:rPr>
          <w:lang w:val="sr-Latn-BA"/>
        </w:rPr>
        <w:t>upravlјanje</w:t>
      </w:r>
      <w:r w:rsidR="008A4294" w:rsidRPr="001B53A8">
        <w:rPr>
          <w:lang w:val="sr-Latn-BA"/>
        </w:rPr>
        <w:t>,</w:t>
      </w:r>
    </w:p>
    <w:p w14:paraId="5F192088" w14:textId="4A837000" w:rsidR="008A4294" w:rsidRPr="001B53A8" w:rsidRDefault="00003F34" w:rsidP="008A4294">
      <w:pPr>
        <w:pStyle w:val="ListParagraph"/>
        <w:numPr>
          <w:ilvl w:val="0"/>
          <w:numId w:val="5"/>
        </w:numPr>
        <w:spacing w:before="0" w:after="0" w:line="240" w:lineRule="auto"/>
        <w:rPr>
          <w:lang w:val="sr-Latn-BA"/>
        </w:rPr>
      </w:pPr>
      <w:r w:rsidRPr="001B53A8">
        <w:rPr>
          <w:lang w:val="sr-Latn-BA"/>
        </w:rPr>
        <w:t>Pravilnik</w:t>
      </w:r>
      <w:r w:rsidR="008A4294" w:rsidRPr="001B53A8">
        <w:rPr>
          <w:lang w:val="sr-Latn-BA"/>
        </w:rPr>
        <w:t xml:space="preserve"> </w:t>
      </w:r>
      <w:r w:rsidRPr="001B53A8">
        <w:rPr>
          <w:lang w:val="sr-Latn-BA"/>
        </w:rPr>
        <w:t>o</w:t>
      </w:r>
      <w:r w:rsidR="008A4294" w:rsidRPr="001B53A8">
        <w:rPr>
          <w:lang w:val="sr-Latn-BA"/>
        </w:rPr>
        <w:t xml:space="preserve"> </w:t>
      </w:r>
      <w:r w:rsidRPr="001B53A8">
        <w:rPr>
          <w:lang w:val="sr-Latn-BA"/>
        </w:rPr>
        <w:t>preoblikovanju</w:t>
      </w:r>
      <w:r w:rsidR="008A4294" w:rsidRPr="001B53A8">
        <w:rPr>
          <w:lang w:val="sr-Latn-BA"/>
        </w:rPr>
        <w:t xml:space="preserve"> </w:t>
      </w:r>
      <w:r w:rsidRPr="001B53A8">
        <w:rPr>
          <w:lang w:val="sr-Latn-BA"/>
        </w:rPr>
        <w:t>zatvorenog</w:t>
      </w:r>
      <w:r w:rsidR="008A4294" w:rsidRPr="001B53A8">
        <w:rPr>
          <w:lang w:val="sr-Latn-BA"/>
        </w:rPr>
        <w:t xml:space="preserve"> </w:t>
      </w:r>
      <w:r w:rsidRPr="001B53A8">
        <w:rPr>
          <w:lang w:val="sr-Latn-BA"/>
        </w:rPr>
        <w:t>investicionog</w:t>
      </w:r>
      <w:r w:rsidR="008A4294" w:rsidRPr="001B53A8">
        <w:rPr>
          <w:lang w:val="sr-Latn-BA"/>
        </w:rPr>
        <w:t xml:space="preserve"> </w:t>
      </w:r>
      <w:r w:rsidRPr="001B53A8">
        <w:rPr>
          <w:lang w:val="sr-Latn-BA"/>
        </w:rPr>
        <w:t>fonda</w:t>
      </w:r>
      <w:r w:rsidR="008A4294" w:rsidRPr="001B53A8">
        <w:rPr>
          <w:lang w:val="sr-Latn-BA"/>
        </w:rPr>
        <w:t xml:space="preserve">, </w:t>
      </w:r>
    </w:p>
    <w:p w14:paraId="6201F3F8" w14:textId="4867F093" w:rsidR="008A4294" w:rsidRPr="001B53A8" w:rsidRDefault="00003F34" w:rsidP="008A4294">
      <w:pPr>
        <w:pStyle w:val="ListParagraph"/>
        <w:numPr>
          <w:ilvl w:val="0"/>
          <w:numId w:val="5"/>
        </w:numPr>
        <w:spacing w:before="0" w:after="0" w:line="240" w:lineRule="auto"/>
        <w:rPr>
          <w:lang w:val="sr-Latn-BA"/>
        </w:rPr>
      </w:pPr>
      <w:r w:rsidRPr="001B53A8">
        <w:rPr>
          <w:lang w:val="sr-Latn-BA"/>
        </w:rPr>
        <w:t>Pravilnik</w:t>
      </w:r>
      <w:r w:rsidR="008A4294" w:rsidRPr="001B53A8">
        <w:rPr>
          <w:lang w:val="sr-Latn-BA"/>
        </w:rPr>
        <w:t xml:space="preserve"> </w:t>
      </w:r>
      <w:r w:rsidRPr="001B53A8">
        <w:rPr>
          <w:lang w:val="sr-Latn-BA"/>
        </w:rPr>
        <w:t>o</w:t>
      </w:r>
      <w:r w:rsidR="008A4294" w:rsidRPr="001B53A8">
        <w:rPr>
          <w:lang w:val="sr-Latn-BA"/>
        </w:rPr>
        <w:t xml:space="preserve"> </w:t>
      </w:r>
      <w:r w:rsidRPr="001B53A8">
        <w:rPr>
          <w:lang w:val="sr-Latn-BA"/>
        </w:rPr>
        <w:t>adekvatnosti</w:t>
      </w:r>
      <w:r w:rsidR="008A4294" w:rsidRPr="001B53A8">
        <w:rPr>
          <w:lang w:val="sr-Latn-BA"/>
        </w:rPr>
        <w:t xml:space="preserve"> </w:t>
      </w:r>
      <w:r w:rsidRPr="001B53A8">
        <w:rPr>
          <w:lang w:val="sr-Latn-BA"/>
        </w:rPr>
        <w:t>kapitala</w:t>
      </w:r>
      <w:r w:rsidR="008A4294" w:rsidRPr="001B53A8">
        <w:rPr>
          <w:lang w:val="sr-Latn-BA"/>
        </w:rPr>
        <w:t xml:space="preserve"> </w:t>
      </w:r>
      <w:r w:rsidRPr="001B53A8">
        <w:rPr>
          <w:lang w:val="sr-Latn-BA"/>
        </w:rPr>
        <w:t>društva</w:t>
      </w:r>
      <w:r w:rsidR="008A4294" w:rsidRPr="001B53A8">
        <w:rPr>
          <w:lang w:val="sr-Latn-BA"/>
        </w:rPr>
        <w:t xml:space="preserve"> </w:t>
      </w:r>
      <w:r w:rsidRPr="001B53A8">
        <w:rPr>
          <w:lang w:val="sr-Latn-BA"/>
        </w:rPr>
        <w:t>za</w:t>
      </w:r>
      <w:r w:rsidR="008A4294" w:rsidRPr="001B53A8">
        <w:rPr>
          <w:lang w:val="sr-Latn-BA"/>
        </w:rPr>
        <w:t xml:space="preserve"> </w:t>
      </w:r>
      <w:r w:rsidRPr="001B53A8">
        <w:rPr>
          <w:lang w:val="sr-Latn-BA"/>
        </w:rPr>
        <w:t>upravlјanje</w:t>
      </w:r>
      <w:r w:rsidR="008A4294" w:rsidRPr="001B53A8">
        <w:rPr>
          <w:lang w:val="sr-Latn-BA"/>
        </w:rPr>
        <w:t xml:space="preserve"> </w:t>
      </w:r>
      <w:r w:rsidRPr="001B53A8">
        <w:rPr>
          <w:lang w:val="sr-Latn-BA"/>
        </w:rPr>
        <w:t>investicionim</w:t>
      </w:r>
      <w:r w:rsidR="008A4294" w:rsidRPr="001B53A8">
        <w:rPr>
          <w:lang w:val="sr-Latn-BA"/>
        </w:rPr>
        <w:t xml:space="preserve"> </w:t>
      </w:r>
      <w:r w:rsidRPr="001B53A8">
        <w:rPr>
          <w:lang w:val="sr-Latn-BA"/>
        </w:rPr>
        <w:t>fondovima</w:t>
      </w:r>
      <w:r w:rsidR="008A4294" w:rsidRPr="001B53A8">
        <w:rPr>
          <w:lang w:val="sr-Latn-BA"/>
        </w:rPr>
        <w:t>,</w:t>
      </w:r>
    </w:p>
    <w:p w14:paraId="7FF966E1" w14:textId="52B70DAC" w:rsidR="008A4294" w:rsidRPr="001B53A8" w:rsidRDefault="00003F34" w:rsidP="008A4294">
      <w:pPr>
        <w:pStyle w:val="ListParagraph"/>
        <w:numPr>
          <w:ilvl w:val="0"/>
          <w:numId w:val="5"/>
        </w:numPr>
        <w:spacing w:before="0" w:after="0" w:line="240" w:lineRule="auto"/>
        <w:rPr>
          <w:lang w:val="sr-Latn-BA"/>
        </w:rPr>
      </w:pPr>
      <w:r w:rsidRPr="001B53A8">
        <w:rPr>
          <w:lang w:val="sr-Latn-BA"/>
        </w:rPr>
        <w:t>Pravilnik</w:t>
      </w:r>
      <w:r w:rsidR="008A4294" w:rsidRPr="001B53A8">
        <w:rPr>
          <w:lang w:val="sr-Latn-BA"/>
        </w:rPr>
        <w:t xml:space="preserve"> </w:t>
      </w:r>
      <w:r w:rsidRPr="001B53A8">
        <w:rPr>
          <w:lang w:val="sr-Latn-BA"/>
        </w:rPr>
        <w:t>o</w:t>
      </w:r>
      <w:r w:rsidR="008A4294" w:rsidRPr="001B53A8">
        <w:rPr>
          <w:lang w:val="sr-Latn-BA"/>
        </w:rPr>
        <w:t xml:space="preserve"> </w:t>
      </w:r>
      <w:r w:rsidRPr="001B53A8">
        <w:rPr>
          <w:lang w:val="sr-Latn-BA"/>
        </w:rPr>
        <w:t>reorganizaciji</w:t>
      </w:r>
      <w:r w:rsidR="008A4294" w:rsidRPr="001B53A8">
        <w:rPr>
          <w:lang w:val="sr-Latn-BA"/>
        </w:rPr>
        <w:t xml:space="preserve"> </w:t>
      </w:r>
      <w:r w:rsidRPr="001B53A8">
        <w:rPr>
          <w:lang w:val="sr-Latn-BA"/>
        </w:rPr>
        <w:t>zatvorenog</w:t>
      </w:r>
      <w:r w:rsidR="008A4294" w:rsidRPr="001B53A8">
        <w:rPr>
          <w:lang w:val="sr-Latn-BA"/>
        </w:rPr>
        <w:t xml:space="preserve"> </w:t>
      </w:r>
      <w:r w:rsidRPr="001B53A8">
        <w:rPr>
          <w:lang w:val="sr-Latn-BA"/>
        </w:rPr>
        <w:t>investicionog</w:t>
      </w:r>
      <w:r w:rsidR="008A4294" w:rsidRPr="001B53A8">
        <w:rPr>
          <w:lang w:val="sr-Latn-BA"/>
        </w:rPr>
        <w:t xml:space="preserve"> </w:t>
      </w:r>
      <w:r w:rsidRPr="001B53A8">
        <w:rPr>
          <w:lang w:val="sr-Latn-BA"/>
        </w:rPr>
        <w:t>fonda</w:t>
      </w:r>
      <w:r w:rsidR="008A4294" w:rsidRPr="001B53A8">
        <w:rPr>
          <w:lang w:val="sr-Latn-BA"/>
        </w:rPr>
        <w:t>,</w:t>
      </w:r>
    </w:p>
    <w:p w14:paraId="1DECB443" w14:textId="47F68016" w:rsidR="008A4294" w:rsidRPr="001B53A8" w:rsidRDefault="00003F34" w:rsidP="008A4294">
      <w:pPr>
        <w:pStyle w:val="ListParagraph"/>
        <w:numPr>
          <w:ilvl w:val="0"/>
          <w:numId w:val="5"/>
        </w:numPr>
        <w:spacing w:before="0" w:after="0" w:line="240" w:lineRule="auto"/>
        <w:rPr>
          <w:lang w:val="sr-Latn-BA"/>
        </w:rPr>
      </w:pPr>
      <w:r w:rsidRPr="001B53A8">
        <w:rPr>
          <w:lang w:val="sr-Latn-BA"/>
        </w:rPr>
        <w:t>Pravilnik</w:t>
      </w:r>
      <w:r w:rsidR="008A4294" w:rsidRPr="001B53A8">
        <w:rPr>
          <w:lang w:val="sr-Latn-BA"/>
        </w:rPr>
        <w:t xml:space="preserve"> </w:t>
      </w:r>
      <w:r w:rsidRPr="001B53A8">
        <w:rPr>
          <w:lang w:val="sr-Latn-BA"/>
        </w:rPr>
        <w:t>kojim</w:t>
      </w:r>
      <w:r w:rsidR="008A4294" w:rsidRPr="001B53A8">
        <w:rPr>
          <w:lang w:val="sr-Latn-BA"/>
        </w:rPr>
        <w:t xml:space="preserve"> </w:t>
      </w:r>
      <w:r w:rsidRPr="001B53A8">
        <w:rPr>
          <w:lang w:val="sr-Latn-BA"/>
        </w:rPr>
        <w:t>se</w:t>
      </w:r>
      <w:r w:rsidR="008A4294" w:rsidRPr="001B53A8">
        <w:rPr>
          <w:lang w:val="sr-Latn-BA"/>
        </w:rPr>
        <w:t xml:space="preserve"> </w:t>
      </w:r>
      <w:r w:rsidRPr="001B53A8">
        <w:rPr>
          <w:lang w:val="sr-Latn-BA"/>
        </w:rPr>
        <w:t>uređuje</w:t>
      </w:r>
      <w:r w:rsidR="008A4294" w:rsidRPr="001B53A8">
        <w:rPr>
          <w:lang w:val="sr-Latn-BA"/>
        </w:rPr>
        <w:t xml:space="preserve"> </w:t>
      </w:r>
      <w:r w:rsidRPr="001B53A8">
        <w:rPr>
          <w:lang w:val="sr-Latn-BA"/>
        </w:rPr>
        <w:t>postupak</w:t>
      </w:r>
      <w:r w:rsidR="008A4294" w:rsidRPr="001B53A8">
        <w:rPr>
          <w:lang w:val="sr-Latn-BA"/>
        </w:rPr>
        <w:t xml:space="preserve">, </w:t>
      </w:r>
      <w:r w:rsidRPr="001B53A8">
        <w:rPr>
          <w:lang w:val="sr-Latn-BA"/>
        </w:rPr>
        <w:t>troškovi</w:t>
      </w:r>
      <w:r w:rsidR="008A4294" w:rsidRPr="001B53A8">
        <w:rPr>
          <w:lang w:val="sr-Latn-BA"/>
        </w:rPr>
        <w:t xml:space="preserve"> </w:t>
      </w:r>
      <w:r w:rsidRPr="001B53A8">
        <w:rPr>
          <w:lang w:val="sr-Latn-BA"/>
        </w:rPr>
        <w:t>i</w:t>
      </w:r>
      <w:r w:rsidR="008A4294" w:rsidRPr="001B53A8">
        <w:rPr>
          <w:lang w:val="sr-Latn-BA"/>
        </w:rPr>
        <w:t xml:space="preserve"> </w:t>
      </w:r>
      <w:r w:rsidRPr="001B53A8">
        <w:rPr>
          <w:lang w:val="sr-Latn-BA"/>
        </w:rPr>
        <w:t>rokovi</w:t>
      </w:r>
      <w:r w:rsidR="008A4294" w:rsidRPr="001B53A8">
        <w:rPr>
          <w:lang w:val="sr-Latn-BA"/>
        </w:rPr>
        <w:t xml:space="preserve"> </w:t>
      </w:r>
      <w:r w:rsidRPr="001B53A8">
        <w:rPr>
          <w:lang w:val="sr-Latn-BA"/>
        </w:rPr>
        <w:t>likvidacije</w:t>
      </w:r>
      <w:r w:rsidR="008A4294" w:rsidRPr="001B53A8">
        <w:rPr>
          <w:lang w:val="sr-Latn-BA"/>
        </w:rPr>
        <w:t xml:space="preserve"> </w:t>
      </w:r>
      <w:r w:rsidRPr="001B53A8">
        <w:rPr>
          <w:lang w:val="sr-Latn-BA"/>
        </w:rPr>
        <w:t>investicionih</w:t>
      </w:r>
      <w:r w:rsidR="008A4294" w:rsidRPr="001B53A8">
        <w:rPr>
          <w:lang w:val="sr-Latn-BA"/>
        </w:rPr>
        <w:t xml:space="preserve"> </w:t>
      </w:r>
      <w:r w:rsidRPr="001B53A8">
        <w:rPr>
          <w:lang w:val="sr-Latn-BA"/>
        </w:rPr>
        <w:t>fondova</w:t>
      </w:r>
      <w:r w:rsidR="008A4294" w:rsidRPr="001B53A8">
        <w:rPr>
          <w:lang w:val="sr-Latn-BA"/>
        </w:rPr>
        <w:t>,</w:t>
      </w:r>
    </w:p>
    <w:p w14:paraId="1CCC1ED2" w14:textId="6571CA78" w:rsidR="008A4294" w:rsidRPr="001B53A8" w:rsidRDefault="00003F34" w:rsidP="008A4294">
      <w:pPr>
        <w:pStyle w:val="ListParagraph"/>
        <w:numPr>
          <w:ilvl w:val="0"/>
          <w:numId w:val="5"/>
        </w:numPr>
        <w:spacing w:before="0" w:after="0" w:line="240" w:lineRule="auto"/>
        <w:rPr>
          <w:lang w:val="sr-Latn-BA"/>
        </w:rPr>
      </w:pPr>
      <w:r w:rsidRPr="001B53A8">
        <w:rPr>
          <w:lang w:val="sr-Latn-BA"/>
        </w:rPr>
        <w:t>Pravilnik</w:t>
      </w:r>
      <w:r w:rsidR="008A4294" w:rsidRPr="001B53A8">
        <w:rPr>
          <w:lang w:val="sr-Latn-BA"/>
        </w:rPr>
        <w:t xml:space="preserve"> </w:t>
      </w:r>
      <w:r w:rsidRPr="001B53A8">
        <w:rPr>
          <w:lang w:val="sr-Latn-BA"/>
        </w:rPr>
        <w:t>o</w:t>
      </w:r>
      <w:r w:rsidR="008A4294" w:rsidRPr="001B53A8">
        <w:rPr>
          <w:lang w:val="sr-Latn-BA"/>
        </w:rPr>
        <w:t xml:space="preserve"> </w:t>
      </w:r>
      <w:r w:rsidRPr="001B53A8">
        <w:rPr>
          <w:lang w:val="sr-Latn-BA"/>
        </w:rPr>
        <w:t>udjelima</w:t>
      </w:r>
      <w:r w:rsidR="008A4294" w:rsidRPr="001B53A8">
        <w:rPr>
          <w:lang w:val="sr-Latn-BA"/>
        </w:rPr>
        <w:t xml:space="preserve"> </w:t>
      </w:r>
      <w:r w:rsidRPr="001B53A8">
        <w:rPr>
          <w:lang w:val="sr-Latn-BA"/>
        </w:rPr>
        <w:t>otvorenog</w:t>
      </w:r>
      <w:r w:rsidR="008A4294" w:rsidRPr="001B53A8">
        <w:rPr>
          <w:lang w:val="sr-Latn-BA"/>
        </w:rPr>
        <w:t xml:space="preserve"> </w:t>
      </w:r>
      <w:r w:rsidRPr="001B53A8">
        <w:rPr>
          <w:lang w:val="sr-Latn-BA"/>
        </w:rPr>
        <w:t>investicionog</w:t>
      </w:r>
      <w:r w:rsidR="008A4294" w:rsidRPr="001B53A8">
        <w:rPr>
          <w:lang w:val="sr-Latn-BA"/>
        </w:rPr>
        <w:t xml:space="preserve"> </w:t>
      </w:r>
      <w:r w:rsidRPr="001B53A8">
        <w:rPr>
          <w:lang w:val="sr-Latn-BA"/>
        </w:rPr>
        <w:t>fonda</w:t>
      </w:r>
      <w:r w:rsidR="008A4294" w:rsidRPr="001B53A8">
        <w:rPr>
          <w:lang w:val="sr-Latn-BA"/>
        </w:rPr>
        <w:t>,</w:t>
      </w:r>
    </w:p>
    <w:p w14:paraId="5DC725C5" w14:textId="6BE07B86" w:rsidR="008A4294" w:rsidRPr="001B53A8" w:rsidRDefault="00003F34" w:rsidP="008A4294">
      <w:pPr>
        <w:pStyle w:val="ListParagraph"/>
        <w:numPr>
          <w:ilvl w:val="0"/>
          <w:numId w:val="5"/>
        </w:numPr>
        <w:spacing w:before="0" w:after="0" w:line="240" w:lineRule="auto"/>
        <w:rPr>
          <w:lang w:val="sr-Latn-BA"/>
        </w:rPr>
      </w:pPr>
      <w:r w:rsidRPr="001B53A8">
        <w:rPr>
          <w:lang w:val="sr-Latn-BA"/>
        </w:rPr>
        <w:t>Pravilnik</w:t>
      </w:r>
      <w:r w:rsidR="008A4294" w:rsidRPr="001B53A8">
        <w:rPr>
          <w:lang w:val="sr-Latn-BA"/>
        </w:rPr>
        <w:t xml:space="preserve"> </w:t>
      </w:r>
      <w:r w:rsidRPr="001B53A8">
        <w:rPr>
          <w:lang w:val="sr-Latn-BA"/>
        </w:rPr>
        <w:t>o</w:t>
      </w:r>
      <w:r w:rsidR="008A4294" w:rsidRPr="001B53A8">
        <w:rPr>
          <w:lang w:val="sr-Latn-BA"/>
        </w:rPr>
        <w:t xml:space="preserve"> </w:t>
      </w:r>
      <w:r w:rsidRPr="001B53A8">
        <w:rPr>
          <w:lang w:val="sr-Latn-BA"/>
        </w:rPr>
        <w:t>trgovanju</w:t>
      </w:r>
      <w:r w:rsidR="008A4294" w:rsidRPr="001B53A8">
        <w:rPr>
          <w:lang w:val="sr-Latn-BA"/>
        </w:rPr>
        <w:t xml:space="preserve"> </w:t>
      </w:r>
      <w:r w:rsidRPr="001B53A8">
        <w:rPr>
          <w:lang w:val="sr-Latn-BA"/>
        </w:rPr>
        <w:t>udjelima</w:t>
      </w:r>
      <w:r w:rsidR="008A4294" w:rsidRPr="001B53A8">
        <w:rPr>
          <w:lang w:val="sr-Latn-BA"/>
        </w:rPr>
        <w:t xml:space="preserve"> </w:t>
      </w:r>
      <w:r w:rsidRPr="001B53A8">
        <w:rPr>
          <w:lang w:val="sr-Latn-BA"/>
        </w:rPr>
        <w:t>otvorenog</w:t>
      </w:r>
      <w:r w:rsidR="008A4294" w:rsidRPr="001B53A8">
        <w:rPr>
          <w:lang w:val="sr-Latn-BA"/>
        </w:rPr>
        <w:t xml:space="preserve"> </w:t>
      </w:r>
      <w:r w:rsidRPr="001B53A8">
        <w:rPr>
          <w:lang w:val="sr-Latn-BA"/>
        </w:rPr>
        <w:t>investicionog</w:t>
      </w:r>
      <w:r w:rsidR="008A4294" w:rsidRPr="001B53A8">
        <w:rPr>
          <w:lang w:val="sr-Latn-BA"/>
        </w:rPr>
        <w:t xml:space="preserve"> </w:t>
      </w:r>
      <w:r w:rsidRPr="001B53A8">
        <w:rPr>
          <w:lang w:val="sr-Latn-BA"/>
        </w:rPr>
        <w:t>fonda</w:t>
      </w:r>
      <w:r w:rsidR="008A4294" w:rsidRPr="001B53A8">
        <w:rPr>
          <w:lang w:val="sr-Latn-BA"/>
        </w:rPr>
        <w:t xml:space="preserve"> </w:t>
      </w:r>
      <w:r w:rsidRPr="001B53A8">
        <w:rPr>
          <w:lang w:val="sr-Latn-BA"/>
        </w:rPr>
        <w:t>i</w:t>
      </w:r>
    </w:p>
    <w:p w14:paraId="002BAFC6" w14:textId="0DD3B98C" w:rsidR="00BC6DCF" w:rsidRPr="001B53A8" w:rsidRDefault="00003F34" w:rsidP="008A4294">
      <w:pPr>
        <w:pStyle w:val="ListParagraph"/>
        <w:numPr>
          <w:ilvl w:val="0"/>
          <w:numId w:val="5"/>
        </w:numPr>
        <w:spacing w:before="0" w:after="0" w:line="240" w:lineRule="auto"/>
        <w:contextualSpacing w:val="0"/>
        <w:rPr>
          <w:lang w:val="sr-Latn-BA"/>
        </w:rPr>
      </w:pPr>
      <w:r w:rsidRPr="001B53A8">
        <w:rPr>
          <w:lang w:val="sr-Latn-BA"/>
        </w:rPr>
        <w:t>Pravilnik</w:t>
      </w:r>
      <w:r w:rsidR="008A4294" w:rsidRPr="001B53A8">
        <w:rPr>
          <w:lang w:val="sr-Latn-BA"/>
        </w:rPr>
        <w:t xml:space="preserve"> </w:t>
      </w:r>
      <w:r w:rsidRPr="001B53A8">
        <w:rPr>
          <w:lang w:val="sr-Latn-BA"/>
        </w:rPr>
        <w:t>o</w:t>
      </w:r>
      <w:r w:rsidR="008A4294" w:rsidRPr="001B53A8">
        <w:rPr>
          <w:lang w:val="sr-Latn-BA"/>
        </w:rPr>
        <w:t xml:space="preserve"> </w:t>
      </w:r>
      <w:r w:rsidRPr="001B53A8">
        <w:rPr>
          <w:lang w:val="sr-Latn-BA"/>
        </w:rPr>
        <w:t>obaveznom</w:t>
      </w:r>
      <w:r w:rsidR="008A4294" w:rsidRPr="001B53A8">
        <w:rPr>
          <w:lang w:val="sr-Latn-BA"/>
        </w:rPr>
        <w:t xml:space="preserve"> </w:t>
      </w:r>
      <w:r w:rsidRPr="001B53A8">
        <w:rPr>
          <w:lang w:val="sr-Latn-BA"/>
        </w:rPr>
        <w:t>sadržaju</w:t>
      </w:r>
      <w:r w:rsidR="008A4294" w:rsidRPr="001B53A8">
        <w:rPr>
          <w:lang w:val="sr-Latn-BA"/>
        </w:rPr>
        <w:t xml:space="preserve"> </w:t>
      </w:r>
      <w:r w:rsidRPr="001B53A8">
        <w:rPr>
          <w:lang w:val="sr-Latn-BA"/>
        </w:rPr>
        <w:t>zahtjeva</w:t>
      </w:r>
      <w:r w:rsidR="008A4294" w:rsidRPr="001B53A8">
        <w:rPr>
          <w:lang w:val="sr-Latn-BA"/>
        </w:rPr>
        <w:t xml:space="preserve"> </w:t>
      </w:r>
      <w:r w:rsidRPr="001B53A8">
        <w:rPr>
          <w:lang w:val="sr-Latn-BA"/>
        </w:rPr>
        <w:t>za</w:t>
      </w:r>
      <w:r w:rsidR="008A4294" w:rsidRPr="001B53A8">
        <w:rPr>
          <w:lang w:val="sr-Latn-BA"/>
        </w:rPr>
        <w:t xml:space="preserve"> </w:t>
      </w:r>
      <w:r w:rsidRPr="001B53A8">
        <w:rPr>
          <w:lang w:val="sr-Latn-BA"/>
        </w:rPr>
        <w:t>izdavanje</w:t>
      </w:r>
      <w:r w:rsidR="008A4294" w:rsidRPr="001B53A8">
        <w:rPr>
          <w:lang w:val="sr-Latn-BA"/>
        </w:rPr>
        <w:t xml:space="preserve"> </w:t>
      </w:r>
      <w:r w:rsidRPr="001B53A8">
        <w:rPr>
          <w:lang w:val="sr-Latn-BA"/>
        </w:rPr>
        <w:t>dozvole</w:t>
      </w:r>
      <w:r w:rsidR="008A4294" w:rsidRPr="001B53A8">
        <w:rPr>
          <w:lang w:val="sr-Latn-BA"/>
        </w:rPr>
        <w:t xml:space="preserve"> </w:t>
      </w:r>
      <w:r w:rsidRPr="001B53A8">
        <w:rPr>
          <w:lang w:val="sr-Latn-BA"/>
        </w:rPr>
        <w:t>za</w:t>
      </w:r>
      <w:r w:rsidR="008A4294" w:rsidRPr="001B53A8">
        <w:rPr>
          <w:lang w:val="sr-Latn-BA"/>
        </w:rPr>
        <w:t xml:space="preserve"> </w:t>
      </w:r>
      <w:r w:rsidRPr="001B53A8">
        <w:rPr>
          <w:lang w:val="sr-Latn-BA"/>
        </w:rPr>
        <w:t>osnivanje</w:t>
      </w:r>
      <w:r w:rsidR="008A4294" w:rsidRPr="001B53A8">
        <w:rPr>
          <w:lang w:val="sr-Latn-BA"/>
        </w:rPr>
        <w:t xml:space="preserve">, </w:t>
      </w:r>
      <w:r w:rsidRPr="001B53A8">
        <w:rPr>
          <w:lang w:val="sr-Latn-BA"/>
        </w:rPr>
        <w:t>sadržaju</w:t>
      </w:r>
      <w:r w:rsidR="008A4294" w:rsidRPr="001B53A8">
        <w:rPr>
          <w:lang w:val="sr-Latn-BA"/>
        </w:rPr>
        <w:t xml:space="preserve"> </w:t>
      </w:r>
      <w:r w:rsidRPr="001B53A8">
        <w:rPr>
          <w:lang w:val="sr-Latn-BA"/>
        </w:rPr>
        <w:t>prospekta</w:t>
      </w:r>
      <w:r w:rsidR="008A4294" w:rsidRPr="001B53A8">
        <w:rPr>
          <w:lang w:val="sr-Latn-BA"/>
        </w:rPr>
        <w:t xml:space="preserve"> </w:t>
      </w:r>
      <w:r w:rsidRPr="001B53A8">
        <w:rPr>
          <w:lang w:val="sr-Latn-BA"/>
        </w:rPr>
        <w:t>i</w:t>
      </w:r>
      <w:r w:rsidR="008A4294" w:rsidRPr="001B53A8">
        <w:rPr>
          <w:lang w:val="sr-Latn-BA"/>
        </w:rPr>
        <w:t xml:space="preserve"> </w:t>
      </w:r>
      <w:r w:rsidRPr="001B53A8">
        <w:rPr>
          <w:lang w:val="sr-Latn-BA"/>
        </w:rPr>
        <w:t>zahtjeva</w:t>
      </w:r>
      <w:r w:rsidR="008A4294" w:rsidRPr="001B53A8">
        <w:rPr>
          <w:lang w:val="sr-Latn-BA"/>
        </w:rPr>
        <w:t xml:space="preserve"> </w:t>
      </w:r>
      <w:r w:rsidRPr="001B53A8">
        <w:rPr>
          <w:lang w:val="sr-Latn-BA"/>
        </w:rPr>
        <w:t>za</w:t>
      </w:r>
      <w:r w:rsidR="008A4294" w:rsidRPr="001B53A8">
        <w:rPr>
          <w:lang w:val="sr-Latn-BA"/>
        </w:rPr>
        <w:t xml:space="preserve"> </w:t>
      </w:r>
      <w:r w:rsidRPr="001B53A8">
        <w:rPr>
          <w:lang w:val="sr-Latn-BA"/>
        </w:rPr>
        <w:t>izmjenu</w:t>
      </w:r>
      <w:r w:rsidR="008A4294" w:rsidRPr="001B53A8">
        <w:rPr>
          <w:lang w:val="sr-Latn-BA"/>
        </w:rPr>
        <w:t xml:space="preserve"> </w:t>
      </w:r>
      <w:r w:rsidRPr="001B53A8">
        <w:rPr>
          <w:lang w:val="sr-Latn-BA"/>
        </w:rPr>
        <w:t>prospekta</w:t>
      </w:r>
      <w:r w:rsidR="008A4294" w:rsidRPr="001B53A8">
        <w:rPr>
          <w:lang w:val="sr-Latn-BA"/>
        </w:rPr>
        <w:t xml:space="preserve"> </w:t>
      </w:r>
      <w:r w:rsidRPr="001B53A8">
        <w:rPr>
          <w:lang w:val="sr-Latn-BA"/>
        </w:rPr>
        <w:t>otvorenih</w:t>
      </w:r>
      <w:r w:rsidR="008A4294" w:rsidRPr="001B53A8">
        <w:rPr>
          <w:lang w:val="sr-Latn-BA"/>
        </w:rPr>
        <w:t xml:space="preserve"> </w:t>
      </w:r>
      <w:r w:rsidRPr="001B53A8">
        <w:rPr>
          <w:lang w:val="sr-Latn-BA"/>
        </w:rPr>
        <w:t>investicionih</w:t>
      </w:r>
      <w:r w:rsidR="008A4294" w:rsidRPr="001B53A8">
        <w:rPr>
          <w:lang w:val="sr-Latn-BA"/>
        </w:rPr>
        <w:t xml:space="preserve"> </w:t>
      </w:r>
      <w:r w:rsidRPr="001B53A8">
        <w:rPr>
          <w:lang w:val="sr-Latn-BA"/>
        </w:rPr>
        <w:t>fondova</w:t>
      </w:r>
      <w:r w:rsidR="008A4294" w:rsidRPr="001B53A8">
        <w:rPr>
          <w:lang w:val="sr-Latn-BA"/>
        </w:rPr>
        <w:t xml:space="preserve"> </w:t>
      </w:r>
      <w:r w:rsidRPr="001B53A8">
        <w:rPr>
          <w:lang w:val="sr-Latn-BA"/>
        </w:rPr>
        <w:t>sa</w:t>
      </w:r>
      <w:r w:rsidR="008A4294" w:rsidRPr="001B53A8">
        <w:rPr>
          <w:lang w:val="sr-Latn-BA"/>
        </w:rPr>
        <w:t xml:space="preserve"> </w:t>
      </w:r>
      <w:r w:rsidRPr="001B53A8">
        <w:rPr>
          <w:lang w:val="sr-Latn-BA"/>
        </w:rPr>
        <w:t>javnom</w:t>
      </w:r>
      <w:r w:rsidR="008A4294" w:rsidRPr="001B53A8">
        <w:rPr>
          <w:lang w:val="sr-Latn-BA"/>
        </w:rPr>
        <w:t xml:space="preserve"> </w:t>
      </w:r>
      <w:r w:rsidRPr="001B53A8">
        <w:rPr>
          <w:lang w:val="sr-Latn-BA"/>
        </w:rPr>
        <w:t>ponudom</w:t>
      </w:r>
      <w:r w:rsidR="00BC6DCF" w:rsidRPr="001B53A8">
        <w:rPr>
          <w:lang w:val="sr-Latn-BA"/>
        </w:rPr>
        <w:t>.</w:t>
      </w:r>
    </w:p>
    <w:p w14:paraId="34267851" w14:textId="16A630F7" w:rsidR="00906364" w:rsidRPr="001B53A8" w:rsidRDefault="00003F34" w:rsidP="00906364">
      <w:pPr>
        <w:pStyle w:val="ListParagraph"/>
        <w:numPr>
          <w:ilvl w:val="0"/>
          <w:numId w:val="5"/>
        </w:numPr>
        <w:spacing w:before="0" w:after="0" w:line="240" w:lineRule="auto"/>
        <w:contextualSpacing w:val="0"/>
        <w:rPr>
          <w:lang w:val="sr-Latn-BA"/>
        </w:rPr>
      </w:pPr>
      <w:r w:rsidRPr="001B53A8">
        <w:rPr>
          <w:lang w:val="sr-Latn-BA"/>
        </w:rPr>
        <w:t>Pravilnik</w:t>
      </w:r>
      <w:r w:rsidR="00906364" w:rsidRPr="001B53A8">
        <w:rPr>
          <w:lang w:val="sr-Latn-BA"/>
        </w:rPr>
        <w:t xml:space="preserve"> </w:t>
      </w:r>
      <w:r w:rsidRPr="001B53A8">
        <w:rPr>
          <w:lang w:val="sr-Latn-BA"/>
        </w:rPr>
        <w:t>o</w:t>
      </w:r>
      <w:r w:rsidR="00906364" w:rsidRPr="001B53A8">
        <w:rPr>
          <w:lang w:val="sr-Latn-BA"/>
        </w:rPr>
        <w:t xml:space="preserve"> </w:t>
      </w:r>
      <w:r w:rsidRPr="001B53A8">
        <w:rPr>
          <w:lang w:val="sr-Latn-BA"/>
        </w:rPr>
        <w:t>izdavanju</w:t>
      </w:r>
      <w:r w:rsidR="00906364" w:rsidRPr="001B53A8">
        <w:rPr>
          <w:lang w:val="sr-Latn-BA"/>
        </w:rPr>
        <w:t xml:space="preserve"> </w:t>
      </w:r>
      <w:r w:rsidRPr="001B53A8">
        <w:rPr>
          <w:lang w:val="sr-Latn-BA"/>
        </w:rPr>
        <w:t>dozvole</w:t>
      </w:r>
      <w:r w:rsidR="00906364" w:rsidRPr="001B53A8">
        <w:rPr>
          <w:lang w:val="sr-Latn-BA"/>
        </w:rPr>
        <w:t xml:space="preserve"> </w:t>
      </w:r>
      <w:r w:rsidRPr="001B53A8">
        <w:rPr>
          <w:lang w:val="sr-Latn-BA"/>
        </w:rPr>
        <w:t>za</w:t>
      </w:r>
      <w:r w:rsidR="00906364" w:rsidRPr="001B53A8">
        <w:rPr>
          <w:lang w:val="sr-Latn-BA"/>
        </w:rPr>
        <w:t xml:space="preserve"> </w:t>
      </w:r>
      <w:r w:rsidRPr="001B53A8">
        <w:rPr>
          <w:lang w:val="sr-Latn-BA"/>
        </w:rPr>
        <w:t>obavlјanje</w:t>
      </w:r>
      <w:r w:rsidR="00906364" w:rsidRPr="001B53A8">
        <w:rPr>
          <w:lang w:val="sr-Latn-BA"/>
        </w:rPr>
        <w:t xml:space="preserve"> </w:t>
      </w:r>
      <w:r w:rsidRPr="001B53A8">
        <w:rPr>
          <w:lang w:val="sr-Latn-BA"/>
        </w:rPr>
        <w:t>osnovne</w:t>
      </w:r>
      <w:r w:rsidR="00906364" w:rsidRPr="001B53A8">
        <w:rPr>
          <w:lang w:val="sr-Latn-BA"/>
        </w:rPr>
        <w:t xml:space="preserve"> </w:t>
      </w:r>
      <w:r w:rsidRPr="001B53A8">
        <w:rPr>
          <w:lang w:val="sr-Latn-BA"/>
        </w:rPr>
        <w:t>i</w:t>
      </w:r>
      <w:r w:rsidR="00906364" w:rsidRPr="001B53A8">
        <w:rPr>
          <w:lang w:val="sr-Latn-BA"/>
        </w:rPr>
        <w:t xml:space="preserve"> </w:t>
      </w:r>
      <w:r w:rsidRPr="001B53A8">
        <w:rPr>
          <w:lang w:val="sr-Latn-BA"/>
        </w:rPr>
        <w:t>dodatnih</w:t>
      </w:r>
      <w:r w:rsidR="00906364" w:rsidRPr="001B53A8">
        <w:rPr>
          <w:lang w:val="sr-Latn-BA"/>
        </w:rPr>
        <w:t xml:space="preserve"> </w:t>
      </w:r>
      <w:r w:rsidRPr="001B53A8">
        <w:rPr>
          <w:lang w:val="sr-Latn-BA"/>
        </w:rPr>
        <w:t>djelatnosti</w:t>
      </w:r>
      <w:r w:rsidR="00906364" w:rsidRPr="001B53A8">
        <w:rPr>
          <w:lang w:val="sr-Latn-BA"/>
        </w:rPr>
        <w:t xml:space="preserve"> </w:t>
      </w:r>
      <w:r w:rsidRPr="001B53A8">
        <w:rPr>
          <w:lang w:val="sr-Latn-BA"/>
        </w:rPr>
        <w:t>i</w:t>
      </w:r>
      <w:r w:rsidR="00906364" w:rsidRPr="001B53A8">
        <w:rPr>
          <w:lang w:val="sr-Latn-BA"/>
        </w:rPr>
        <w:t xml:space="preserve"> </w:t>
      </w:r>
      <w:r w:rsidRPr="001B53A8">
        <w:rPr>
          <w:lang w:val="sr-Latn-BA"/>
        </w:rPr>
        <w:t>statusne</w:t>
      </w:r>
      <w:r w:rsidR="00906364" w:rsidRPr="001B53A8">
        <w:rPr>
          <w:lang w:val="sr-Latn-BA"/>
        </w:rPr>
        <w:t xml:space="preserve"> </w:t>
      </w:r>
      <w:r w:rsidRPr="001B53A8">
        <w:rPr>
          <w:lang w:val="sr-Latn-BA"/>
        </w:rPr>
        <w:t>promjene</w:t>
      </w:r>
      <w:r w:rsidR="00906364" w:rsidRPr="001B53A8">
        <w:rPr>
          <w:lang w:val="sr-Latn-BA"/>
        </w:rPr>
        <w:t xml:space="preserve"> </w:t>
      </w:r>
      <w:r w:rsidRPr="001B53A8">
        <w:rPr>
          <w:lang w:val="sr-Latn-BA"/>
        </w:rPr>
        <w:t>društva</w:t>
      </w:r>
      <w:r w:rsidR="00906364" w:rsidRPr="001B53A8">
        <w:rPr>
          <w:lang w:val="sr-Latn-BA"/>
        </w:rPr>
        <w:t xml:space="preserve"> </w:t>
      </w:r>
      <w:r w:rsidRPr="001B53A8">
        <w:rPr>
          <w:lang w:val="sr-Latn-BA"/>
        </w:rPr>
        <w:t>za</w:t>
      </w:r>
      <w:r w:rsidR="00906364" w:rsidRPr="001B53A8">
        <w:rPr>
          <w:lang w:val="sr-Latn-BA"/>
        </w:rPr>
        <w:t xml:space="preserve"> </w:t>
      </w:r>
      <w:r w:rsidRPr="001B53A8">
        <w:rPr>
          <w:lang w:val="sr-Latn-BA"/>
        </w:rPr>
        <w:t>upravlјanje</w:t>
      </w:r>
      <w:r w:rsidR="00906364" w:rsidRPr="001B53A8">
        <w:rPr>
          <w:lang w:val="sr-Latn-BA"/>
        </w:rPr>
        <w:t xml:space="preserve"> </w:t>
      </w:r>
      <w:r w:rsidRPr="001B53A8">
        <w:rPr>
          <w:lang w:val="sr-Latn-BA"/>
        </w:rPr>
        <w:t>investicionim</w:t>
      </w:r>
      <w:r w:rsidR="00906364" w:rsidRPr="001B53A8">
        <w:rPr>
          <w:lang w:val="sr-Latn-BA"/>
        </w:rPr>
        <w:t xml:space="preserve"> </w:t>
      </w:r>
      <w:r w:rsidRPr="001B53A8">
        <w:rPr>
          <w:lang w:val="sr-Latn-BA"/>
        </w:rPr>
        <w:t>fondovima</w:t>
      </w:r>
      <w:r w:rsidR="00906364" w:rsidRPr="001B53A8">
        <w:rPr>
          <w:lang w:val="sr-Latn-BA"/>
        </w:rPr>
        <w:t xml:space="preserve"> </w:t>
      </w:r>
      <w:r w:rsidRPr="001B53A8">
        <w:rPr>
          <w:lang w:val="sr-Latn-BA"/>
        </w:rPr>
        <w:t>i</w:t>
      </w:r>
      <w:r w:rsidR="00906364" w:rsidRPr="001B53A8">
        <w:rPr>
          <w:lang w:val="sr-Latn-BA"/>
        </w:rPr>
        <w:t xml:space="preserve"> </w:t>
      </w:r>
      <w:r w:rsidRPr="001B53A8">
        <w:rPr>
          <w:lang w:val="sr-Latn-BA"/>
        </w:rPr>
        <w:t>društva</w:t>
      </w:r>
      <w:r w:rsidR="00906364" w:rsidRPr="001B53A8">
        <w:rPr>
          <w:lang w:val="sr-Latn-BA"/>
        </w:rPr>
        <w:t xml:space="preserve"> </w:t>
      </w:r>
      <w:r w:rsidRPr="001B53A8">
        <w:rPr>
          <w:lang w:val="sr-Latn-BA"/>
        </w:rPr>
        <w:t>za</w:t>
      </w:r>
      <w:r w:rsidR="00906364" w:rsidRPr="001B53A8">
        <w:rPr>
          <w:lang w:val="sr-Latn-BA"/>
        </w:rPr>
        <w:t xml:space="preserve"> </w:t>
      </w:r>
      <w:r w:rsidRPr="001B53A8">
        <w:rPr>
          <w:lang w:val="sr-Latn-BA"/>
        </w:rPr>
        <w:t>upravlјanje</w:t>
      </w:r>
      <w:r w:rsidR="00906364" w:rsidRPr="001B53A8">
        <w:rPr>
          <w:lang w:val="sr-Latn-BA"/>
        </w:rPr>
        <w:t xml:space="preserve"> </w:t>
      </w:r>
      <w:r w:rsidRPr="001B53A8">
        <w:rPr>
          <w:lang w:val="sr-Latn-BA"/>
        </w:rPr>
        <w:t>alternativnim</w:t>
      </w:r>
      <w:r w:rsidR="00906364" w:rsidRPr="001B53A8">
        <w:rPr>
          <w:lang w:val="sr-Latn-BA"/>
        </w:rPr>
        <w:t xml:space="preserve"> </w:t>
      </w:r>
      <w:r w:rsidRPr="001B53A8">
        <w:rPr>
          <w:lang w:val="sr-Latn-BA"/>
        </w:rPr>
        <w:t>investicionim</w:t>
      </w:r>
      <w:r w:rsidR="00906364" w:rsidRPr="001B53A8">
        <w:rPr>
          <w:lang w:val="sr-Latn-BA"/>
        </w:rPr>
        <w:t xml:space="preserve"> </w:t>
      </w:r>
      <w:r w:rsidRPr="001B53A8">
        <w:rPr>
          <w:lang w:val="sr-Latn-BA"/>
        </w:rPr>
        <w:t>fondovima</w:t>
      </w:r>
      <w:r w:rsidR="00906364" w:rsidRPr="001B53A8">
        <w:rPr>
          <w:lang w:val="sr-Latn-BA"/>
        </w:rPr>
        <w:t>,</w:t>
      </w:r>
    </w:p>
    <w:p w14:paraId="42E28455" w14:textId="7A220A3E" w:rsidR="00906364" w:rsidRPr="001B53A8" w:rsidRDefault="00003F34" w:rsidP="00906364">
      <w:pPr>
        <w:pStyle w:val="ListParagraph"/>
        <w:numPr>
          <w:ilvl w:val="0"/>
          <w:numId w:val="5"/>
        </w:numPr>
        <w:spacing w:before="0" w:after="0" w:line="240" w:lineRule="auto"/>
        <w:contextualSpacing w:val="0"/>
        <w:rPr>
          <w:lang w:val="sr-Latn-BA"/>
        </w:rPr>
      </w:pPr>
      <w:r w:rsidRPr="001B53A8">
        <w:rPr>
          <w:lang w:val="sr-Latn-BA"/>
        </w:rPr>
        <w:t>Pravilnik</w:t>
      </w:r>
      <w:r w:rsidR="00906364" w:rsidRPr="001B53A8">
        <w:rPr>
          <w:lang w:val="sr-Latn-BA"/>
        </w:rPr>
        <w:t xml:space="preserve"> </w:t>
      </w:r>
      <w:r w:rsidRPr="001B53A8">
        <w:rPr>
          <w:lang w:val="sr-Latn-BA"/>
        </w:rPr>
        <w:t>o</w:t>
      </w:r>
      <w:r w:rsidR="00906364" w:rsidRPr="001B53A8">
        <w:rPr>
          <w:lang w:val="sr-Latn-BA"/>
        </w:rPr>
        <w:t xml:space="preserve"> </w:t>
      </w:r>
      <w:r w:rsidRPr="001B53A8">
        <w:rPr>
          <w:lang w:val="sr-Latn-BA"/>
        </w:rPr>
        <w:t>sadržaju</w:t>
      </w:r>
      <w:r w:rsidR="00906364" w:rsidRPr="001B53A8">
        <w:rPr>
          <w:lang w:val="sr-Latn-BA"/>
        </w:rPr>
        <w:t xml:space="preserve"> </w:t>
      </w:r>
      <w:r w:rsidRPr="001B53A8">
        <w:rPr>
          <w:lang w:val="sr-Latn-BA"/>
        </w:rPr>
        <w:t>zahtjeva</w:t>
      </w:r>
      <w:r w:rsidR="00906364" w:rsidRPr="001B53A8">
        <w:rPr>
          <w:lang w:val="sr-Latn-BA"/>
        </w:rPr>
        <w:t xml:space="preserve"> </w:t>
      </w:r>
      <w:r w:rsidRPr="001B53A8">
        <w:rPr>
          <w:lang w:val="sr-Latn-BA"/>
        </w:rPr>
        <w:t>i</w:t>
      </w:r>
      <w:r w:rsidR="00906364" w:rsidRPr="001B53A8">
        <w:rPr>
          <w:lang w:val="sr-Latn-BA"/>
        </w:rPr>
        <w:t xml:space="preserve"> </w:t>
      </w:r>
      <w:r w:rsidRPr="001B53A8">
        <w:rPr>
          <w:lang w:val="sr-Latn-BA"/>
        </w:rPr>
        <w:t>uslovima</w:t>
      </w:r>
      <w:r w:rsidR="00906364" w:rsidRPr="001B53A8">
        <w:rPr>
          <w:lang w:val="sr-Latn-BA"/>
        </w:rPr>
        <w:t xml:space="preserve"> </w:t>
      </w:r>
      <w:r w:rsidRPr="001B53A8">
        <w:rPr>
          <w:lang w:val="sr-Latn-BA"/>
        </w:rPr>
        <w:t>za</w:t>
      </w:r>
      <w:r w:rsidR="00906364" w:rsidRPr="001B53A8">
        <w:rPr>
          <w:lang w:val="sr-Latn-BA"/>
        </w:rPr>
        <w:t xml:space="preserve"> </w:t>
      </w:r>
      <w:r w:rsidRPr="001B53A8">
        <w:rPr>
          <w:lang w:val="sr-Latn-BA"/>
        </w:rPr>
        <w:t>izdavanje</w:t>
      </w:r>
      <w:r w:rsidR="00906364" w:rsidRPr="001B53A8">
        <w:rPr>
          <w:lang w:val="sr-Latn-BA"/>
        </w:rPr>
        <w:t xml:space="preserve"> </w:t>
      </w:r>
      <w:r w:rsidRPr="001B53A8">
        <w:rPr>
          <w:lang w:val="sr-Latn-BA"/>
        </w:rPr>
        <w:t>dozvole</w:t>
      </w:r>
      <w:r w:rsidR="00906364" w:rsidRPr="001B53A8">
        <w:rPr>
          <w:lang w:val="sr-Latn-BA"/>
        </w:rPr>
        <w:t xml:space="preserve"> </w:t>
      </w:r>
      <w:r w:rsidRPr="001B53A8">
        <w:rPr>
          <w:lang w:val="sr-Latn-BA"/>
        </w:rPr>
        <w:t>za</w:t>
      </w:r>
      <w:r w:rsidR="00906364" w:rsidRPr="001B53A8">
        <w:rPr>
          <w:lang w:val="sr-Latn-BA"/>
        </w:rPr>
        <w:t xml:space="preserve"> </w:t>
      </w:r>
      <w:r w:rsidRPr="001B53A8">
        <w:rPr>
          <w:lang w:val="sr-Latn-BA"/>
        </w:rPr>
        <w:t>osnivanje</w:t>
      </w:r>
      <w:r w:rsidR="00906364" w:rsidRPr="001B53A8">
        <w:rPr>
          <w:lang w:val="sr-Latn-BA"/>
        </w:rPr>
        <w:t xml:space="preserve"> </w:t>
      </w:r>
      <w:r w:rsidRPr="001B53A8">
        <w:rPr>
          <w:lang w:val="sr-Latn-BA"/>
        </w:rPr>
        <w:t>i</w:t>
      </w:r>
      <w:r w:rsidR="00906364" w:rsidRPr="001B53A8">
        <w:rPr>
          <w:color w:val="FF0000"/>
          <w:lang w:val="sr-Latn-BA"/>
        </w:rPr>
        <w:t xml:space="preserve"> </w:t>
      </w:r>
      <w:r w:rsidRPr="001B53A8">
        <w:rPr>
          <w:lang w:val="sr-Latn-BA"/>
        </w:rPr>
        <w:t>upravlјanje</w:t>
      </w:r>
      <w:r w:rsidR="00906364" w:rsidRPr="001B53A8">
        <w:rPr>
          <w:lang w:val="sr-Latn-BA"/>
        </w:rPr>
        <w:t xml:space="preserve"> </w:t>
      </w:r>
      <w:r w:rsidRPr="001B53A8">
        <w:rPr>
          <w:lang w:val="sr-Latn-BA"/>
        </w:rPr>
        <w:t>otvorenim</w:t>
      </w:r>
      <w:r w:rsidR="00906364" w:rsidRPr="001B53A8">
        <w:rPr>
          <w:lang w:val="sr-Latn-BA"/>
        </w:rPr>
        <w:t xml:space="preserve"> </w:t>
      </w:r>
      <w:r w:rsidRPr="001B53A8">
        <w:rPr>
          <w:lang w:val="sr-Latn-BA"/>
        </w:rPr>
        <w:t>alternativnim</w:t>
      </w:r>
      <w:r w:rsidR="00906364" w:rsidRPr="001B53A8">
        <w:rPr>
          <w:lang w:val="sr-Latn-BA"/>
        </w:rPr>
        <w:t xml:space="preserve"> </w:t>
      </w:r>
      <w:r w:rsidRPr="001B53A8">
        <w:rPr>
          <w:lang w:val="sr-Latn-BA"/>
        </w:rPr>
        <w:t>investicionim</w:t>
      </w:r>
      <w:r w:rsidR="00906364" w:rsidRPr="001B53A8">
        <w:rPr>
          <w:lang w:val="sr-Latn-BA"/>
        </w:rPr>
        <w:t xml:space="preserve"> </w:t>
      </w:r>
      <w:r w:rsidRPr="001B53A8">
        <w:rPr>
          <w:lang w:val="sr-Latn-BA"/>
        </w:rPr>
        <w:t>fondom</w:t>
      </w:r>
      <w:r w:rsidR="00906364" w:rsidRPr="001B53A8">
        <w:rPr>
          <w:lang w:val="sr-Latn-BA"/>
        </w:rPr>
        <w:t xml:space="preserve"> </w:t>
      </w:r>
      <w:r w:rsidRPr="001B53A8">
        <w:rPr>
          <w:lang w:val="sr-Latn-BA"/>
        </w:rPr>
        <w:t>i</w:t>
      </w:r>
      <w:r w:rsidR="00906364" w:rsidRPr="001B53A8">
        <w:rPr>
          <w:lang w:val="sr-Latn-BA"/>
        </w:rPr>
        <w:t xml:space="preserve"> </w:t>
      </w:r>
      <w:r w:rsidRPr="001B53A8">
        <w:rPr>
          <w:lang w:val="sr-Latn-BA"/>
        </w:rPr>
        <w:t>prijavi</w:t>
      </w:r>
      <w:r w:rsidR="00906364" w:rsidRPr="001B53A8">
        <w:rPr>
          <w:lang w:val="sr-Latn-BA"/>
        </w:rPr>
        <w:t xml:space="preserve"> </w:t>
      </w:r>
      <w:r w:rsidRPr="001B53A8">
        <w:rPr>
          <w:lang w:val="sr-Latn-BA"/>
        </w:rPr>
        <w:t>upisa</w:t>
      </w:r>
      <w:r w:rsidR="00906364" w:rsidRPr="001B53A8">
        <w:rPr>
          <w:lang w:val="sr-Latn-BA"/>
        </w:rPr>
        <w:t xml:space="preserve"> </w:t>
      </w:r>
      <w:r w:rsidRPr="001B53A8">
        <w:rPr>
          <w:lang w:val="sr-Latn-BA"/>
        </w:rPr>
        <w:t>u</w:t>
      </w:r>
      <w:r w:rsidR="00906364" w:rsidRPr="001B53A8">
        <w:rPr>
          <w:lang w:val="sr-Latn-BA"/>
        </w:rPr>
        <w:t xml:space="preserve"> </w:t>
      </w:r>
      <w:r w:rsidRPr="001B53A8">
        <w:rPr>
          <w:lang w:val="sr-Latn-BA"/>
        </w:rPr>
        <w:t>registar</w:t>
      </w:r>
      <w:r w:rsidR="00906364" w:rsidRPr="001B53A8">
        <w:rPr>
          <w:lang w:val="sr-Latn-BA"/>
        </w:rPr>
        <w:t xml:space="preserve"> </w:t>
      </w:r>
      <w:r w:rsidRPr="001B53A8">
        <w:rPr>
          <w:lang w:val="sr-Latn-BA"/>
        </w:rPr>
        <w:t>fondova</w:t>
      </w:r>
      <w:r w:rsidR="00906364" w:rsidRPr="001B53A8">
        <w:rPr>
          <w:lang w:val="sr-Latn-BA"/>
        </w:rPr>
        <w:t>,</w:t>
      </w:r>
    </w:p>
    <w:p w14:paraId="06FB809B" w14:textId="2A562A1B" w:rsidR="00906364" w:rsidRPr="001B53A8" w:rsidRDefault="00003F34" w:rsidP="00906364">
      <w:pPr>
        <w:pStyle w:val="ListParagraph"/>
        <w:numPr>
          <w:ilvl w:val="0"/>
          <w:numId w:val="5"/>
        </w:numPr>
        <w:spacing w:before="0" w:after="0" w:line="240" w:lineRule="auto"/>
        <w:contextualSpacing w:val="0"/>
        <w:rPr>
          <w:lang w:val="sr-Latn-BA"/>
        </w:rPr>
      </w:pPr>
      <w:r w:rsidRPr="001B53A8">
        <w:rPr>
          <w:lang w:val="sr-Latn-BA"/>
        </w:rPr>
        <w:t>Pravilnik</w:t>
      </w:r>
      <w:r w:rsidR="00906364" w:rsidRPr="001B53A8">
        <w:rPr>
          <w:lang w:val="sr-Latn-BA"/>
        </w:rPr>
        <w:t xml:space="preserve"> </w:t>
      </w:r>
      <w:r w:rsidRPr="001B53A8">
        <w:rPr>
          <w:lang w:val="sr-Latn-BA"/>
        </w:rPr>
        <w:t>o</w:t>
      </w:r>
      <w:r w:rsidR="00906364" w:rsidRPr="001B53A8">
        <w:rPr>
          <w:lang w:val="sr-Latn-BA"/>
        </w:rPr>
        <w:t xml:space="preserve"> </w:t>
      </w:r>
      <w:r w:rsidRPr="001B53A8">
        <w:rPr>
          <w:lang w:val="sr-Latn-BA"/>
        </w:rPr>
        <w:t>adekvatnosti</w:t>
      </w:r>
      <w:r w:rsidR="00906364" w:rsidRPr="001B53A8">
        <w:rPr>
          <w:lang w:val="sr-Latn-BA"/>
        </w:rPr>
        <w:t xml:space="preserve"> </w:t>
      </w:r>
      <w:r w:rsidRPr="001B53A8">
        <w:rPr>
          <w:lang w:val="sr-Latn-BA"/>
        </w:rPr>
        <w:t>kapitala</w:t>
      </w:r>
      <w:r w:rsidR="00906364" w:rsidRPr="001B53A8">
        <w:rPr>
          <w:lang w:val="sr-Latn-BA"/>
        </w:rPr>
        <w:t xml:space="preserve"> </w:t>
      </w:r>
      <w:r w:rsidRPr="001B53A8">
        <w:rPr>
          <w:lang w:val="sr-Latn-BA"/>
        </w:rPr>
        <w:t>društva</w:t>
      </w:r>
      <w:r w:rsidR="00906364" w:rsidRPr="001B53A8">
        <w:rPr>
          <w:lang w:val="sr-Latn-BA"/>
        </w:rPr>
        <w:t xml:space="preserve"> </w:t>
      </w:r>
      <w:r w:rsidRPr="001B53A8">
        <w:rPr>
          <w:lang w:val="sr-Latn-BA"/>
        </w:rPr>
        <w:t>za</w:t>
      </w:r>
      <w:r w:rsidR="00906364" w:rsidRPr="001B53A8">
        <w:rPr>
          <w:lang w:val="sr-Latn-BA"/>
        </w:rPr>
        <w:t xml:space="preserve"> </w:t>
      </w:r>
      <w:r w:rsidRPr="001B53A8">
        <w:rPr>
          <w:lang w:val="sr-Latn-BA"/>
        </w:rPr>
        <w:t>upravlјanje</w:t>
      </w:r>
      <w:r w:rsidR="00906364" w:rsidRPr="001B53A8">
        <w:rPr>
          <w:lang w:val="sr-Latn-BA"/>
        </w:rPr>
        <w:t xml:space="preserve"> </w:t>
      </w:r>
      <w:r w:rsidRPr="001B53A8">
        <w:rPr>
          <w:lang w:val="sr-Latn-BA"/>
        </w:rPr>
        <w:t>alternativnim</w:t>
      </w:r>
      <w:r w:rsidR="00906364" w:rsidRPr="001B53A8">
        <w:rPr>
          <w:lang w:val="sr-Latn-BA"/>
        </w:rPr>
        <w:t xml:space="preserve"> </w:t>
      </w:r>
      <w:r w:rsidRPr="001B53A8">
        <w:rPr>
          <w:lang w:val="sr-Latn-BA"/>
        </w:rPr>
        <w:t>investicionim</w:t>
      </w:r>
      <w:r w:rsidR="00906364" w:rsidRPr="001B53A8">
        <w:rPr>
          <w:lang w:val="sr-Latn-BA"/>
        </w:rPr>
        <w:t xml:space="preserve"> </w:t>
      </w:r>
      <w:r w:rsidRPr="001B53A8">
        <w:rPr>
          <w:lang w:val="sr-Latn-BA"/>
        </w:rPr>
        <w:t>fondovima</w:t>
      </w:r>
      <w:r w:rsidR="00906364" w:rsidRPr="001B53A8">
        <w:rPr>
          <w:lang w:val="sr-Latn-BA"/>
        </w:rPr>
        <w:t>,</w:t>
      </w:r>
    </w:p>
    <w:p w14:paraId="798177F9" w14:textId="36A74DD3" w:rsidR="00906364" w:rsidRPr="001B53A8" w:rsidRDefault="00003F34" w:rsidP="00906364">
      <w:pPr>
        <w:pStyle w:val="ListParagraph"/>
        <w:numPr>
          <w:ilvl w:val="0"/>
          <w:numId w:val="5"/>
        </w:numPr>
        <w:spacing w:before="0" w:after="0" w:line="240" w:lineRule="auto"/>
        <w:contextualSpacing w:val="0"/>
        <w:rPr>
          <w:lang w:val="sr-Latn-BA"/>
        </w:rPr>
      </w:pPr>
      <w:r w:rsidRPr="001B53A8">
        <w:rPr>
          <w:lang w:val="sr-Latn-BA"/>
        </w:rPr>
        <w:t>Pravilnik</w:t>
      </w:r>
      <w:r w:rsidR="00906364" w:rsidRPr="001B53A8">
        <w:rPr>
          <w:lang w:val="sr-Latn-BA"/>
        </w:rPr>
        <w:t xml:space="preserve"> </w:t>
      </w:r>
      <w:r w:rsidRPr="001B53A8">
        <w:rPr>
          <w:lang w:val="sr-Latn-BA"/>
        </w:rPr>
        <w:t>o</w:t>
      </w:r>
      <w:r w:rsidR="00906364" w:rsidRPr="001B53A8">
        <w:rPr>
          <w:lang w:val="sr-Latn-BA"/>
        </w:rPr>
        <w:t xml:space="preserve"> </w:t>
      </w:r>
      <w:r w:rsidRPr="001B53A8">
        <w:rPr>
          <w:lang w:val="sr-Latn-BA"/>
        </w:rPr>
        <w:t>vrstama</w:t>
      </w:r>
      <w:r w:rsidR="00906364" w:rsidRPr="001B53A8">
        <w:rPr>
          <w:lang w:val="sr-Latn-BA"/>
        </w:rPr>
        <w:t xml:space="preserve"> </w:t>
      </w:r>
      <w:r w:rsidRPr="001B53A8">
        <w:rPr>
          <w:lang w:val="sr-Latn-BA"/>
        </w:rPr>
        <w:t>alternativnih</w:t>
      </w:r>
      <w:r w:rsidR="00906364" w:rsidRPr="001B53A8">
        <w:rPr>
          <w:lang w:val="sr-Latn-BA"/>
        </w:rPr>
        <w:t xml:space="preserve"> </w:t>
      </w:r>
      <w:r w:rsidRPr="001B53A8">
        <w:rPr>
          <w:lang w:val="sr-Latn-BA"/>
        </w:rPr>
        <w:t>investicionih</w:t>
      </w:r>
      <w:r w:rsidR="00906364" w:rsidRPr="001B53A8">
        <w:rPr>
          <w:lang w:val="sr-Latn-BA"/>
        </w:rPr>
        <w:t xml:space="preserve"> </w:t>
      </w:r>
      <w:r w:rsidRPr="001B53A8">
        <w:rPr>
          <w:lang w:val="sr-Latn-BA"/>
        </w:rPr>
        <w:t>fondova</w:t>
      </w:r>
      <w:r w:rsidR="00906364" w:rsidRPr="001B53A8">
        <w:rPr>
          <w:lang w:val="sr-Latn-BA"/>
        </w:rPr>
        <w:t xml:space="preserve"> </w:t>
      </w:r>
      <w:r w:rsidRPr="001B53A8">
        <w:rPr>
          <w:lang w:val="sr-Latn-BA"/>
        </w:rPr>
        <w:t>sa</w:t>
      </w:r>
      <w:r w:rsidR="00906364" w:rsidRPr="001B53A8">
        <w:rPr>
          <w:lang w:val="sr-Latn-BA"/>
        </w:rPr>
        <w:t xml:space="preserve"> </w:t>
      </w:r>
      <w:r w:rsidRPr="001B53A8">
        <w:rPr>
          <w:lang w:val="sr-Latn-BA"/>
        </w:rPr>
        <w:t>privatnom</w:t>
      </w:r>
      <w:r w:rsidR="00906364" w:rsidRPr="001B53A8">
        <w:rPr>
          <w:lang w:val="sr-Latn-BA"/>
        </w:rPr>
        <w:t xml:space="preserve"> </w:t>
      </w:r>
      <w:r w:rsidRPr="001B53A8">
        <w:rPr>
          <w:lang w:val="sr-Latn-BA"/>
        </w:rPr>
        <w:t>ponudom</w:t>
      </w:r>
      <w:r w:rsidR="00906364" w:rsidRPr="001B53A8">
        <w:rPr>
          <w:lang w:val="sr-Latn-BA"/>
        </w:rPr>
        <w:t>,</w:t>
      </w:r>
    </w:p>
    <w:p w14:paraId="76E4781A" w14:textId="3B2B172A" w:rsidR="00906364" w:rsidRPr="001B53A8" w:rsidRDefault="00003F34" w:rsidP="00906364">
      <w:pPr>
        <w:pStyle w:val="ListParagraph"/>
        <w:numPr>
          <w:ilvl w:val="0"/>
          <w:numId w:val="5"/>
        </w:numPr>
        <w:spacing w:before="0" w:after="0" w:line="240" w:lineRule="auto"/>
        <w:contextualSpacing w:val="0"/>
        <w:rPr>
          <w:lang w:val="sr-Latn-BA"/>
        </w:rPr>
      </w:pPr>
      <w:r w:rsidRPr="001B53A8">
        <w:rPr>
          <w:lang w:val="sr-Latn-BA"/>
        </w:rPr>
        <w:t>Pravilnik</w:t>
      </w:r>
      <w:r w:rsidR="00906364" w:rsidRPr="001B53A8">
        <w:rPr>
          <w:lang w:val="sr-Latn-BA"/>
        </w:rPr>
        <w:t xml:space="preserve"> </w:t>
      </w:r>
      <w:r w:rsidRPr="001B53A8">
        <w:rPr>
          <w:lang w:val="sr-Latn-BA"/>
        </w:rPr>
        <w:t>o</w:t>
      </w:r>
      <w:r w:rsidR="00906364" w:rsidRPr="001B53A8">
        <w:rPr>
          <w:lang w:val="sr-Latn-BA"/>
        </w:rPr>
        <w:t xml:space="preserve"> </w:t>
      </w:r>
      <w:r w:rsidRPr="001B53A8">
        <w:rPr>
          <w:lang w:val="sr-Latn-BA"/>
        </w:rPr>
        <w:t>utvrđivanju</w:t>
      </w:r>
      <w:r w:rsidR="00906364" w:rsidRPr="001B53A8">
        <w:rPr>
          <w:lang w:val="sr-Latn-BA"/>
        </w:rPr>
        <w:t xml:space="preserve"> </w:t>
      </w:r>
      <w:r w:rsidRPr="001B53A8">
        <w:rPr>
          <w:lang w:val="sr-Latn-BA"/>
        </w:rPr>
        <w:t>vrijednosti</w:t>
      </w:r>
      <w:r w:rsidR="00906364" w:rsidRPr="001B53A8">
        <w:rPr>
          <w:lang w:val="sr-Latn-BA"/>
        </w:rPr>
        <w:t xml:space="preserve"> </w:t>
      </w:r>
      <w:r w:rsidRPr="001B53A8">
        <w:rPr>
          <w:lang w:val="sr-Latn-BA"/>
        </w:rPr>
        <w:t>imovine</w:t>
      </w:r>
      <w:r w:rsidR="00906364" w:rsidRPr="001B53A8">
        <w:rPr>
          <w:lang w:val="sr-Latn-BA"/>
        </w:rPr>
        <w:t xml:space="preserve"> </w:t>
      </w:r>
      <w:r w:rsidRPr="001B53A8">
        <w:rPr>
          <w:lang w:val="sr-Latn-BA"/>
        </w:rPr>
        <w:t>i</w:t>
      </w:r>
      <w:r w:rsidR="00906364" w:rsidRPr="001B53A8">
        <w:rPr>
          <w:lang w:val="sr-Latn-BA"/>
        </w:rPr>
        <w:t xml:space="preserve"> </w:t>
      </w:r>
      <w:r w:rsidRPr="001B53A8">
        <w:rPr>
          <w:lang w:val="sr-Latn-BA"/>
        </w:rPr>
        <w:t>obračunu</w:t>
      </w:r>
      <w:r w:rsidR="00906364" w:rsidRPr="001B53A8">
        <w:rPr>
          <w:lang w:val="sr-Latn-BA"/>
        </w:rPr>
        <w:t xml:space="preserve"> </w:t>
      </w:r>
      <w:r w:rsidRPr="001B53A8">
        <w:rPr>
          <w:lang w:val="sr-Latn-BA"/>
        </w:rPr>
        <w:t>neto</w:t>
      </w:r>
      <w:r w:rsidR="00906364" w:rsidRPr="001B53A8">
        <w:rPr>
          <w:lang w:val="sr-Latn-BA"/>
        </w:rPr>
        <w:t xml:space="preserve"> </w:t>
      </w:r>
      <w:r w:rsidRPr="001B53A8">
        <w:rPr>
          <w:lang w:val="sr-Latn-BA"/>
        </w:rPr>
        <w:t>vrijednosti</w:t>
      </w:r>
      <w:r w:rsidR="00906364" w:rsidRPr="001B53A8">
        <w:rPr>
          <w:lang w:val="sr-Latn-BA"/>
        </w:rPr>
        <w:t xml:space="preserve"> </w:t>
      </w:r>
      <w:r w:rsidRPr="001B53A8">
        <w:rPr>
          <w:lang w:val="sr-Latn-BA"/>
        </w:rPr>
        <w:t>imovine</w:t>
      </w:r>
      <w:r w:rsidR="00906364" w:rsidRPr="001B53A8">
        <w:rPr>
          <w:lang w:val="sr-Latn-BA"/>
        </w:rPr>
        <w:t xml:space="preserve"> </w:t>
      </w:r>
      <w:r w:rsidRPr="001B53A8">
        <w:rPr>
          <w:lang w:val="sr-Latn-BA"/>
        </w:rPr>
        <w:t>alternativnih</w:t>
      </w:r>
      <w:r w:rsidR="00906364" w:rsidRPr="001B53A8">
        <w:rPr>
          <w:lang w:val="sr-Latn-BA"/>
        </w:rPr>
        <w:t xml:space="preserve"> </w:t>
      </w:r>
      <w:r w:rsidRPr="001B53A8">
        <w:rPr>
          <w:lang w:val="sr-Latn-BA"/>
        </w:rPr>
        <w:t>investicionih</w:t>
      </w:r>
      <w:r w:rsidR="00906364" w:rsidRPr="001B53A8">
        <w:rPr>
          <w:lang w:val="sr-Latn-BA"/>
        </w:rPr>
        <w:t xml:space="preserve"> </w:t>
      </w:r>
      <w:r w:rsidRPr="001B53A8">
        <w:rPr>
          <w:lang w:val="sr-Latn-BA"/>
        </w:rPr>
        <w:t>fondova</w:t>
      </w:r>
      <w:r w:rsidR="00906364" w:rsidRPr="001B53A8">
        <w:rPr>
          <w:lang w:val="sr-Latn-BA"/>
        </w:rPr>
        <w:t xml:space="preserve"> </w:t>
      </w:r>
      <w:r w:rsidRPr="001B53A8">
        <w:rPr>
          <w:lang w:val="sr-Latn-BA"/>
        </w:rPr>
        <w:t>i</w:t>
      </w:r>
    </w:p>
    <w:p w14:paraId="6862DF89" w14:textId="2B0E804F" w:rsidR="00906364" w:rsidRPr="001B53A8" w:rsidRDefault="00003F34" w:rsidP="00906364">
      <w:pPr>
        <w:pStyle w:val="ListParagraph"/>
        <w:numPr>
          <w:ilvl w:val="0"/>
          <w:numId w:val="5"/>
        </w:numPr>
        <w:spacing w:before="0" w:after="0" w:line="240" w:lineRule="auto"/>
        <w:contextualSpacing w:val="0"/>
        <w:rPr>
          <w:lang w:val="sr-Latn-BA"/>
        </w:rPr>
      </w:pPr>
      <w:r w:rsidRPr="001B53A8">
        <w:rPr>
          <w:lang w:val="sr-Latn-BA"/>
        </w:rPr>
        <w:t>Pravilnik</w:t>
      </w:r>
      <w:r w:rsidR="00906364" w:rsidRPr="001B53A8">
        <w:rPr>
          <w:lang w:val="sr-Latn-BA"/>
        </w:rPr>
        <w:t xml:space="preserve"> </w:t>
      </w:r>
      <w:r w:rsidRPr="001B53A8">
        <w:rPr>
          <w:lang w:val="sr-Latn-BA"/>
        </w:rPr>
        <w:t>o</w:t>
      </w:r>
      <w:r w:rsidR="00906364" w:rsidRPr="001B53A8">
        <w:rPr>
          <w:lang w:val="sr-Latn-BA"/>
        </w:rPr>
        <w:t xml:space="preserve"> </w:t>
      </w:r>
      <w:r w:rsidRPr="001B53A8">
        <w:rPr>
          <w:lang w:val="sr-Latn-BA"/>
        </w:rPr>
        <w:t>sadržaju</w:t>
      </w:r>
      <w:r w:rsidR="00906364" w:rsidRPr="001B53A8">
        <w:rPr>
          <w:lang w:val="sr-Latn-BA"/>
        </w:rPr>
        <w:t xml:space="preserve">, </w:t>
      </w:r>
      <w:r w:rsidRPr="001B53A8">
        <w:rPr>
          <w:lang w:val="sr-Latn-BA"/>
        </w:rPr>
        <w:t>rokovima</w:t>
      </w:r>
      <w:r w:rsidR="00906364" w:rsidRPr="001B53A8">
        <w:rPr>
          <w:lang w:val="sr-Latn-BA"/>
        </w:rPr>
        <w:t xml:space="preserve"> </w:t>
      </w:r>
      <w:r w:rsidRPr="001B53A8">
        <w:rPr>
          <w:lang w:val="sr-Latn-BA"/>
        </w:rPr>
        <w:t>i</w:t>
      </w:r>
      <w:r w:rsidR="00906364" w:rsidRPr="001B53A8">
        <w:rPr>
          <w:lang w:val="sr-Latn-BA"/>
        </w:rPr>
        <w:t xml:space="preserve"> </w:t>
      </w:r>
      <w:r w:rsidRPr="001B53A8">
        <w:rPr>
          <w:lang w:val="sr-Latn-BA"/>
        </w:rPr>
        <w:t>obliku</w:t>
      </w:r>
      <w:r w:rsidR="00906364" w:rsidRPr="001B53A8">
        <w:rPr>
          <w:lang w:val="sr-Latn-BA"/>
        </w:rPr>
        <w:t xml:space="preserve"> </w:t>
      </w:r>
      <w:r w:rsidRPr="001B53A8">
        <w:rPr>
          <w:lang w:val="sr-Latn-BA"/>
        </w:rPr>
        <w:t>izvještaja</w:t>
      </w:r>
      <w:r w:rsidR="00906364" w:rsidRPr="001B53A8">
        <w:rPr>
          <w:lang w:val="sr-Latn-BA"/>
        </w:rPr>
        <w:t xml:space="preserve"> </w:t>
      </w:r>
      <w:r w:rsidRPr="001B53A8">
        <w:rPr>
          <w:lang w:val="sr-Latn-BA"/>
        </w:rPr>
        <w:t>alternativnih</w:t>
      </w:r>
      <w:r w:rsidR="00906364" w:rsidRPr="001B53A8">
        <w:rPr>
          <w:lang w:val="sr-Latn-BA"/>
        </w:rPr>
        <w:t xml:space="preserve"> </w:t>
      </w:r>
      <w:r w:rsidRPr="001B53A8">
        <w:rPr>
          <w:lang w:val="sr-Latn-BA"/>
        </w:rPr>
        <w:t>investicionih</w:t>
      </w:r>
      <w:r w:rsidR="00906364" w:rsidRPr="001B53A8">
        <w:rPr>
          <w:lang w:val="sr-Latn-BA"/>
        </w:rPr>
        <w:t xml:space="preserve"> </w:t>
      </w:r>
      <w:r w:rsidRPr="001B53A8">
        <w:rPr>
          <w:lang w:val="sr-Latn-BA"/>
        </w:rPr>
        <w:t>fondova</w:t>
      </w:r>
      <w:r w:rsidR="00906364" w:rsidRPr="001B53A8">
        <w:rPr>
          <w:lang w:val="sr-Latn-BA"/>
        </w:rPr>
        <w:t xml:space="preserve">, </w:t>
      </w:r>
      <w:r w:rsidRPr="001B53A8">
        <w:rPr>
          <w:lang w:val="sr-Latn-BA"/>
        </w:rPr>
        <w:t>društva</w:t>
      </w:r>
      <w:r w:rsidR="00906364" w:rsidRPr="001B53A8">
        <w:rPr>
          <w:lang w:val="sr-Latn-BA"/>
        </w:rPr>
        <w:t xml:space="preserve"> </w:t>
      </w:r>
      <w:r w:rsidRPr="001B53A8">
        <w:rPr>
          <w:lang w:val="sr-Latn-BA"/>
        </w:rPr>
        <w:t>za</w:t>
      </w:r>
      <w:r w:rsidR="00906364" w:rsidRPr="001B53A8">
        <w:rPr>
          <w:lang w:val="sr-Latn-BA"/>
        </w:rPr>
        <w:t xml:space="preserve"> </w:t>
      </w:r>
      <w:r w:rsidRPr="001B53A8">
        <w:rPr>
          <w:lang w:val="sr-Latn-BA"/>
        </w:rPr>
        <w:t>upravlјanje</w:t>
      </w:r>
      <w:r w:rsidR="00906364" w:rsidRPr="001B53A8">
        <w:rPr>
          <w:lang w:val="sr-Latn-BA"/>
        </w:rPr>
        <w:t xml:space="preserve"> </w:t>
      </w:r>
      <w:r w:rsidRPr="001B53A8">
        <w:rPr>
          <w:lang w:val="sr-Latn-BA"/>
        </w:rPr>
        <w:t>alternativnim</w:t>
      </w:r>
      <w:r w:rsidR="00906364" w:rsidRPr="001B53A8">
        <w:rPr>
          <w:lang w:val="sr-Latn-BA"/>
        </w:rPr>
        <w:t xml:space="preserve"> </w:t>
      </w:r>
      <w:r w:rsidRPr="001B53A8">
        <w:rPr>
          <w:lang w:val="sr-Latn-BA"/>
        </w:rPr>
        <w:t>investicionim</w:t>
      </w:r>
      <w:r w:rsidR="00906364" w:rsidRPr="001B53A8">
        <w:rPr>
          <w:lang w:val="sr-Latn-BA"/>
        </w:rPr>
        <w:t xml:space="preserve"> </w:t>
      </w:r>
      <w:r w:rsidRPr="001B53A8">
        <w:rPr>
          <w:lang w:val="sr-Latn-BA"/>
        </w:rPr>
        <w:t>fondovima</w:t>
      </w:r>
      <w:r w:rsidR="00906364" w:rsidRPr="001B53A8">
        <w:rPr>
          <w:lang w:val="sr-Latn-BA"/>
        </w:rPr>
        <w:t xml:space="preserve"> </w:t>
      </w:r>
      <w:r w:rsidRPr="001B53A8">
        <w:rPr>
          <w:lang w:val="sr-Latn-BA"/>
        </w:rPr>
        <w:t>i</w:t>
      </w:r>
      <w:r w:rsidR="00906364" w:rsidRPr="001B53A8">
        <w:rPr>
          <w:lang w:val="sr-Latn-BA"/>
        </w:rPr>
        <w:t xml:space="preserve"> </w:t>
      </w:r>
      <w:r w:rsidRPr="001B53A8">
        <w:rPr>
          <w:lang w:val="sr-Latn-BA"/>
        </w:rPr>
        <w:t>banke</w:t>
      </w:r>
      <w:r w:rsidR="00906364" w:rsidRPr="001B53A8">
        <w:rPr>
          <w:lang w:val="sr-Latn-BA"/>
        </w:rPr>
        <w:t xml:space="preserve"> </w:t>
      </w:r>
      <w:r w:rsidRPr="001B53A8">
        <w:rPr>
          <w:lang w:val="sr-Latn-BA"/>
        </w:rPr>
        <w:t>depozitara</w:t>
      </w:r>
      <w:r w:rsidR="00906364" w:rsidRPr="001B53A8">
        <w:rPr>
          <w:lang w:val="sr-Latn-BA"/>
        </w:rPr>
        <w:t xml:space="preserve"> </w:t>
      </w:r>
      <w:r w:rsidRPr="001B53A8">
        <w:rPr>
          <w:lang w:val="sr-Latn-BA"/>
        </w:rPr>
        <w:t>alternativnih</w:t>
      </w:r>
      <w:r w:rsidR="00906364" w:rsidRPr="001B53A8">
        <w:rPr>
          <w:lang w:val="sr-Latn-BA"/>
        </w:rPr>
        <w:t xml:space="preserve"> </w:t>
      </w:r>
      <w:r w:rsidRPr="001B53A8">
        <w:rPr>
          <w:lang w:val="sr-Latn-BA"/>
        </w:rPr>
        <w:t>investicionih</w:t>
      </w:r>
      <w:r w:rsidR="00906364" w:rsidRPr="001B53A8">
        <w:rPr>
          <w:lang w:val="sr-Latn-BA"/>
        </w:rPr>
        <w:t xml:space="preserve"> </w:t>
      </w:r>
      <w:r w:rsidRPr="001B53A8">
        <w:rPr>
          <w:lang w:val="sr-Latn-BA"/>
        </w:rPr>
        <w:t>fondova</w:t>
      </w:r>
      <w:r w:rsidR="00906364" w:rsidRPr="001B53A8">
        <w:rPr>
          <w:lang w:val="sr-Latn-BA"/>
        </w:rPr>
        <w:t>.</w:t>
      </w:r>
    </w:p>
    <w:p w14:paraId="2702FC86" w14:textId="61F961FB" w:rsidR="001D6262" w:rsidRPr="001B53A8" w:rsidRDefault="00003F34" w:rsidP="006B6E0C">
      <w:pPr>
        <w:spacing w:after="0" w:line="240" w:lineRule="auto"/>
        <w:ind w:firstLine="567"/>
        <w:rPr>
          <w:lang w:val="sr-Latn-BA"/>
        </w:rPr>
      </w:pPr>
      <w:r w:rsidRPr="001B53A8">
        <w:rPr>
          <w:lang w:val="sr-Latn-BA"/>
        </w:rPr>
        <w:t>U</w:t>
      </w:r>
      <w:r w:rsidR="001D6262" w:rsidRPr="001B53A8">
        <w:rPr>
          <w:lang w:val="sr-Latn-BA"/>
        </w:rPr>
        <w:t xml:space="preserve"> </w:t>
      </w:r>
      <w:r w:rsidRPr="001B53A8">
        <w:rPr>
          <w:lang w:val="sr-Latn-BA"/>
        </w:rPr>
        <w:t>skladu</w:t>
      </w:r>
      <w:r w:rsidR="001D6262" w:rsidRPr="001B53A8">
        <w:rPr>
          <w:lang w:val="sr-Latn-BA"/>
        </w:rPr>
        <w:t xml:space="preserve"> </w:t>
      </w:r>
      <w:r w:rsidRPr="001B53A8">
        <w:rPr>
          <w:lang w:val="sr-Latn-BA"/>
        </w:rPr>
        <w:t>sa</w:t>
      </w:r>
      <w:r w:rsidR="001D6262" w:rsidRPr="001B53A8">
        <w:rPr>
          <w:lang w:val="sr-Latn-BA"/>
        </w:rPr>
        <w:t xml:space="preserve"> </w:t>
      </w:r>
      <w:r w:rsidRPr="001B53A8">
        <w:rPr>
          <w:lang w:val="sr-Latn-BA"/>
        </w:rPr>
        <w:t>Zakonom</w:t>
      </w:r>
      <w:r w:rsidR="001D6262" w:rsidRPr="001B53A8">
        <w:rPr>
          <w:lang w:val="sr-Latn-BA"/>
        </w:rPr>
        <w:t xml:space="preserve"> </w:t>
      </w:r>
      <w:r w:rsidRPr="001B53A8">
        <w:rPr>
          <w:lang w:val="sr-Latn-BA"/>
        </w:rPr>
        <w:t>o</w:t>
      </w:r>
      <w:r w:rsidR="001D6262" w:rsidRPr="001B53A8">
        <w:rPr>
          <w:lang w:val="sr-Latn-BA"/>
        </w:rPr>
        <w:t xml:space="preserve"> </w:t>
      </w:r>
      <w:r w:rsidRPr="001B53A8">
        <w:rPr>
          <w:lang w:val="sr-Latn-BA"/>
        </w:rPr>
        <w:t>investicionim</w:t>
      </w:r>
      <w:r w:rsidR="001D6262" w:rsidRPr="001B53A8">
        <w:rPr>
          <w:lang w:val="sr-Latn-BA"/>
        </w:rPr>
        <w:t xml:space="preserve"> </w:t>
      </w:r>
      <w:r w:rsidRPr="001B53A8">
        <w:rPr>
          <w:lang w:val="sr-Latn-BA"/>
        </w:rPr>
        <w:t>fondovima</w:t>
      </w:r>
      <w:r w:rsidR="001D6262" w:rsidRPr="001B53A8">
        <w:rPr>
          <w:lang w:val="sr-Latn-BA"/>
        </w:rPr>
        <w:t xml:space="preserve"> </w:t>
      </w:r>
      <w:r w:rsidRPr="001B53A8">
        <w:rPr>
          <w:lang w:val="sr-Latn-BA"/>
        </w:rPr>
        <w:t>Komisija</w:t>
      </w:r>
      <w:r w:rsidR="001D6262" w:rsidRPr="001B53A8">
        <w:rPr>
          <w:lang w:val="sr-Latn-BA"/>
        </w:rPr>
        <w:t xml:space="preserve"> </w:t>
      </w:r>
      <w:r w:rsidRPr="001B53A8">
        <w:rPr>
          <w:lang w:val="sr-Latn-BA"/>
        </w:rPr>
        <w:t>za</w:t>
      </w:r>
      <w:r w:rsidR="001D6262" w:rsidRPr="001B53A8">
        <w:rPr>
          <w:lang w:val="sr-Latn-BA"/>
        </w:rPr>
        <w:t xml:space="preserve"> </w:t>
      </w:r>
      <w:r w:rsidRPr="001B53A8">
        <w:rPr>
          <w:lang w:val="sr-Latn-BA"/>
        </w:rPr>
        <w:t>hartije</w:t>
      </w:r>
      <w:r w:rsidR="001D6262" w:rsidRPr="001B53A8">
        <w:rPr>
          <w:lang w:val="sr-Latn-BA"/>
        </w:rPr>
        <w:t xml:space="preserve"> </w:t>
      </w:r>
      <w:r w:rsidRPr="001B53A8">
        <w:rPr>
          <w:lang w:val="sr-Latn-BA"/>
        </w:rPr>
        <w:t>od</w:t>
      </w:r>
      <w:r w:rsidR="001D6262" w:rsidRPr="001B53A8">
        <w:rPr>
          <w:lang w:val="sr-Latn-BA"/>
        </w:rPr>
        <w:t xml:space="preserve"> </w:t>
      </w:r>
      <w:r w:rsidRPr="001B53A8">
        <w:rPr>
          <w:lang w:val="sr-Latn-BA"/>
        </w:rPr>
        <w:t>vrijednosti</w:t>
      </w:r>
      <w:r w:rsidR="001D6262" w:rsidRPr="001B53A8">
        <w:rPr>
          <w:lang w:val="sr-Latn-BA"/>
        </w:rPr>
        <w:t xml:space="preserve"> </w:t>
      </w:r>
      <w:r w:rsidRPr="001B53A8">
        <w:rPr>
          <w:lang w:val="sr-Latn-BA"/>
        </w:rPr>
        <w:t>je</w:t>
      </w:r>
      <w:r w:rsidR="001D6262" w:rsidRPr="001B53A8">
        <w:rPr>
          <w:lang w:val="sr-Latn-BA"/>
        </w:rPr>
        <w:t xml:space="preserve"> </w:t>
      </w:r>
      <w:r w:rsidRPr="001B53A8">
        <w:rPr>
          <w:lang w:val="sr-Latn-BA"/>
        </w:rPr>
        <w:t>nadležna</w:t>
      </w:r>
      <w:r w:rsidR="001D6262" w:rsidRPr="001B53A8">
        <w:rPr>
          <w:lang w:val="sr-Latn-BA"/>
        </w:rPr>
        <w:t xml:space="preserve"> </w:t>
      </w:r>
      <w:r w:rsidRPr="001B53A8">
        <w:rPr>
          <w:lang w:val="sr-Latn-BA"/>
        </w:rPr>
        <w:t>za</w:t>
      </w:r>
      <w:r w:rsidR="001D6262" w:rsidRPr="001B53A8">
        <w:rPr>
          <w:lang w:val="sr-Latn-BA"/>
        </w:rPr>
        <w:t xml:space="preserve"> </w:t>
      </w:r>
      <w:r w:rsidRPr="001B53A8">
        <w:rPr>
          <w:lang w:val="sr-Latn-BA"/>
        </w:rPr>
        <w:t>izdavanje</w:t>
      </w:r>
      <w:r w:rsidR="001D6262" w:rsidRPr="001B53A8">
        <w:rPr>
          <w:lang w:val="sr-Latn-BA"/>
        </w:rPr>
        <w:t>:</w:t>
      </w:r>
    </w:p>
    <w:p w14:paraId="389E5FFF" w14:textId="1E1F26B3" w:rsidR="001D6262" w:rsidRPr="001B53A8" w:rsidRDefault="001D6262" w:rsidP="006B6E0C">
      <w:pPr>
        <w:spacing w:before="0" w:after="0" w:line="240" w:lineRule="auto"/>
        <w:ind w:left="851" w:hanging="284"/>
        <w:rPr>
          <w:lang w:val="sr-Latn-BA"/>
        </w:rPr>
      </w:pPr>
      <w:r w:rsidRPr="001B53A8">
        <w:rPr>
          <w:lang w:val="sr-Latn-BA"/>
        </w:rPr>
        <w:t>1)</w:t>
      </w:r>
      <w:r w:rsidRPr="001B53A8">
        <w:rPr>
          <w:lang w:val="sr-Latn-BA"/>
        </w:rPr>
        <w:tab/>
      </w:r>
      <w:r w:rsidR="00003F34" w:rsidRPr="001B53A8">
        <w:rPr>
          <w:lang w:val="sr-Latn-BA"/>
        </w:rPr>
        <w:t>Dozvola</w:t>
      </w:r>
      <w:r w:rsidRPr="001B53A8">
        <w:rPr>
          <w:lang w:val="sr-Latn-BA"/>
        </w:rPr>
        <w:t xml:space="preserve"> </w:t>
      </w:r>
      <w:r w:rsidR="00003F34" w:rsidRPr="001B53A8">
        <w:rPr>
          <w:lang w:val="sr-Latn-BA"/>
        </w:rPr>
        <w:t>društvima</w:t>
      </w:r>
      <w:r w:rsidRPr="001B53A8">
        <w:rPr>
          <w:lang w:val="sr-Latn-BA"/>
        </w:rPr>
        <w:t xml:space="preserve"> </w:t>
      </w:r>
      <w:r w:rsidR="00003F34" w:rsidRPr="001B53A8">
        <w:rPr>
          <w:lang w:val="sr-Latn-BA"/>
        </w:rPr>
        <w:t>za</w:t>
      </w:r>
      <w:r w:rsidRPr="001B53A8">
        <w:rPr>
          <w:lang w:val="sr-Latn-BA"/>
        </w:rPr>
        <w:t xml:space="preserve"> </w:t>
      </w:r>
      <w:r w:rsidR="00003F34" w:rsidRPr="001B53A8">
        <w:rPr>
          <w:lang w:val="sr-Latn-BA"/>
        </w:rPr>
        <w:t>upravlјanje</w:t>
      </w:r>
      <w:r w:rsidRPr="001B53A8">
        <w:rPr>
          <w:lang w:val="sr-Latn-BA"/>
        </w:rPr>
        <w:t xml:space="preserve"> </w:t>
      </w:r>
      <w:r w:rsidR="00003F34" w:rsidRPr="001B53A8">
        <w:rPr>
          <w:lang w:val="sr-Latn-BA"/>
        </w:rPr>
        <w:t>investicionim</w:t>
      </w:r>
      <w:r w:rsidRPr="001B53A8">
        <w:rPr>
          <w:lang w:val="sr-Latn-BA"/>
        </w:rPr>
        <w:t xml:space="preserve"> </w:t>
      </w:r>
      <w:r w:rsidR="00003F34" w:rsidRPr="001B53A8">
        <w:rPr>
          <w:lang w:val="sr-Latn-BA"/>
        </w:rPr>
        <w:t>fondovima</w:t>
      </w:r>
      <w:r w:rsidRPr="001B53A8">
        <w:rPr>
          <w:lang w:val="sr-Latn-BA"/>
        </w:rPr>
        <w:t xml:space="preserve"> </w:t>
      </w:r>
      <w:r w:rsidR="00003F34" w:rsidRPr="001B53A8">
        <w:rPr>
          <w:lang w:val="sr-Latn-BA"/>
        </w:rPr>
        <w:t>za</w:t>
      </w:r>
      <w:r w:rsidRPr="001B53A8">
        <w:rPr>
          <w:lang w:val="sr-Latn-BA"/>
        </w:rPr>
        <w:t xml:space="preserve"> </w:t>
      </w:r>
      <w:r w:rsidR="00003F34" w:rsidRPr="001B53A8">
        <w:rPr>
          <w:lang w:val="sr-Latn-BA"/>
        </w:rPr>
        <w:t>osnivanje</w:t>
      </w:r>
      <w:r w:rsidRPr="001B53A8">
        <w:rPr>
          <w:lang w:val="sr-Latn-BA"/>
        </w:rPr>
        <w:t xml:space="preserve"> </w:t>
      </w:r>
      <w:r w:rsidR="00003F34" w:rsidRPr="001B53A8">
        <w:rPr>
          <w:lang w:val="sr-Latn-BA"/>
        </w:rPr>
        <w:t>i</w:t>
      </w:r>
      <w:r w:rsidRPr="001B53A8">
        <w:rPr>
          <w:lang w:val="sr-Latn-BA"/>
        </w:rPr>
        <w:t xml:space="preserve"> </w:t>
      </w:r>
      <w:r w:rsidR="00003F34" w:rsidRPr="001B53A8">
        <w:rPr>
          <w:lang w:val="sr-Latn-BA"/>
        </w:rPr>
        <w:t>upravlјanje</w:t>
      </w:r>
      <w:r w:rsidRPr="001B53A8">
        <w:rPr>
          <w:lang w:val="sr-Latn-BA"/>
        </w:rPr>
        <w:t xml:space="preserve"> </w:t>
      </w:r>
      <w:r w:rsidR="00003F34" w:rsidRPr="001B53A8">
        <w:rPr>
          <w:lang w:val="sr-Latn-BA"/>
        </w:rPr>
        <w:t>investicionim</w:t>
      </w:r>
      <w:r w:rsidRPr="001B53A8">
        <w:rPr>
          <w:lang w:val="sr-Latn-BA"/>
        </w:rPr>
        <w:t xml:space="preserve"> </w:t>
      </w:r>
      <w:r w:rsidR="00003F34" w:rsidRPr="001B53A8">
        <w:rPr>
          <w:lang w:val="sr-Latn-BA"/>
        </w:rPr>
        <w:t>fondovima</w:t>
      </w:r>
      <w:r w:rsidRPr="001B53A8">
        <w:rPr>
          <w:lang w:val="sr-Latn-BA"/>
        </w:rPr>
        <w:t>;</w:t>
      </w:r>
    </w:p>
    <w:p w14:paraId="2ED58E28" w14:textId="55E58A68" w:rsidR="001D6262" w:rsidRPr="001B53A8" w:rsidRDefault="001D6262" w:rsidP="006B6E0C">
      <w:pPr>
        <w:spacing w:before="0" w:after="0" w:line="240" w:lineRule="auto"/>
        <w:ind w:left="851" w:hanging="284"/>
        <w:rPr>
          <w:lang w:val="sr-Latn-BA"/>
        </w:rPr>
      </w:pPr>
      <w:r w:rsidRPr="001B53A8">
        <w:rPr>
          <w:lang w:val="sr-Latn-BA"/>
        </w:rPr>
        <w:t>2)</w:t>
      </w:r>
      <w:r w:rsidRPr="001B53A8">
        <w:rPr>
          <w:lang w:val="sr-Latn-BA"/>
        </w:rPr>
        <w:tab/>
      </w:r>
      <w:r w:rsidR="00003F34" w:rsidRPr="001B53A8">
        <w:rPr>
          <w:lang w:val="sr-Latn-BA"/>
        </w:rPr>
        <w:t>Dozvolu</w:t>
      </w:r>
      <w:r w:rsidRPr="001B53A8">
        <w:rPr>
          <w:lang w:val="sr-Latn-BA"/>
        </w:rPr>
        <w:t xml:space="preserve"> </w:t>
      </w:r>
      <w:r w:rsidR="00003F34" w:rsidRPr="001B53A8">
        <w:rPr>
          <w:lang w:val="sr-Latn-BA"/>
        </w:rPr>
        <w:t>na</w:t>
      </w:r>
      <w:r w:rsidRPr="001B53A8">
        <w:rPr>
          <w:lang w:val="sr-Latn-BA"/>
        </w:rPr>
        <w:t xml:space="preserve"> </w:t>
      </w:r>
      <w:r w:rsidR="00003F34" w:rsidRPr="001B53A8">
        <w:rPr>
          <w:lang w:val="sr-Latn-BA"/>
        </w:rPr>
        <w:t>imenovanje</w:t>
      </w:r>
      <w:r w:rsidRPr="001B53A8">
        <w:rPr>
          <w:lang w:val="sr-Latn-BA"/>
        </w:rPr>
        <w:t xml:space="preserve"> </w:t>
      </w:r>
      <w:r w:rsidR="00003F34" w:rsidRPr="001B53A8">
        <w:rPr>
          <w:lang w:val="sr-Latn-BA"/>
        </w:rPr>
        <w:t>članova</w:t>
      </w:r>
      <w:r w:rsidRPr="001B53A8">
        <w:rPr>
          <w:lang w:val="sr-Latn-BA"/>
        </w:rPr>
        <w:t xml:space="preserve"> </w:t>
      </w:r>
      <w:r w:rsidR="00003F34" w:rsidRPr="001B53A8">
        <w:rPr>
          <w:lang w:val="sr-Latn-BA"/>
        </w:rPr>
        <w:t>uprave</w:t>
      </w:r>
      <w:r w:rsidRPr="001B53A8">
        <w:rPr>
          <w:lang w:val="sr-Latn-BA"/>
        </w:rPr>
        <w:t xml:space="preserve"> </w:t>
      </w:r>
      <w:r w:rsidR="00003F34" w:rsidRPr="001B53A8">
        <w:rPr>
          <w:lang w:val="sr-Latn-BA"/>
        </w:rPr>
        <w:t>društva</w:t>
      </w:r>
      <w:r w:rsidRPr="001B53A8">
        <w:rPr>
          <w:lang w:val="sr-Latn-BA"/>
        </w:rPr>
        <w:t xml:space="preserve"> </w:t>
      </w:r>
      <w:r w:rsidR="00003F34" w:rsidRPr="001B53A8">
        <w:rPr>
          <w:lang w:val="sr-Latn-BA"/>
        </w:rPr>
        <w:t>za</w:t>
      </w:r>
      <w:r w:rsidRPr="001B53A8">
        <w:rPr>
          <w:lang w:val="sr-Latn-BA"/>
        </w:rPr>
        <w:t xml:space="preserve"> </w:t>
      </w:r>
      <w:r w:rsidR="00003F34" w:rsidRPr="001B53A8">
        <w:rPr>
          <w:lang w:val="sr-Latn-BA"/>
        </w:rPr>
        <w:t>upravlјanje</w:t>
      </w:r>
      <w:r w:rsidRPr="001B53A8">
        <w:rPr>
          <w:lang w:val="sr-Latn-BA"/>
        </w:rPr>
        <w:t>;</w:t>
      </w:r>
    </w:p>
    <w:p w14:paraId="51BB6A2C" w14:textId="0A5EFA53" w:rsidR="001D6262" w:rsidRPr="001B53A8" w:rsidRDefault="001D6262" w:rsidP="006B6E0C">
      <w:pPr>
        <w:spacing w:before="0" w:after="0" w:line="240" w:lineRule="auto"/>
        <w:ind w:left="851" w:hanging="284"/>
        <w:rPr>
          <w:lang w:val="sr-Latn-BA"/>
        </w:rPr>
      </w:pPr>
      <w:r w:rsidRPr="001B53A8">
        <w:rPr>
          <w:lang w:val="sr-Latn-BA"/>
        </w:rPr>
        <w:t>3)</w:t>
      </w:r>
      <w:r w:rsidRPr="001B53A8">
        <w:rPr>
          <w:lang w:val="sr-Latn-BA"/>
        </w:rPr>
        <w:tab/>
      </w:r>
      <w:r w:rsidR="00003F34" w:rsidRPr="001B53A8">
        <w:rPr>
          <w:lang w:val="sr-Latn-BA"/>
        </w:rPr>
        <w:t>Saglasnost</w:t>
      </w:r>
      <w:r w:rsidRPr="001B53A8">
        <w:rPr>
          <w:lang w:val="sr-Latn-BA"/>
        </w:rPr>
        <w:t xml:space="preserve"> </w:t>
      </w:r>
      <w:r w:rsidR="00003F34" w:rsidRPr="001B53A8">
        <w:rPr>
          <w:lang w:val="sr-Latn-BA"/>
        </w:rPr>
        <w:t>na</w:t>
      </w:r>
      <w:r w:rsidRPr="001B53A8">
        <w:rPr>
          <w:lang w:val="sr-Latn-BA"/>
        </w:rPr>
        <w:t xml:space="preserve"> </w:t>
      </w:r>
      <w:r w:rsidR="00003F34" w:rsidRPr="001B53A8">
        <w:rPr>
          <w:lang w:val="sr-Latn-BA"/>
        </w:rPr>
        <w:t>statusne</w:t>
      </w:r>
      <w:r w:rsidRPr="001B53A8">
        <w:rPr>
          <w:lang w:val="sr-Latn-BA"/>
        </w:rPr>
        <w:t xml:space="preserve"> </w:t>
      </w:r>
      <w:r w:rsidR="00003F34" w:rsidRPr="001B53A8">
        <w:rPr>
          <w:lang w:val="sr-Latn-BA"/>
        </w:rPr>
        <w:t>promjene</w:t>
      </w:r>
      <w:r w:rsidRPr="001B53A8">
        <w:rPr>
          <w:lang w:val="sr-Latn-BA"/>
        </w:rPr>
        <w:t xml:space="preserve"> </w:t>
      </w:r>
      <w:r w:rsidR="00003F34" w:rsidRPr="001B53A8">
        <w:rPr>
          <w:lang w:val="sr-Latn-BA"/>
        </w:rPr>
        <w:t>društva</w:t>
      </w:r>
      <w:r w:rsidRPr="001B53A8">
        <w:rPr>
          <w:lang w:val="sr-Latn-BA"/>
        </w:rPr>
        <w:t xml:space="preserve"> </w:t>
      </w:r>
      <w:r w:rsidR="00003F34" w:rsidRPr="001B53A8">
        <w:rPr>
          <w:lang w:val="sr-Latn-BA"/>
        </w:rPr>
        <w:t>za</w:t>
      </w:r>
      <w:r w:rsidRPr="001B53A8">
        <w:rPr>
          <w:lang w:val="sr-Latn-BA"/>
        </w:rPr>
        <w:t xml:space="preserve"> </w:t>
      </w:r>
      <w:r w:rsidR="00003F34" w:rsidRPr="001B53A8">
        <w:rPr>
          <w:lang w:val="sr-Latn-BA"/>
        </w:rPr>
        <w:t>upravlјanje</w:t>
      </w:r>
      <w:r w:rsidRPr="001B53A8">
        <w:rPr>
          <w:lang w:val="sr-Latn-BA"/>
        </w:rPr>
        <w:t xml:space="preserve"> </w:t>
      </w:r>
      <w:r w:rsidR="00003F34" w:rsidRPr="001B53A8">
        <w:rPr>
          <w:lang w:val="sr-Latn-BA"/>
        </w:rPr>
        <w:t>i</w:t>
      </w:r>
      <w:r w:rsidRPr="001B53A8">
        <w:rPr>
          <w:lang w:val="sr-Latn-BA"/>
        </w:rPr>
        <w:t xml:space="preserve"> </w:t>
      </w:r>
      <w:r w:rsidR="00003F34" w:rsidRPr="001B53A8">
        <w:rPr>
          <w:lang w:val="sr-Latn-BA"/>
        </w:rPr>
        <w:t>investicionog</w:t>
      </w:r>
      <w:r w:rsidRPr="001B53A8">
        <w:rPr>
          <w:lang w:val="sr-Latn-BA"/>
        </w:rPr>
        <w:t xml:space="preserve"> </w:t>
      </w:r>
      <w:r w:rsidR="00003F34" w:rsidRPr="001B53A8">
        <w:rPr>
          <w:lang w:val="sr-Latn-BA"/>
        </w:rPr>
        <w:t>fonda</w:t>
      </w:r>
      <w:r w:rsidRPr="001B53A8">
        <w:rPr>
          <w:lang w:val="sr-Latn-BA"/>
        </w:rPr>
        <w:t>;</w:t>
      </w:r>
    </w:p>
    <w:p w14:paraId="1DE50B6E" w14:textId="0F3112FC" w:rsidR="001D6262" w:rsidRPr="001B53A8" w:rsidRDefault="001D6262" w:rsidP="006B6E0C">
      <w:pPr>
        <w:spacing w:before="0" w:after="0" w:line="240" w:lineRule="auto"/>
        <w:ind w:left="851" w:hanging="284"/>
        <w:rPr>
          <w:lang w:val="sr-Latn-BA"/>
        </w:rPr>
      </w:pPr>
      <w:r w:rsidRPr="001B53A8">
        <w:rPr>
          <w:lang w:val="sr-Latn-BA"/>
        </w:rPr>
        <w:t>4)</w:t>
      </w:r>
      <w:r w:rsidRPr="001B53A8">
        <w:rPr>
          <w:lang w:val="sr-Latn-BA"/>
        </w:rPr>
        <w:tab/>
      </w:r>
      <w:r w:rsidR="00003F34" w:rsidRPr="001B53A8">
        <w:rPr>
          <w:lang w:val="sr-Latn-BA"/>
        </w:rPr>
        <w:t>Odobrenja</w:t>
      </w:r>
      <w:r w:rsidRPr="001B53A8">
        <w:rPr>
          <w:lang w:val="sr-Latn-BA"/>
        </w:rPr>
        <w:t xml:space="preserve"> </w:t>
      </w:r>
      <w:r w:rsidR="00003F34" w:rsidRPr="001B53A8">
        <w:rPr>
          <w:lang w:val="sr-Latn-BA"/>
        </w:rPr>
        <w:t>na</w:t>
      </w:r>
      <w:r w:rsidRPr="001B53A8">
        <w:rPr>
          <w:lang w:val="sr-Latn-BA"/>
        </w:rPr>
        <w:t xml:space="preserve"> </w:t>
      </w:r>
      <w:r w:rsidR="00003F34" w:rsidRPr="001B53A8">
        <w:rPr>
          <w:lang w:val="sr-Latn-BA"/>
        </w:rPr>
        <w:t>prenos</w:t>
      </w:r>
      <w:r w:rsidRPr="001B53A8">
        <w:rPr>
          <w:lang w:val="sr-Latn-BA"/>
        </w:rPr>
        <w:t xml:space="preserve"> </w:t>
      </w:r>
      <w:r w:rsidR="00003F34" w:rsidRPr="001B53A8">
        <w:rPr>
          <w:lang w:val="sr-Latn-BA"/>
        </w:rPr>
        <w:t>administrativnih</w:t>
      </w:r>
      <w:r w:rsidRPr="001B53A8">
        <w:rPr>
          <w:lang w:val="sr-Latn-BA"/>
        </w:rPr>
        <w:t xml:space="preserve"> </w:t>
      </w:r>
      <w:r w:rsidR="00003F34" w:rsidRPr="001B53A8">
        <w:rPr>
          <w:lang w:val="sr-Latn-BA"/>
        </w:rPr>
        <w:t>poslova</w:t>
      </w:r>
      <w:r w:rsidRPr="001B53A8">
        <w:rPr>
          <w:lang w:val="sr-Latn-BA"/>
        </w:rPr>
        <w:t xml:space="preserve"> </w:t>
      </w:r>
      <w:r w:rsidR="00003F34" w:rsidRPr="001B53A8">
        <w:rPr>
          <w:lang w:val="sr-Latn-BA"/>
        </w:rPr>
        <w:t>iz</w:t>
      </w:r>
      <w:r w:rsidRPr="001B53A8">
        <w:rPr>
          <w:lang w:val="sr-Latn-BA"/>
        </w:rPr>
        <w:t xml:space="preserve"> </w:t>
      </w:r>
      <w:r w:rsidR="00003F34" w:rsidRPr="001B53A8">
        <w:rPr>
          <w:lang w:val="sr-Latn-BA"/>
        </w:rPr>
        <w:t>člana</w:t>
      </w:r>
      <w:r w:rsidRPr="001B53A8">
        <w:rPr>
          <w:lang w:val="sr-Latn-BA"/>
        </w:rPr>
        <w:t xml:space="preserve"> 23. </w:t>
      </w:r>
      <w:r w:rsidR="00003F34" w:rsidRPr="001B53A8">
        <w:rPr>
          <w:lang w:val="sr-Latn-BA"/>
        </w:rPr>
        <w:t>Zakona</w:t>
      </w:r>
      <w:r w:rsidRPr="001B53A8">
        <w:rPr>
          <w:lang w:val="sr-Latn-BA"/>
        </w:rPr>
        <w:t xml:space="preserve"> </w:t>
      </w:r>
      <w:r w:rsidR="00003F34" w:rsidRPr="001B53A8">
        <w:rPr>
          <w:lang w:val="sr-Latn-BA"/>
        </w:rPr>
        <w:t>o</w:t>
      </w:r>
      <w:r w:rsidRPr="001B53A8">
        <w:rPr>
          <w:lang w:val="sr-Latn-BA"/>
        </w:rPr>
        <w:t xml:space="preserve"> </w:t>
      </w:r>
      <w:r w:rsidR="00003F34" w:rsidRPr="001B53A8">
        <w:rPr>
          <w:lang w:val="sr-Latn-BA"/>
        </w:rPr>
        <w:t>investicionim</w:t>
      </w:r>
      <w:r w:rsidRPr="001B53A8">
        <w:rPr>
          <w:lang w:val="sr-Latn-BA"/>
        </w:rPr>
        <w:t xml:space="preserve"> </w:t>
      </w:r>
      <w:r w:rsidR="00003F34" w:rsidRPr="001B53A8">
        <w:rPr>
          <w:lang w:val="sr-Latn-BA"/>
        </w:rPr>
        <w:t>poslovima</w:t>
      </w:r>
      <w:r w:rsidRPr="001B53A8">
        <w:rPr>
          <w:lang w:val="sr-Latn-BA"/>
        </w:rPr>
        <w:t xml:space="preserve"> </w:t>
      </w:r>
      <w:r w:rsidR="00003F34" w:rsidRPr="001B53A8">
        <w:rPr>
          <w:lang w:val="sr-Latn-BA"/>
        </w:rPr>
        <w:t>na</w:t>
      </w:r>
      <w:r w:rsidRPr="001B53A8">
        <w:rPr>
          <w:lang w:val="sr-Latn-BA"/>
        </w:rPr>
        <w:t xml:space="preserve"> </w:t>
      </w:r>
      <w:r w:rsidR="00003F34" w:rsidRPr="001B53A8">
        <w:rPr>
          <w:lang w:val="sr-Latn-BA"/>
        </w:rPr>
        <w:t>treća</w:t>
      </w:r>
      <w:r w:rsidRPr="001B53A8">
        <w:rPr>
          <w:lang w:val="sr-Latn-BA"/>
        </w:rPr>
        <w:t xml:space="preserve"> </w:t>
      </w:r>
      <w:r w:rsidR="00003F34" w:rsidRPr="001B53A8">
        <w:rPr>
          <w:lang w:val="sr-Latn-BA"/>
        </w:rPr>
        <w:t>lica</w:t>
      </w:r>
      <w:r w:rsidRPr="001B53A8">
        <w:rPr>
          <w:lang w:val="sr-Latn-BA"/>
        </w:rPr>
        <w:t>;</w:t>
      </w:r>
    </w:p>
    <w:p w14:paraId="76F42E95" w14:textId="7B99FFD2" w:rsidR="001D6262" w:rsidRPr="001B53A8" w:rsidRDefault="001D6262" w:rsidP="006B6E0C">
      <w:pPr>
        <w:spacing w:before="0" w:after="0" w:line="240" w:lineRule="auto"/>
        <w:ind w:left="851" w:hanging="284"/>
        <w:rPr>
          <w:lang w:val="sr-Latn-BA"/>
        </w:rPr>
      </w:pPr>
      <w:r w:rsidRPr="001B53A8">
        <w:rPr>
          <w:lang w:val="sr-Latn-BA"/>
        </w:rPr>
        <w:t>5)</w:t>
      </w:r>
      <w:r w:rsidRPr="001B53A8">
        <w:rPr>
          <w:lang w:val="sr-Latn-BA"/>
        </w:rPr>
        <w:tab/>
      </w:r>
      <w:r w:rsidR="00003F34" w:rsidRPr="001B53A8">
        <w:rPr>
          <w:lang w:val="sr-Latn-BA"/>
        </w:rPr>
        <w:t>Saglasnosti</w:t>
      </w:r>
      <w:r w:rsidRPr="001B53A8">
        <w:rPr>
          <w:lang w:val="sr-Latn-BA"/>
        </w:rPr>
        <w:t xml:space="preserve"> </w:t>
      </w:r>
      <w:r w:rsidR="00003F34" w:rsidRPr="001B53A8">
        <w:rPr>
          <w:lang w:val="sr-Latn-BA"/>
        </w:rPr>
        <w:t>investicionim</w:t>
      </w:r>
      <w:r w:rsidRPr="001B53A8">
        <w:rPr>
          <w:lang w:val="sr-Latn-BA"/>
        </w:rPr>
        <w:t xml:space="preserve"> </w:t>
      </w:r>
      <w:r w:rsidR="00003F34" w:rsidRPr="001B53A8">
        <w:rPr>
          <w:lang w:val="sr-Latn-BA"/>
        </w:rPr>
        <w:t>fondovima</w:t>
      </w:r>
      <w:r w:rsidRPr="001B53A8">
        <w:rPr>
          <w:lang w:val="sr-Latn-BA"/>
        </w:rPr>
        <w:t xml:space="preserve"> </w:t>
      </w:r>
      <w:r w:rsidR="00003F34" w:rsidRPr="001B53A8">
        <w:rPr>
          <w:lang w:val="sr-Latn-BA"/>
        </w:rPr>
        <w:t>na</w:t>
      </w:r>
      <w:r w:rsidRPr="001B53A8">
        <w:rPr>
          <w:lang w:val="sr-Latn-BA"/>
        </w:rPr>
        <w:t xml:space="preserve"> </w:t>
      </w:r>
      <w:r w:rsidR="00003F34" w:rsidRPr="001B53A8">
        <w:rPr>
          <w:lang w:val="sr-Latn-BA"/>
        </w:rPr>
        <w:t>prospekt</w:t>
      </w:r>
      <w:r w:rsidRPr="001B53A8">
        <w:rPr>
          <w:lang w:val="sr-Latn-BA"/>
        </w:rPr>
        <w:t xml:space="preserve"> </w:t>
      </w:r>
      <w:r w:rsidR="00003F34" w:rsidRPr="001B53A8">
        <w:rPr>
          <w:lang w:val="sr-Latn-BA"/>
        </w:rPr>
        <w:t>i</w:t>
      </w:r>
      <w:r w:rsidRPr="001B53A8">
        <w:rPr>
          <w:lang w:val="sr-Latn-BA"/>
        </w:rPr>
        <w:t xml:space="preserve"> </w:t>
      </w:r>
      <w:r w:rsidR="00003F34" w:rsidRPr="001B53A8">
        <w:rPr>
          <w:lang w:val="sr-Latn-BA"/>
        </w:rPr>
        <w:t>statut</w:t>
      </w:r>
      <w:r w:rsidRPr="001B53A8">
        <w:rPr>
          <w:lang w:val="sr-Latn-BA"/>
        </w:rPr>
        <w:t xml:space="preserve">, </w:t>
      </w:r>
      <w:r w:rsidR="00003F34" w:rsidRPr="001B53A8">
        <w:rPr>
          <w:lang w:val="sr-Latn-BA"/>
        </w:rPr>
        <w:t>kao</w:t>
      </w:r>
      <w:r w:rsidRPr="001B53A8">
        <w:rPr>
          <w:lang w:val="sr-Latn-BA"/>
        </w:rPr>
        <w:t xml:space="preserve"> </w:t>
      </w:r>
      <w:r w:rsidR="00003F34" w:rsidRPr="001B53A8">
        <w:rPr>
          <w:lang w:val="sr-Latn-BA"/>
        </w:rPr>
        <w:t>i</w:t>
      </w:r>
      <w:r w:rsidRPr="001B53A8">
        <w:rPr>
          <w:lang w:val="sr-Latn-BA"/>
        </w:rPr>
        <w:t xml:space="preserve"> </w:t>
      </w:r>
      <w:r w:rsidR="00003F34" w:rsidRPr="001B53A8">
        <w:rPr>
          <w:lang w:val="sr-Latn-BA"/>
        </w:rPr>
        <w:t>na</w:t>
      </w:r>
      <w:r w:rsidRPr="001B53A8">
        <w:rPr>
          <w:lang w:val="sr-Latn-BA"/>
        </w:rPr>
        <w:t xml:space="preserve"> </w:t>
      </w:r>
      <w:r w:rsidR="00003F34" w:rsidRPr="001B53A8">
        <w:rPr>
          <w:lang w:val="sr-Latn-BA"/>
        </w:rPr>
        <w:t>sve</w:t>
      </w:r>
      <w:r w:rsidRPr="001B53A8">
        <w:rPr>
          <w:lang w:val="sr-Latn-BA"/>
        </w:rPr>
        <w:t xml:space="preserve"> </w:t>
      </w:r>
      <w:r w:rsidR="00003F34" w:rsidRPr="001B53A8">
        <w:rPr>
          <w:lang w:val="sr-Latn-BA"/>
        </w:rPr>
        <w:t>naknadne</w:t>
      </w:r>
      <w:r w:rsidRPr="001B53A8">
        <w:rPr>
          <w:lang w:val="sr-Latn-BA"/>
        </w:rPr>
        <w:t xml:space="preserve"> </w:t>
      </w:r>
      <w:r w:rsidR="00003F34" w:rsidRPr="001B53A8">
        <w:rPr>
          <w:lang w:val="sr-Latn-BA"/>
        </w:rPr>
        <w:t>izmjene</w:t>
      </w:r>
      <w:r w:rsidRPr="001B53A8">
        <w:rPr>
          <w:lang w:val="sr-Latn-BA"/>
        </w:rPr>
        <w:t xml:space="preserve"> </w:t>
      </w:r>
      <w:r w:rsidR="00003F34" w:rsidRPr="001B53A8">
        <w:rPr>
          <w:lang w:val="sr-Latn-BA"/>
        </w:rPr>
        <w:t>tih</w:t>
      </w:r>
      <w:r w:rsidRPr="001B53A8">
        <w:rPr>
          <w:lang w:val="sr-Latn-BA"/>
        </w:rPr>
        <w:t xml:space="preserve"> </w:t>
      </w:r>
      <w:r w:rsidR="00003F34" w:rsidRPr="001B53A8">
        <w:rPr>
          <w:lang w:val="sr-Latn-BA"/>
        </w:rPr>
        <w:t>akata</w:t>
      </w:r>
      <w:r w:rsidRPr="001B53A8">
        <w:rPr>
          <w:lang w:val="sr-Latn-BA"/>
        </w:rPr>
        <w:t>;</w:t>
      </w:r>
    </w:p>
    <w:p w14:paraId="10AC101B" w14:textId="12A1350A" w:rsidR="001D6262" w:rsidRPr="001B53A8" w:rsidRDefault="001D6262" w:rsidP="006B6E0C">
      <w:pPr>
        <w:spacing w:before="0" w:after="0" w:line="240" w:lineRule="auto"/>
        <w:ind w:left="851" w:hanging="284"/>
        <w:rPr>
          <w:lang w:val="sr-Latn-BA"/>
        </w:rPr>
      </w:pPr>
      <w:r w:rsidRPr="001B53A8">
        <w:rPr>
          <w:lang w:val="sr-Latn-BA"/>
        </w:rPr>
        <w:t xml:space="preserve">6) </w:t>
      </w:r>
      <w:r w:rsidR="00003F34" w:rsidRPr="001B53A8">
        <w:rPr>
          <w:lang w:val="sr-Latn-BA"/>
        </w:rPr>
        <w:t>Saglasnost</w:t>
      </w:r>
      <w:r w:rsidRPr="001B53A8">
        <w:rPr>
          <w:lang w:val="sr-Latn-BA"/>
        </w:rPr>
        <w:t xml:space="preserve"> </w:t>
      </w:r>
      <w:r w:rsidR="00003F34" w:rsidRPr="001B53A8">
        <w:rPr>
          <w:lang w:val="sr-Latn-BA"/>
        </w:rPr>
        <w:t>na</w:t>
      </w:r>
      <w:r w:rsidRPr="001B53A8">
        <w:rPr>
          <w:lang w:val="sr-Latn-BA"/>
        </w:rPr>
        <w:t xml:space="preserve"> </w:t>
      </w:r>
      <w:r w:rsidR="00003F34" w:rsidRPr="001B53A8">
        <w:rPr>
          <w:lang w:val="sr-Latn-BA"/>
        </w:rPr>
        <w:t>imenovanje</w:t>
      </w:r>
      <w:r w:rsidRPr="001B53A8">
        <w:rPr>
          <w:lang w:val="sr-Latn-BA"/>
        </w:rPr>
        <w:t xml:space="preserve"> </w:t>
      </w:r>
      <w:r w:rsidR="00003F34" w:rsidRPr="001B53A8">
        <w:rPr>
          <w:lang w:val="sr-Latn-BA"/>
        </w:rPr>
        <w:t>članova</w:t>
      </w:r>
      <w:r w:rsidRPr="001B53A8">
        <w:rPr>
          <w:lang w:val="sr-Latn-BA"/>
        </w:rPr>
        <w:t xml:space="preserve"> </w:t>
      </w:r>
      <w:r w:rsidR="00003F34" w:rsidRPr="001B53A8">
        <w:rPr>
          <w:lang w:val="sr-Latn-BA"/>
        </w:rPr>
        <w:t>nadzornog</w:t>
      </w:r>
      <w:r w:rsidRPr="001B53A8">
        <w:rPr>
          <w:lang w:val="sr-Latn-BA"/>
        </w:rPr>
        <w:t xml:space="preserve"> </w:t>
      </w:r>
      <w:r w:rsidR="00003F34" w:rsidRPr="001B53A8">
        <w:rPr>
          <w:lang w:val="sr-Latn-BA"/>
        </w:rPr>
        <w:t>odbora</w:t>
      </w:r>
      <w:r w:rsidRPr="001B53A8">
        <w:rPr>
          <w:lang w:val="sr-Latn-BA"/>
        </w:rPr>
        <w:t xml:space="preserve"> </w:t>
      </w:r>
      <w:r w:rsidR="00003F34" w:rsidRPr="001B53A8">
        <w:rPr>
          <w:lang w:val="sr-Latn-BA"/>
        </w:rPr>
        <w:t>investicionog</w:t>
      </w:r>
      <w:r w:rsidRPr="001B53A8">
        <w:rPr>
          <w:lang w:val="sr-Latn-BA"/>
        </w:rPr>
        <w:t xml:space="preserve"> </w:t>
      </w:r>
      <w:r w:rsidR="00003F34" w:rsidRPr="001B53A8">
        <w:rPr>
          <w:lang w:val="sr-Latn-BA"/>
        </w:rPr>
        <w:t>fonda</w:t>
      </w:r>
      <w:r w:rsidRPr="001B53A8">
        <w:rPr>
          <w:lang w:val="sr-Latn-BA"/>
        </w:rPr>
        <w:t>;</w:t>
      </w:r>
    </w:p>
    <w:p w14:paraId="33F28698" w14:textId="7AB92F55" w:rsidR="001D6262" w:rsidRPr="001B53A8" w:rsidRDefault="001D6262" w:rsidP="006B6E0C">
      <w:pPr>
        <w:spacing w:before="0" w:after="0" w:line="240" w:lineRule="auto"/>
        <w:ind w:left="851" w:hanging="284"/>
        <w:rPr>
          <w:lang w:val="sr-Latn-BA"/>
        </w:rPr>
      </w:pPr>
      <w:r w:rsidRPr="001B53A8">
        <w:rPr>
          <w:lang w:val="sr-Latn-BA"/>
        </w:rPr>
        <w:t>7)</w:t>
      </w:r>
      <w:r w:rsidRPr="001B53A8">
        <w:rPr>
          <w:lang w:val="sr-Latn-BA"/>
        </w:rPr>
        <w:tab/>
      </w:r>
      <w:r w:rsidR="00003F34" w:rsidRPr="001B53A8">
        <w:rPr>
          <w:lang w:val="sr-Latn-BA"/>
        </w:rPr>
        <w:t>Dozvola</w:t>
      </w:r>
      <w:r w:rsidRPr="001B53A8">
        <w:rPr>
          <w:lang w:val="sr-Latn-BA"/>
        </w:rPr>
        <w:t xml:space="preserve"> </w:t>
      </w:r>
      <w:r w:rsidR="00003F34" w:rsidRPr="001B53A8">
        <w:rPr>
          <w:lang w:val="sr-Latn-BA"/>
        </w:rPr>
        <w:t>društvima</w:t>
      </w:r>
      <w:r w:rsidRPr="001B53A8">
        <w:rPr>
          <w:lang w:val="sr-Latn-BA"/>
        </w:rPr>
        <w:t xml:space="preserve"> </w:t>
      </w:r>
      <w:r w:rsidR="00003F34" w:rsidRPr="001B53A8">
        <w:rPr>
          <w:lang w:val="sr-Latn-BA"/>
        </w:rPr>
        <w:t>za</w:t>
      </w:r>
      <w:r w:rsidRPr="001B53A8">
        <w:rPr>
          <w:lang w:val="sr-Latn-BA"/>
        </w:rPr>
        <w:t xml:space="preserve"> </w:t>
      </w:r>
      <w:r w:rsidR="00003F34" w:rsidRPr="001B53A8">
        <w:rPr>
          <w:lang w:val="sr-Latn-BA"/>
        </w:rPr>
        <w:t>upravlјanje</w:t>
      </w:r>
      <w:r w:rsidRPr="001B53A8">
        <w:rPr>
          <w:lang w:val="sr-Latn-BA"/>
        </w:rPr>
        <w:t xml:space="preserve"> </w:t>
      </w:r>
      <w:r w:rsidR="00003F34" w:rsidRPr="001B53A8">
        <w:rPr>
          <w:lang w:val="sr-Latn-BA"/>
        </w:rPr>
        <w:t>investicionim</w:t>
      </w:r>
      <w:r w:rsidRPr="001B53A8">
        <w:rPr>
          <w:lang w:val="sr-Latn-BA"/>
        </w:rPr>
        <w:t xml:space="preserve"> </w:t>
      </w:r>
      <w:r w:rsidR="00003F34" w:rsidRPr="001B53A8">
        <w:rPr>
          <w:lang w:val="sr-Latn-BA"/>
        </w:rPr>
        <w:t>fondovima</w:t>
      </w:r>
      <w:r w:rsidRPr="001B53A8">
        <w:rPr>
          <w:lang w:val="sr-Latn-BA"/>
        </w:rPr>
        <w:t xml:space="preserve"> </w:t>
      </w:r>
      <w:r w:rsidR="00003F34" w:rsidRPr="001B53A8">
        <w:rPr>
          <w:lang w:val="sr-Latn-BA"/>
        </w:rPr>
        <w:t>za</w:t>
      </w:r>
      <w:r w:rsidRPr="001B53A8">
        <w:rPr>
          <w:lang w:val="sr-Latn-BA"/>
        </w:rPr>
        <w:t xml:space="preserve"> </w:t>
      </w:r>
      <w:r w:rsidR="00003F34" w:rsidRPr="001B53A8">
        <w:rPr>
          <w:lang w:val="sr-Latn-BA"/>
        </w:rPr>
        <w:t>zaklјučenje</w:t>
      </w:r>
      <w:r w:rsidRPr="001B53A8">
        <w:rPr>
          <w:lang w:val="sr-Latn-BA"/>
        </w:rPr>
        <w:t xml:space="preserve"> </w:t>
      </w:r>
      <w:r w:rsidR="00003F34" w:rsidRPr="001B53A8">
        <w:rPr>
          <w:lang w:val="sr-Latn-BA"/>
        </w:rPr>
        <w:t>ugovora</w:t>
      </w:r>
      <w:r w:rsidRPr="001B53A8">
        <w:rPr>
          <w:lang w:val="sr-Latn-BA"/>
        </w:rPr>
        <w:t xml:space="preserve"> </w:t>
      </w:r>
      <w:r w:rsidR="00003F34" w:rsidRPr="001B53A8">
        <w:rPr>
          <w:lang w:val="sr-Latn-BA"/>
        </w:rPr>
        <w:t>o</w:t>
      </w:r>
      <w:r w:rsidRPr="001B53A8">
        <w:rPr>
          <w:lang w:val="sr-Latn-BA"/>
        </w:rPr>
        <w:t xml:space="preserve"> </w:t>
      </w:r>
      <w:r w:rsidR="00003F34" w:rsidRPr="001B53A8">
        <w:rPr>
          <w:lang w:val="sr-Latn-BA"/>
        </w:rPr>
        <w:t>obavlјanju</w:t>
      </w:r>
      <w:r w:rsidRPr="001B53A8">
        <w:rPr>
          <w:lang w:val="sr-Latn-BA"/>
        </w:rPr>
        <w:t xml:space="preserve"> </w:t>
      </w:r>
      <w:r w:rsidR="00003F34" w:rsidRPr="001B53A8">
        <w:rPr>
          <w:lang w:val="sr-Latn-BA"/>
        </w:rPr>
        <w:t>depozitarnih</w:t>
      </w:r>
      <w:r w:rsidRPr="001B53A8">
        <w:rPr>
          <w:lang w:val="sr-Latn-BA"/>
        </w:rPr>
        <w:t xml:space="preserve"> </w:t>
      </w:r>
      <w:r w:rsidR="00003F34" w:rsidRPr="001B53A8">
        <w:rPr>
          <w:lang w:val="sr-Latn-BA"/>
        </w:rPr>
        <w:t>poslova</w:t>
      </w:r>
      <w:r w:rsidRPr="001B53A8">
        <w:rPr>
          <w:lang w:val="sr-Latn-BA"/>
        </w:rPr>
        <w:t xml:space="preserve"> </w:t>
      </w:r>
      <w:r w:rsidR="00003F34" w:rsidRPr="001B53A8">
        <w:rPr>
          <w:lang w:val="sr-Latn-BA"/>
        </w:rPr>
        <w:t>i</w:t>
      </w:r>
      <w:r w:rsidRPr="001B53A8">
        <w:rPr>
          <w:lang w:val="sr-Latn-BA"/>
        </w:rPr>
        <w:t xml:space="preserve"> </w:t>
      </w:r>
      <w:r w:rsidR="00003F34" w:rsidRPr="001B53A8">
        <w:rPr>
          <w:lang w:val="sr-Latn-BA"/>
        </w:rPr>
        <w:t>promjenu</w:t>
      </w:r>
      <w:r w:rsidRPr="001B53A8">
        <w:rPr>
          <w:lang w:val="sr-Latn-BA"/>
        </w:rPr>
        <w:t xml:space="preserve"> </w:t>
      </w:r>
      <w:r w:rsidR="00003F34" w:rsidRPr="001B53A8">
        <w:rPr>
          <w:lang w:val="sr-Latn-BA"/>
        </w:rPr>
        <w:t>banke</w:t>
      </w:r>
      <w:r w:rsidRPr="001B53A8">
        <w:rPr>
          <w:lang w:val="sr-Latn-BA"/>
        </w:rPr>
        <w:t xml:space="preserve"> </w:t>
      </w:r>
      <w:r w:rsidR="00003F34" w:rsidRPr="001B53A8">
        <w:rPr>
          <w:lang w:val="sr-Latn-BA"/>
        </w:rPr>
        <w:t>depozitara</w:t>
      </w:r>
      <w:r w:rsidRPr="001B53A8">
        <w:rPr>
          <w:lang w:val="sr-Latn-BA"/>
        </w:rPr>
        <w:t>;</w:t>
      </w:r>
    </w:p>
    <w:p w14:paraId="7A224431" w14:textId="6AE977DB" w:rsidR="001D6262" w:rsidRPr="001B53A8" w:rsidRDefault="001D6262" w:rsidP="006B6E0C">
      <w:pPr>
        <w:spacing w:before="0" w:after="0" w:line="240" w:lineRule="auto"/>
        <w:ind w:left="851" w:hanging="284"/>
        <w:rPr>
          <w:lang w:val="sr-Latn-BA"/>
        </w:rPr>
      </w:pPr>
      <w:r w:rsidRPr="001B53A8">
        <w:rPr>
          <w:lang w:val="sr-Latn-BA"/>
        </w:rPr>
        <w:t>8)</w:t>
      </w:r>
      <w:r w:rsidRPr="001B53A8">
        <w:rPr>
          <w:lang w:val="sr-Latn-BA"/>
        </w:rPr>
        <w:tab/>
      </w:r>
      <w:r w:rsidR="00003F34" w:rsidRPr="001B53A8">
        <w:rPr>
          <w:lang w:val="sr-Latn-BA"/>
        </w:rPr>
        <w:t>Odobrenja</w:t>
      </w:r>
      <w:r w:rsidRPr="001B53A8">
        <w:rPr>
          <w:lang w:val="sr-Latn-BA"/>
        </w:rPr>
        <w:t xml:space="preserve"> </w:t>
      </w:r>
      <w:r w:rsidR="00003F34" w:rsidRPr="001B53A8">
        <w:rPr>
          <w:lang w:val="sr-Latn-BA"/>
        </w:rPr>
        <w:t>promotivnih</w:t>
      </w:r>
      <w:r w:rsidRPr="001B53A8">
        <w:rPr>
          <w:lang w:val="sr-Latn-BA"/>
        </w:rPr>
        <w:t xml:space="preserve"> </w:t>
      </w:r>
      <w:r w:rsidR="00003F34" w:rsidRPr="001B53A8">
        <w:rPr>
          <w:lang w:val="sr-Latn-BA"/>
        </w:rPr>
        <w:t>informacija</w:t>
      </w:r>
      <w:r w:rsidRPr="001B53A8">
        <w:rPr>
          <w:lang w:val="sr-Latn-BA"/>
        </w:rPr>
        <w:t xml:space="preserve"> </w:t>
      </w:r>
      <w:r w:rsidR="00003F34" w:rsidRPr="001B53A8">
        <w:rPr>
          <w:lang w:val="sr-Latn-BA"/>
        </w:rPr>
        <w:t>o</w:t>
      </w:r>
      <w:r w:rsidRPr="001B53A8">
        <w:rPr>
          <w:lang w:val="sr-Latn-BA"/>
        </w:rPr>
        <w:t xml:space="preserve"> </w:t>
      </w:r>
      <w:r w:rsidR="00003F34" w:rsidRPr="001B53A8">
        <w:rPr>
          <w:lang w:val="sr-Latn-BA"/>
        </w:rPr>
        <w:t>investicionim</w:t>
      </w:r>
      <w:r w:rsidRPr="001B53A8">
        <w:rPr>
          <w:lang w:val="sr-Latn-BA"/>
        </w:rPr>
        <w:t xml:space="preserve"> </w:t>
      </w:r>
      <w:r w:rsidR="00003F34" w:rsidRPr="001B53A8">
        <w:rPr>
          <w:lang w:val="sr-Latn-BA"/>
        </w:rPr>
        <w:t>fondovima</w:t>
      </w:r>
      <w:r w:rsidRPr="001B53A8">
        <w:rPr>
          <w:lang w:val="sr-Latn-BA"/>
        </w:rPr>
        <w:t xml:space="preserve"> </w:t>
      </w:r>
      <w:r w:rsidR="00003F34" w:rsidRPr="001B53A8">
        <w:rPr>
          <w:lang w:val="sr-Latn-BA"/>
        </w:rPr>
        <w:t>i</w:t>
      </w:r>
      <w:r w:rsidRPr="001B53A8">
        <w:rPr>
          <w:lang w:val="sr-Latn-BA"/>
        </w:rPr>
        <w:t xml:space="preserve"> </w:t>
      </w:r>
      <w:r w:rsidR="00003F34" w:rsidRPr="001B53A8">
        <w:rPr>
          <w:lang w:val="sr-Latn-BA"/>
        </w:rPr>
        <w:t>društvima</w:t>
      </w:r>
      <w:r w:rsidRPr="001B53A8">
        <w:rPr>
          <w:lang w:val="sr-Latn-BA"/>
        </w:rPr>
        <w:t xml:space="preserve"> </w:t>
      </w:r>
      <w:r w:rsidR="00003F34" w:rsidRPr="001B53A8">
        <w:rPr>
          <w:lang w:val="sr-Latn-BA"/>
        </w:rPr>
        <w:t>koja</w:t>
      </w:r>
      <w:r w:rsidRPr="001B53A8">
        <w:rPr>
          <w:lang w:val="sr-Latn-BA"/>
        </w:rPr>
        <w:t xml:space="preserve"> </w:t>
      </w:r>
      <w:r w:rsidR="00003F34" w:rsidRPr="001B53A8">
        <w:rPr>
          <w:lang w:val="sr-Latn-BA"/>
        </w:rPr>
        <w:t>njima</w:t>
      </w:r>
      <w:r w:rsidRPr="001B53A8">
        <w:rPr>
          <w:lang w:val="sr-Latn-BA"/>
        </w:rPr>
        <w:t xml:space="preserve"> </w:t>
      </w:r>
      <w:r w:rsidR="00003F34" w:rsidRPr="001B53A8">
        <w:rPr>
          <w:lang w:val="sr-Latn-BA"/>
        </w:rPr>
        <w:t>upravlјaju</w:t>
      </w:r>
      <w:r w:rsidRPr="001B53A8">
        <w:rPr>
          <w:lang w:val="sr-Latn-BA"/>
        </w:rPr>
        <w:t>.</w:t>
      </w:r>
    </w:p>
    <w:p w14:paraId="0F9EF6E0" w14:textId="5AD9B662" w:rsidR="00A11D13" w:rsidRPr="001B53A8" w:rsidRDefault="00003F34" w:rsidP="006B6E0C">
      <w:pPr>
        <w:pStyle w:val="ListParagraph"/>
        <w:numPr>
          <w:ilvl w:val="0"/>
          <w:numId w:val="7"/>
        </w:numPr>
        <w:tabs>
          <w:tab w:val="left" w:pos="851"/>
        </w:tabs>
        <w:spacing w:after="0" w:line="240" w:lineRule="auto"/>
        <w:ind w:left="0" w:firstLine="567"/>
        <w:contextualSpacing w:val="0"/>
        <w:rPr>
          <w:lang w:val="sr-Latn-BA"/>
        </w:rPr>
      </w:pPr>
      <w:r w:rsidRPr="001B53A8">
        <w:rPr>
          <w:b/>
          <w:lang w:val="sr-Latn-BA"/>
        </w:rPr>
        <w:t>Društvima</w:t>
      </w:r>
      <w:r w:rsidR="006C5AE6" w:rsidRPr="001B53A8">
        <w:rPr>
          <w:b/>
          <w:lang w:val="sr-Latn-BA"/>
        </w:rPr>
        <w:t xml:space="preserve"> </w:t>
      </w:r>
      <w:r w:rsidRPr="001B53A8">
        <w:rPr>
          <w:b/>
          <w:lang w:val="sr-Latn-BA"/>
        </w:rPr>
        <w:t>za</w:t>
      </w:r>
      <w:r w:rsidR="006C5AE6" w:rsidRPr="001B53A8">
        <w:rPr>
          <w:b/>
          <w:lang w:val="sr-Latn-BA"/>
        </w:rPr>
        <w:t xml:space="preserve"> </w:t>
      </w:r>
      <w:r w:rsidRPr="001B53A8">
        <w:rPr>
          <w:b/>
          <w:lang w:val="sr-Latn-BA"/>
        </w:rPr>
        <w:t>upravlјanje</w:t>
      </w:r>
      <w:r w:rsidR="006C5AE6" w:rsidRPr="001B53A8">
        <w:rPr>
          <w:b/>
          <w:lang w:val="sr-Latn-BA"/>
        </w:rPr>
        <w:t xml:space="preserve"> </w:t>
      </w:r>
      <w:r w:rsidRPr="001B53A8">
        <w:rPr>
          <w:b/>
          <w:lang w:val="sr-Latn-BA"/>
        </w:rPr>
        <w:t>investicionim</w:t>
      </w:r>
      <w:r w:rsidR="006C5AE6" w:rsidRPr="001B53A8">
        <w:rPr>
          <w:b/>
          <w:lang w:val="sr-Latn-BA"/>
        </w:rPr>
        <w:t xml:space="preserve"> </w:t>
      </w:r>
      <w:r w:rsidRPr="001B53A8">
        <w:rPr>
          <w:b/>
          <w:lang w:val="sr-Latn-BA"/>
        </w:rPr>
        <w:t>fondovima</w:t>
      </w:r>
      <w:r w:rsidR="006C5AE6" w:rsidRPr="001B53A8">
        <w:rPr>
          <w:lang w:val="sr-Latn-BA"/>
        </w:rPr>
        <w:t xml:space="preserve">, </w:t>
      </w:r>
      <w:r w:rsidRPr="001B53A8">
        <w:rPr>
          <w:lang w:val="sr-Latn-BA"/>
        </w:rPr>
        <w:t>u</w:t>
      </w:r>
      <w:r w:rsidR="006C5AE6" w:rsidRPr="001B53A8">
        <w:rPr>
          <w:lang w:val="sr-Latn-BA"/>
        </w:rPr>
        <w:t xml:space="preserve"> </w:t>
      </w:r>
      <w:r w:rsidRPr="001B53A8">
        <w:rPr>
          <w:lang w:val="sr-Latn-BA"/>
        </w:rPr>
        <w:t>skladu</w:t>
      </w:r>
      <w:r w:rsidR="006C5AE6" w:rsidRPr="001B53A8">
        <w:rPr>
          <w:lang w:val="sr-Latn-BA"/>
        </w:rPr>
        <w:t xml:space="preserve"> </w:t>
      </w:r>
      <w:r w:rsidRPr="001B53A8">
        <w:rPr>
          <w:lang w:val="sr-Latn-BA"/>
        </w:rPr>
        <w:t>sa</w:t>
      </w:r>
      <w:r w:rsidR="006C5AE6" w:rsidRPr="001B53A8">
        <w:rPr>
          <w:lang w:val="sr-Latn-BA"/>
        </w:rPr>
        <w:t xml:space="preserve"> </w:t>
      </w:r>
      <w:r w:rsidRPr="001B53A8">
        <w:rPr>
          <w:lang w:val="sr-Latn-BA"/>
        </w:rPr>
        <w:t>članom</w:t>
      </w:r>
      <w:r w:rsidR="006C5AE6" w:rsidRPr="001B53A8">
        <w:rPr>
          <w:lang w:val="sr-Latn-BA"/>
        </w:rPr>
        <w:t xml:space="preserve"> 28. </w:t>
      </w:r>
      <w:r w:rsidRPr="001B53A8">
        <w:rPr>
          <w:lang w:val="sr-Latn-BA"/>
        </w:rPr>
        <w:t>Zakona</w:t>
      </w:r>
      <w:r w:rsidR="006C5AE6" w:rsidRPr="001B53A8">
        <w:rPr>
          <w:lang w:val="sr-Latn-BA"/>
        </w:rPr>
        <w:t xml:space="preserve"> </w:t>
      </w:r>
      <w:r w:rsidRPr="001B53A8">
        <w:rPr>
          <w:lang w:val="sr-Latn-BA"/>
        </w:rPr>
        <w:t>o</w:t>
      </w:r>
      <w:r w:rsidR="006C5AE6" w:rsidRPr="001B53A8">
        <w:rPr>
          <w:lang w:val="sr-Latn-BA"/>
        </w:rPr>
        <w:t xml:space="preserve"> </w:t>
      </w:r>
      <w:r w:rsidRPr="001B53A8">
        <w:rPr>
          <w:lang w:val="sr-Latn-BA"/>
        </w:rPr>
        <w:t>investicionim</w:t>
      </w:r>
      <w:r w:rsidR="006C5AE6" w:rsidRPr="001B53A8">
        <w:rPr>
          <w:lang w:val="sr-Latn-BA"/>
        </w:rPr>
        <w:t xml:space="preserve"> </w:t>
      </w:r>
      <w:r w:rsidRPr="001B53A8">
        <w:rPr>
          <w:lang w:val="sr-Latn-BA"/>
        </w:rPr>
        <w:t>fondovima</w:t>
      </w:r>
      <w:r w:rsidR="006C5AE6" w:rsidRPr="001B53A8">
        <w:rPr>
          <w:lang w:val="sr-Latn-BA"/>
        </w:rPr>
        <w:t xml:space="preserve">, </w:t>
      </w:r>
      <w:r w:rsidRPr="001B53A8">
        <w:rPr>
          <w:lang w:val="sr-Latn-BA"/>
        </w:rPr>
        <w:t>Komisija</w:t>
      </w:r>
      <w:r w:rsidR="006C5AE6" w:rsidRPr="001B53A8">
        <w:rPr>
          <w:lang w:val="sr-Latn-BA"/>
        </w:rPr>
        <w:t xml:space="preserve"> </w:t>
      </w:r>
      <w:r w:rsidRPr="001B53A8">
        <w:rPr>
          <w:lang w:val="sr-Latn-BA"/>
        </w:rPr>
        <w:t>izdaje</w:t>
      </w:r>
      <w:r w:rsidR="006C5AE6" w:rsidRPr="001B53A8">
        <w:rPr>
          <w:lang w:val="sr-Latn-BA"/>
        </w:rPr>
        <w:t xml:space="preserve"> </w:t>
      </w:r>
      <w:r w:rsidRPr="001B53A8">
        <w:rPr>
          <w:lang w:val="sr-Latn-BA"/>
        </w:rPr>
        <w:t>dozvolu</w:t>
      </w:r>
      <w:r w:rsidR="006C5AE6" w:rsidRPr="001B53A8">
        <w:rPr>
          <w:lang w:val="sr-Latn-BA"/>
        </w:rPr>
        <w:t xml:space="preserve"> </w:t>
      </w:r>
      <w:r w:rsidRPr="001B53A8">
        <w:rPr>
          <w:lang w:val="sr-Latn-BA"/>
        </w:rPr>
        <w:t>za</w:t>
      </w:r>
      <w:r w:rsidR="006C5AE6" w:rsidRPr="001B53A8">
        <w:rPr>
          <w:lang w:val="sr-Latn-BA"/>
        </w:rPr>
        <w:t xml:space="preserve"> </w:t>
      </w:r>
      <w:r w:rsidRPr="001B53A8">
        <w:rPr>
          <w:lang w:val="sr-Latn-BA"/>
        </w:rPr>
        <w:t>obavlјanje</w:t>
      </w:r>
      <w:r w:rsidR="006C5AE6" w:rsidRPr="001B53A8">
        <w:rPr>
          <w:lang w:val="sr-Latn-BA"/>
        </w:rPr>
        <w:t xml:space="preserve"> </w:t>
      </w:r>
      <w:r w:rsidRPr="001B53A8">
        <w:rPr>
          <w:lang w:val="sr-Latn-BA"/>
        </w:rPr>
        <w:t>djelatnosti</w:t>
      </w:r>
      <w:r w:rsidR="006C5AE6" w:rsidRPr="001B53A8">
        <w:rPr>
          <w:lang w:val="sr-Latn-BA"/>
        </w:rPr>
        <w:t xml:space="preserve"> </w:t>
      </w:r>
      <w:r w:rsidRPr="001B53A8">
        <w:rPr>
          <w:lang w:val="sr-Latn-BA"/>
        </w:rPr>
        <w:t>u</w:t>
      </w:r>
      <w:r w:rsidR="006C5AE6" w:rsidRPr="001B53A8">
        <w:rPr>
          <w:lang w:val="sr-Latn-BA"/>
        </w:rPr>
        <w:t xml:space="preserve"> </w:t>
      </w:r>
      <w:r w:rsidRPr="001B53A8">
        <w:rPr>
          <w:lang w:val="sr-Latn-BA"/>
        </w:rPr>
        <w:t>vezi</w:t>
      </w:r>
      <w:r w:rsidR="006C5AE6" w:rsidRPr="001B53A8">
        <w:rPr>
          <w:lang w:val="sr-Latn-BA"/>
        </w:rPr>
        <w:t xml:space="preserve"> </w:t>
      </w:r>
      <w:r w:rsidRPr="001B53A8">
        <w:rPr>
          <w:lang w:val="sr-Latn-BA"/>
        </w:rPr>
        <w:t>sa</w:t>
      </w:r>
      <w:r w:rsidR="006C5AE6" w:rsidRPr="001B53A8">
        <w:rPr>
          <w:lang w:val="sr-Latn-BA"/>
        </w:rPr>
        <w:t xml:space="preserve"> </w:t>
      </w:r>
      <w:r w:rsidRPr="001B53A8">
        <w:rPr>
          <w:lang w:val="sr-Latn-BA"/>
        </w:rPr>
        <w:t>upravlјanjem</w:t>
      </w:r>
      <w:r w:rsidR="006C5AE6" w:rsidRPr="001B53A8">
        <w:rPr>
          <w:lang w:val="sr-Latn-BA"/>
        </w:rPr>
        <w:t xml:space="preserve"> </w:t>
      </w:r>
      <w:r w:rsidRPr="001B53A8">
        <w:rPr>
          <w:lang w:val="sr-Latn-BA"/>
        </w:rPr>
        <w:t>investicionim</w:t>
      </w:r>
      <w:r w:rsidR="006C5AE6" w:rsidRPr="001B53A8">
        <w:rPr>
          <w:lang w:val="sr-Latn-BA"/>
        </w:rPr>
        <w:t xml:space="preserve"> </w:t>
      </w:r>
      <w:r w:rsidRPr="001B53A8">
        <w:rPr>
          <w:lang w:val="sr-Latn-BA"/>
        </w:rPr>
        <w:t>fondovima</w:t>
      </w:r>
      <w:r w:rsidR="006C5AE6" w:rsidRPr="001B53A8">
        <w:rPr>
          <w:lang w:val="sr-Latn-BA"/>
        </w:rPr>
        <w:t xml:space="preserve">. </w:t>
      </w:r>
    </w:p>
    <w:p w14:paraId="6071B894" w14:textId="0E7C926C" w:rsidR="005E5641" w:rsidRPr="001B53A8" w:rsidRDefault="00003F34" w:rsidP="006B6E0C">
      <w:pPr>
        <w:spacing w:after="0" w:line="240" w:lineRule="auto"/>
        <w:ind w:firstLine="567"/>
        <w:rPr>
          <w:lang w:val="sr-Latn-BA"/>
        </w:rPr>
      </w:pPr>
      <w:r w:rsidRPr="001B53A8">
        <w:rPr>
          <w:lang w:val="sr-Latn-BA"/>
        </w:rPr>
        <w:t>Dozvola</w:t>
      </w:r>
      <w:r w:rsidR="00EF1648" w:rsidRPr="001B53A8">
        <w:rPr>
          <w:lang w:val="sr-Latn-BA"/>
        </w:rPr>
        <w:t xml:space="preserve"> </w:t>
      </w:r>
      <w:r w:rsidRPr="001B53A8">
        <w:rPr>
          <w:lang w:val="sr-Latn-BA"/>
        </w:rPr>
        <w:t>za</w:t>
      </w:r>
      <w:r w:rsidR="00EF1648" w:rsidRPr="001B53A8">
        <w:rPr>
          <w:lang w:val="sr-Latn-BA"/>
        </w:rPr>
        <w:t xml:space="preserve"> </w:t>
      </w:r>
      <w:r w:rsidRPr="001B53A8">
        <w:rPr>
          <w:lang w:val="sr-Latn-BA"/>
        </w:rPr>
        <w:t>osnivanje</w:t>
      </w:r>
      <w:r w:rsidR="00EF1648" w:rsidRPr="001B53A8">
        <w:rPr>
          <w:lang w:val="sr-Latn-BA"/>
        </w:rPr>
        <w:t xml:space="preserve"> </w:t>
      </w:r>
      <w:r w:rsidRPr="001B53A8">
        <w:rPr>
          <w:lang w:val="sr-Latn-BA"/>
        </w:rPr>
        <w:t>i</w:t>
      </w:r>
      <w:r w:rsidR="00EF1648" w:rsidRPr="001B53A8">
        <w:rPr>
          <w:lang w:val="sr-Latn-BA"/>
        </w:rPr>
        <w:t xml:space="preserve"> </w:t>
      </w:r>
      <w:r w:rsidRPr="001B53A8">
        <w:rPr>
          <w:lang w:val="sr-Latn-BA"/>
        </w:rPr>
        <w:t>upravlјanje</w:t>
      </w:r>
      <w:r w:rsidR="00EF1648" w:rsidRPr="001B53A8">
        <w:rPr>
          <w:lang w:val="sr-Latn-BA"/>
        </w:rPr>
        <w:t xml:space="preserve"> </w:t>
      </w:r>
      <w:r w:rsidRPr="001B53A8">
        <w:rPr>
          <w:lang w:val="sr-Latn-BA"/>
        </w:rPr>
        <w:t>investicionim</w:t>
      </w:r>
      <w:r w:rsidR="00EF1648" w:rsidRPr="001B53A8">
        <w:rPr>
          <w:lang w:val="sr-Latn-BA"/>
        </w:rPr>
        <w:t xml:space="preserve"> </w:t>
      </w:r>
      <w:r w:rsidRPr="001B53A8">
        <w:rPr>
          <w:lang w:val="sr-Latn-BA"/>
        </w:rPr>
        <w:t>fondovima</w:t>
      </w:r>
      <w:r w:rsidR="00EF1648" w:rsidRPr="001B53A8">
        <w:rPr>
          <w:lang w:val="sr-Latn-BA"/>
        </w:rPr>
        <w:t xml:space="preserve"> </w:t>
      </w:r>
      <w:r w:rsidRPr="001B53A8">
        <w:rPr>
          <w:lang w:val="sr-Latn-BA"/>
        </w:rPr>
        <w:t>se</w:t>
      </w:r>
      <w:r w:rsidR="00EF1648" w:rsidRPr="001B53A8">
        <w:rPr>
          <w:lang w:val="sr-Latn-BA"/>
        </w:rPr>
        <w:t xml:space="preserve"> </w:t>
      </w:r>
      <w:r w:rsidRPr="001B53A8">
        <w:rPr>
          <w:lang w:val="sr-Latn-BA"/>
        </w:rPr>
        <w:t>odnosi</w:t>
      </w:r>
      <w:r w:rsidR="00EF1648" w:rsidRPr="001B53A8">
        <w:rPr>
          <w:lang w:val="sr-Latn-BA"/>
        </w:rPr>
        <w:t xml:space="preserve"> </w:t>
      </w:r>
      <w:r w:rsidRPr="001B53A8">
        <w:rPr>
          <w:lang w:val="sr-Latn-BA"/>
        </w:rPr>
        <w:t>na</w:t>
      </w:r>
      <w:r w:rsidR="00EF1648" w:rsidRPr="001B53A8">
        <w:rPr>
          <w:lang w:val="sr-Latn-BA"/>
        </w:rPr>
        <w:t xml:space="preserve"> </w:t>
      </w:r>
      <w:r w:rsidRPr="001B53A8">
        <w:rPr>
          <w:lang w:val="sr-Latn-BA"/>
        </w:rPr>
        <w:t>zatvorene</w:t>
      </w:r>
      <w:r w:rsidR="00EF1648" w:rsidRPr="001B53A8">
        <w:rPr>
          <w:lang w:val="sr-Latn-BA"/>
        </w:rPr>
        <w:t xml:space="preserve"> </w:t>
      </w:r>
      <w:r w:rsidRPr="001B53A8">
        <w:rPr>
          <w:lang w:val="sr-Latn-BA"/>
        </w:rPr>
        <w:t>investicione</w:t>
      </w:r>
      <w:r w:rsidR="00EF1648" w:rsidRPr="001B53A8">
        <w:rPr>
          <w:lang w:val="sr-Latn-BA"/>
        </w:rPr>
        <w:t xml:space="preserve"> </w:t>
      </w:r>
      <w:r w:rsidRPr="001B53A8">
        <w:rPr>
          <w:lang w:val="sr-Latn-BA"/>
        </w:rPr>
        <w:t>fondove</w:t>
      </w:r>
      <w:r w:rsidR="00EF1648" w:rsidRPr="001B53A8">
        <w:rPr>
          <w:lang w:val="sr-Latn-BA"/>
        </w:rPr>
        <w:t xml:space="preserve"> </w:t>
      </w:r>
      <w:r w:rsidRPr="001B53A8">
        <w:rPr>
          <w:lang w:val="sr-Latn-BA"/>
        </w:rPr>
        <w:t>sa</w:t>
      </w:r>
      <w:r w:rsidR="00EF1648" w:rsidRPr="001B53A8">
        <w:rPr>
          <w:lang w:val="sr-Latn-BA"/>
        </w:rPr>
        <w:t xml:space="preserve"> </w:t>
      </w:r>
      <w:r w:rsidRPr="001B53A8">
        <w:rPr>
          <w:lang w:val="sr-Latn-BA"/>
        </w:rPr>
        <w:t>javnom</w:t>
      </w:r>
      <w:r w:rsidR="00EF1648" w:rsidRPr="001B53A8">
        <w:rPr>
          <w:lang w:val="sr-Latn-BA"/>
        </w:rPr>
        <w:t xml:space="preserve"> </w:t>
      </w:r>
      <w:r w:rsidRPr="001B53A8">
        <w:rPr>
          <w:lang w:val="sr-Latn-BA"/>
        </w:rPr>
        <w:t>ponudom</w:t>
      </w:r>
      <w:r w:rsidR="00EF1648" w:rsidRPr="001B53A8">
        <w:rPr>
          <w:lang w:val="sr-Latn-BA"/>
        </w:rPr>
        <w:t xml:space="preserve"> (</w:t>
      </w:r>
      <w:r w:rsidRPr="001B53A8">
        <w:rPr>
          <w:lang w:val="sr-Latn-BA"/>
        </w:rPr>
        <w:t>član</w:t>
      </w:r>
      <w:r w:rsidR="00EF1648" w:rsidRPr="001B53A8">
        <w:rPr>
          <w:lang w:val="sr-Latn-BA"/>
        </w:rPr>
        <w:t xml:space="preserve"> 60. </w:t>
      </w:r>
      <w:r w:rsidRPr="001B53A8">
        <w:rPr>
          <w:lang w:val="sr-Latn-BA"/>
        </w:rPr>
        <w:t>Zakona</w:t>
      </w:r>
      <w:r w:rsidR="00EF1648" w:rsidRPr="001B53A8">
        <w:rPr>
          <w:lang w:val="sr-Latn-BA"/>
        </w:rPr>
        <w:t xml:space="preserve"> </w:t>
      </w:r>
      <w:r w:rsidRPr="001B53A8">
        <w:rPr>
          <w:lang w:val="sr-Latn-BA"/>
        </w:rPr>
        <w:t>o</w:t>
      </w:r>
      <w:r w:rsidR="00EF1648" w:rsidRPr="001B53A8">
        <w:rPr>
          <w:lang w:val="sr-Latn-BA"/>
        </w:rPr>
        <w:t xml:space="preserve"> </w:t>
      </w:r>
      <w:r w:rsidRPr="001B53A8">
        <w:rPr>
          <w:lang w:val="sr-Latn-BA"/>
        </w:rPr>
        <w:t>investicionim</w:t>
      </w:r>
      <w:r w:rsidR="00EF1648" w:rsidRPr="001B53A8">
        <w:rPr>
          <w:lang w:val="sr-Latn-BA"/>
        </w:rPr>
        <w:t xml:space="preserve"> </w:t>
      </w:r>
      <w:r w:rsidRPr="001B53A8">
        <w:rPr>
          <w:lang w:val="sr-Latn-BA"/>
        </w:rPr>
        <w:t>fondovima</w:t>
      </w:r>
      <w:r w:rsidR="00EF1648" w:rsidRPr="001B53A8">
        <w:rPr>
          <w:lang w:val="sr-Latn-BA"/>
        </w:rPr>
        <w:t xml:space="preserve">), </w:t>
      </w:r>
      <w:r w:rsidRPr="001B53A8">
        <w:rPr>
          <w:lang w:val="sr-Latn-BA"/>
        </w:rPr>
        <w:t>otvorene</w:t>
      </w:r>
      <w:r w:rsidR="00EF1648" w:rsidRPr="001B53A8">
        <w:rPr>
          <w:lang w:val="sr-Latn-BA"/>
        </w:rPr>
        <w:t xml:space="preserve"> </w:t>
      </w:r>
      <w:r w:rsidRPr="001B53A8">
        <w:rPr>
          <w:lang w:val="sr-Latn-BA"/>
        </w:rPr>
        <w:t>investicione</w:t>
      </w:r>
      <w:r w:rsidR="00EF1648" w:rsidRPr="001B53A8">
        <w:rPr>
          <w:lang w:val="sr-Latn-BA"/>
        </w:rPr>
        <w:t xml:space="preserve"> </w:t>
      </w:r>
      <w:r w:rsidRPr="001B53A8">
        <w:rPr>
          <w:lang w:val="sr-Latn-BA"/>
        </w:rPr>
        <w:t>fondove</w:t>
      </w:r>
      <w:r w:rsidR="00EF1648" w:rsidRPr="001B53A8">
        <w:rPr>
          <w:lang w:val="sr-Latn-BA"/>
        </w:rPr>
        <w:t xml:space="preserve"> </w:t>
      </w:r>
      <w:r w:rsidRPr="001B53A8">
        <w:rPr>
          <w:lang w:val="sr-Latn-BA"/>
        </w:rPr>
        <w:t>sa</w:t>
      </w:r>
      <w:r w:rsidR="00EF1648" w:rsidRPr="001B53A8">
        <w:rPr>
          <w:lang w:val="sr-Latn-BA"/>
        </w:rPr>
        <w:t xml:space="preserve"> </w:t>
      </w:r>
      <w:r w:rsidRPr="001B53A8">
        <w:rPr>
          <w:lang w:val="sr-Latn-BA"/>
        </w:rPr>
        <w:t>javnom</w:t>
      </w:r>
      <w:r w:rsidR="00EF1648" w:rsidRPr="001B53A8">
        <w:rPr>
          <w:lang w:val="sr-Latn-BA"/>
        </w:rPr>
        <w:t xml:space="preserve"> </w:t>
      </w:r>
      <w:r w:rsidRPr="001B53A8">
        <w:rPr>
          <w:lang w:val="sr-Latn-BA"/>
        </w:rPr>
        <w:t>ponudom</w:t>
      </w:r>
      <w:r w:rsidR="00EF1648" w:rsidRPr="001B53A8">
        <w:rPr>
          <w:lang w:val="sr-Latn-BA"/>
        </w:rPr>
        <w:t xml:space="preserve"> (</w:t>
      </w:r>
      <w:r w:rsidRPr="001B53A8">
        <w:rPr>
          <w:lang w:val="sr-Latn-BA"/>
        </w:rPr>
        <w:t>član</w:t>
      </w:r>
      <w:r w:rsidR="00EF1648" w:rsidRPr="001B53A8">
        <w:rPr>
          <w:lang w:val="sr-Latn-BA"/>
        </w:rPr>
        <w:t xml:space="preserve"> 87. </w:t>
      </w:r>
      <w:r w:rsidRPr="001B53A8">
        <w:rPr>
          <w:lang w:val="sr-Latn-BA"/>
        </w:rPr>
        <w:t>Zakona</w:t>
      </w:r>
      <w:r w:rsidR="00EF1648" w:rsidRPr="001B53A8">
        <w:rPr>
          <w:lang w:val="sr-Latn-BA"/>
        </w:rPr>
        <w:t xml:space="preserve"> </w:t>
      </w:r>
      <w:r w:rsidRPr="001B53A8">
        <w:rPr>
          <w:lang w:val="sr-Latn-BA"/>
        </w:rPr>
        <w:t>o</w:t>
      </w:r>
      <w:r w:rsidR="00EF1648" w:rsidRPr="001B53A8">
        <w:rPr>
          <w:lang w:val="sr-Latn-BA"/>
        </w:rPr>
        <w:t xml:space="preserve"> </w:t>
      </w:r>
      <w:r w:rsidRPr="001B53A8">
        <w:rPr>
          <w:lang w:val="sr-Latn-BA"/>
        </w:rPr>
        <w:t>investicionim</w:t>
      </w:r>
      <w:r w:rsidR="00EF1648" w:rsidRPr="001B53A8">
        <w:rPr>
          <w:lang w:val="sr-Latn-BA"/>
        </w:rPr>
        <w:t xml:space="preserve"> </w:t>
      </w:r>
      <w:r w:rsidRPr="001B53A8">
        <w:rPr>
          <w:lang w:val="sr-Latn-BA"/>
        </w:rPr>
        <w:t>fondovima</w:t>
      </w:r>
      <w:r w:rsidR="00EF1648" w:rsidRPr="001B53A8">
        <w:rPr>
          <w:lang w:val="sr-Latn-BA"/>
        </w:rPr>
        <w:t xml:space="preserve">), </w:t>
      </w:r>
      <w:r w:rsidRPr="001B53A8">
        <w:rPr>
          <w:lang w:val="sr-Latn-BA"/>
        </w:rPr>
        <w:t>otvorene</w:t>
      </w:r>
      <w:r w:rsidR="00EF1648" w:rsidRPr="001B53A8">
        <w:rPr>
          <w:lang w:val="sr-Latn-BA"/>
        </w:rPr>
        <w:t xml:space="preserve"> </w:t>
      </w:r>
      <w:r w:rsidRPr="001B53A8">
        <w:rPr>
          <w:lang w:val="sr-Latn-BA"/>
        </w:rPr>
        <w:t>investicione</w:t>
      </w:r>
      <w:r w:rsidR="00EF1648" w:rsidRPr="001B53A8">
        <w:rPr>
          <w:lang w:val="sr-Latn-BA"/>
        </w:rPr>
        <w:t xml:space="preserve"> </w:t>
      </w:r>
      <w:r w:rsidRPr="001B53A8">
        <w:rPr>
          <w:lang w:val="sr-Latn-BA"/>
        </w:rPr>
        <w:t>fondove</w:t>
      </w:r>
      <w:r w:rsidR="00EF1648" w:rsidRPr="001B53A8">
        <w:rPr>
          <w:lang w:val="sr-Latn-BA"/>
        </w:rPr>
        <w:t xml:space="preserve"> </w:t>
      </w:r>
      <w:r w:rsidRPr="001B53A8">
        <w:rPr>
          <w:lang w:val="sr-Latn-BA"/>
        </w:rPr>
        <w:t>sa</w:t>
      </w:r>
      <w:r w:rsidR="00EF1648" w:rsidRPr="001B53A8">
        <w:rPr>
          <w:lang w:val="sr-Latn-BA"/>
        </w:rPr>
        <w:t xml:space="preserve"> </w:t>
      </w:r>
      <w:r w:rsidRPr="001B53A8">
        <w:rPr>
          <w:lang w:val="sr-Latn-BA"/>
        </w:rPr>
        <w:t>privatnom</w:t>
      </w:r>
      <w:r w:rsidR="00EF1648" w:rsidRPr="001B53A8">
        <w:rPr>
          <w:lang w:val="sr-Latn-BA"/>
        </w:rPr>
        <w:t xml:space="preserve"> </w:t>
      </w:r>
      <w:r w:rsidRPr="001B53A8">
        <w:rPr>
          <w:lang w:val="sr-Latn-BA"/>
        </w:rPr>
        <w:t>ponudom</w:t>
      </w:r>
      <w:r w:rsidR="00EF1648" w:rsidRPr="001B53A8">
        <w:rPr>
          <w:lang w:val="sr-Latn-BA"/>
        </w:rPr>
        <w:t xml:space="preserve"> (</w:t>
      </w:r>
      <w:r w:rsidRPr="001B53A8">
        <w:rPr>
          <w:lang w:val="sr-Latn-BA"/>
        </w:rPr>
        <w:t>član</w:t>
      </w:r>
      <w:r w:rsidR="00EF1648" w:rsidRPr="001B53A8">
        <w:rPr>
          <w:lang w:val="sr-Latn-BA"/>
        </w:rPr>
        <w:t xml:space="preserve"> 123. </w:t>
      </w:r>
      <w:r w:rsidRPr="001B53A8">
        <w:rPr>
          <w:lang w:val="sr-Latn-BA"/>
        </w:rPr>
        <w:t>Zakona</w:t>
      </w:r>
      <w:r w:rsidR="00EF1648" w:rsidRPr="001B53A8">
        <w:rPr>
          <w:lang w:val="sr-Latn-BA"/>
        </w:rPr>
        <w:t xml:space="preserve"> </w:t>
      </w:r>
      <w:r w:rsidRPr="001B53A8">
        <w:rPr>
          <w:lang w:val="sr-Latn-BA"/>
        </w:rPr>
        <w:t>o</w:t>
      </w:r>
      <w:r w:rsidR="00EF1648" w:rsidRPr="001B53A8">
        <w:rPr>
          <w:lang w:val="sr-Latn-BA"/>
        </w:rPr>
        <w:t xml:space="preserve"> </w:t>
      </w:r>
      <w:r w:rsidRPr="001B53A8">
        <w:rPr>
          <w:lang w:val="sr-Latn-BA"/>
        </w:rPr>
        <w:lastRenderedPageBreak/>
        <w:t>investicionim</w:t>
      </w:r>
      <w:r w:rsidR="00EF1648" w:rsidRPr="001B53A8">
        <w:rPr>
          <w:lang w:val="sr-Latn-BA"/>
        </w:rPr>
        <w:t xml:space="preserve"> </w:t>
      </w:r>
      <w:r w:rsidRPr="001B53A8">
        <w:rPr>
          <w:lang w:val="sr-Latn-BA"/>
        </w:rPr>
        <w:t>fondovima</w:t>
      </w:r>
      <w:r w:rsidR="00EF1648" w:rsidRPr="001B53A8">
        <w:rPr>
          <w:lang w:val="sr-Latn-BA"/>
        </w:rPr>
        <w:t xml:space="preserve">), </w:t>
      </w:r>
      <w:r w:rsidRPr="001B53A8">
        <w:rPr>
          <w:lang w:val="sr-Latn-BA"/>
        </w:rPr>
        <w:t>te</w:t>
      </w:r>
      <w:r w:rsidR="00EF1648" w:rsidRPr="001B53A8">
        <w:rPr>
          <w:lang w:val="sr-Latn-BA"/>
        </w:rPr>
        <w:t xml:space="preserve"> </w:t>
      </w:r>
      <w:r w:rsidRPr="001B53A8">
        <w:rPr>
          <w:lang w:val="sr-Latn-BA"/>
        </w:rPr>
        <w:t>otvorene</w:t>
      </w:r>
      <w:r w:rsidR="00675F30" w:rsidRPr="001B53A8">
        <w:rPr>
          <w:lang w:val="sr-Latn-BA"/>
        </w:rPr>
        <w:t xml:space="preserve"> </w:t>
      </w:r>
      <w:r w:rsidRPr="001B53A8">
        <w:rPr>
          <w:lang w:val="sr-Latn-BA"/>
        </w:rPr>
        <w:t>alternativne</w:t>
      </w:r>
      <w:r w:rsidR="00675F30" w:rsidRPr="001B53A8">
        <w:rPr>
          <w:lang w:val="sr-Latn-BA"/>
        </w:rPr>
        <w:t xml:space="preserve"> </w:t>
      </w:r>
      <w:r w:rsidRPr="001B53A8">
        <w:rPr>
          <w:lang w:val="sr-Latn-BA"/>
        </w:rPr>
        <w:t>fondove</w:t>
      </w:r>
      <w:r w:rsidR="00EF1648" w:rsidRPr="001B53A8">
        <w:rPr>
          <w:lang w:val="sr-Latn-BA"/>
        </w:rPr>
        <w:t xml:space="preserve"> </w:t>
      </w:r>
      <w:r w:rsidRPr="001B53A8">
        <w:rPr>
          <w:lang w:val="sr-Latn-BA"/>
        </w:rPr>
        <w:t>sa</w:t>
      </w:r>
      <w:r w:rsidR="00EF1648" w:rsidRPr="001B53A8">
        <w:rPr>
          <w:lang w:val="sr-Latn-BA"/>
        </w:rPr>
        <w:t xml:space="preserve"> </w:t>
      </w:r>
      <w:r w:rsidRPr="001B53A8">
        <w:rPr>
          <w:lang w:val="sr-Latn-BA"/>
        </w:rPr>
        <w:t>privatnom</w:t>
      </w:r>
      <w:r w:rsidR="00EF1648" w:rsidRPr="001B53A8">
        <w:rPr>
          <w:lang w:val="sr-Latn-BA"/>
        </w:rPr>
        <w:t xml:space="preserve"> </w:t>
      </w:r>
      <w:r w:rsidRPr="001B53A8">
        <w:rPr>
          <w:lang w:val="sr-Latn-BA"/>
        </w:rPr>
        <w:t>ponudom</w:t>
      </w:r>
      <w:r w:rsidR="00EF1648" w:rsidRPr="001B53A8">
        <w:rPr>
          <w:lang w:val="sr-Latn-BA"/>
        </w:rPr>
        <w:t xml:space="preserve"> (</w:t>
      </w:r>
      <w:r w:rsidRPr="001B53A8">
        <w:rPr>
          <w:lang w:val="sr-Latn-BA"/>
        </w:rPr>
        <w:t>član</w:t>
      </w:r>
      <w:r w:rsidR="00EF1648" w:rsidRPr="001B53A8">
        <w:rPr>
          <w:lang w:val="sr-Latn-BA"/>
        </w:rPr>
        <w:t xml:space="preserve"> 195. </w:t>
      </w:r>
      <w:r w:rsidRPr="001B53A8">
        <w:rPr>
          <w:lang w:val="sr-Latn-BA"/>
        </w:rPr>
        <w:t>Zakona</w:t>
      </w:r>
      <w:r w:rsidR="00EF1648" w:rsidRPr="001B53A8">
        <w:rPr>
          <w:lang w:val="sr-Latn-BA"/>
        </w:rPr>
        <w:t xml:space="preserve"> </w:t>
      </w:r>
      <w:r w:rsidRPr="001B53A8">
        <w:rPr>
          <w:lang w:val="sr-Latn-BA"/>
        </w:rPr>
        <w:t>o</w:t>
      </w:r>
      <w:r w:rsidR="00EF1648" w:rsidRPr="001B53A8">
        <w:rPr>
          <w:lang w:val="sr-Latn-BA"/>
        </w:rPr>
        <w:t xml:space="preserve"> </w:t>
      </w:r>
      <w:r w:rsidRPr="001B53A8">
        <w:rPr>
          <w:lang w:val="sr-Latn-BA"/>
        </w:rPr>
        <w:t>investicionim</w:t>
      </w:r>
      <w:r w:rsidR="00EF1648" w:rsidRPr="001B53A8">
        <w:rPr>
          <w:lang w:val="sr-Latn-BA"/>
        </w:rPr>
        <w:t xml:space="preserve"> </w:t>
      </w:r>
      <w:r w:rsidRPr="001B53A8">
        <w:rPr>
          <w:lang w:val="sr-Latn-BA"/>
        </w:rPr>
        <w:t>fondovima</w:t>
      </w:r>
      <w:r w:rsidR="00EF1648" w:rsidRPr="001B53A8">
        <w:rPr>
          <w:lang w:val="sr-Latn-BA"/>
        </w:rPr>
        <w:t>).</w:t>
      </w:r>
    </w:p>
    <w:p w14:paraId="540D9A93" w14:textId="77777777" w:rsidR="0035204D" w:rsidRDefault="0035204D" w:rsidP="006C0A13">
      <w:pPr>
        <w:spacing w:line="240" w:lineRule="auto"/>
        <w:ind w:firstLine="567"/>
        <w:rPr>
          <w:lang w:val="sr-Latn-BA"/>
        </w:rPr>
      </w:pPr>
    </w:p>
    <w:p w14:paraId="687D0DC4" w14:textId="28EFCCB9" w:rsidR="006C0A13" w:rsidRDefault="00003F34" w:rsidP="006C0A13">
      <w:pPr>
        <w:spacing w:line="240" w:lineRule="auto"/>
        <w:ind w:firstLine="567"/>
        <w:rPr>
          <w:lang w:val="sr-Latn-BA"/>
        </w:rPr>
      </w:pPr>
      <w:r w:rsidRPr="001B53A8">
        <w:rPr>
          <w:lang w:val="sr-Latn-BA"/>
        </w:rPr>
        <w:t>Dozvolu</w:t>
      </w:r>
      <w:r w:rsidR="007232BF" w:rsidRPr="001B53A8">
        <w:rPr>
          <w:lang w:val="sr-Latn-BA"/>
        </w:rPr>
        <w:t xml:space="preserve"> </w:t>
      </w:r>
      <w:r w:rsidRPr="001B53A8">
        <w:rPr>
          <w:lang w:val="sr-Latn-BA"/>
        </w:rPr>
        <w:t>za</w:t>
      </w:r>
      <w:r w:rsidR="007232BF" w:rsidRPr="001B53A8">
        <w:rPr>
          <w:lang w:val="sr-Latn-BA"/>
        </w:rPr>
        <w:t xml:space="preserve"> </w:t>
      </w:r>
      <w:r w:rsidRPr="001B53A8">
        <w:rPr>
          <w:lang w:val="sr-Latn-BA"/>
        </w:rPr>
        <w:t>osnivanje</w:t>
      </w:r>
      <w:r w:rsidR="007232BF" w:rsidRPr="001B53A8">
        <w:rPr>
          <w:lang w:val="sr-Latn-BA"/>
        </w:rPr>
        <w:t xml:space="preserve"> </w:t>
      </w:r>
      <w:r w:rsidRPr="001B53A8">
        <w:rPr>
          <w:lang w:val="sr-Latn-BA"/>
        </w:rPr>
        <w:t>poslovnice</w:t>
      </w:r>
      <w:r w:rsidR="007232BF" w:rsidRPr="001B53A8">
        <w:rPr>
          <w:lang w:val="sr-Latn-BA"/>
        </w:rPr>
        <w:t xml:space="preserve"> </w:t>
      </w:r>
      <w:r w:rsidRPr="001B53A8">
        <w:rPr>
          <w:lang w:val="sr-Latn-BA"/>
        </w:rPr>
        <w:t>društvu</w:t>
      </w:r>
      <w:r w:rsidR="007232BF" w:rsidRPr="001B53A8">
        <w:rPr>
          <w:lang w:val="sr-Latn-BA"/>
        </w:rPr>
        <w:t xml:space="preserve"> </w:t>
      </w:r>
      <w:r w:rsidRPr="001B53A8">
        <w:rPr>
          <w:lang w:val="sr-Latn-BA"/>
        </w:rPr>
        <w:t>za</w:t>
      </w:r>
      <w:r w:rsidR="007232BF" w:rsidRPr="001B53A8">
        <w:rPr>
          <w:lang w:val="sr-Latn-BA"/>
        </w:rPr>
        <w:t xml:space="preserve"> </w:t>
      </w:r>
      <w:r w:rsidRPr="001B53A8">
        <w:rPr>
          <w:lang w:val="sr-Latn-BA"/>
        </w:rPr>
        <w:t>upravlјanje</w:t>
      </w:r>
      <w:r w:rsidR="007232BF" w:rsidRPr="001B53A8">
        <w:rPr>
          <w:lang w:val="sr-Latn-BA"/>
        </w:rPr>
        <w:t xml:space="preserve"> </w:t>
      </w:r>
      <w:r w:rsidRPr="001B53A8">
        <w:rPr>
          <w:lang w:val="sr-Latn-BA"/>
        </w:rPr>
        <w:t>investicionim</w:t>
      </w:r>
      <w:r w:rsidR="007232BF" w:rsidRPr="001B53A8">
        <w:rPr>
          <w:lang w:val="sr-Latn-BA"/>
        </w:rPr>
        <w:t xml:space="preserve"> </w:t>
      </w:r>
      <w:r w:rsidRPr="001B53A8">
        <w:rPr>
          <w:lang w:val="sr-Latn-BA"/>
        </w:rPr>
        <w:t>fondovima</w:t>
      </w:r>
      <w:r w:rsidR="007232BF" w:rsidRPr="001B53A8">
        <w:rPr>
          <w:lang w:val="sr-Latn-BA"/>
        </w:rPr>
        <w:t xml:space="preserve"> </w:t>
      </w:r>
      <w:r w:rsidRPr="001B53A8">
        <w:rPr>
          <w:lang w:val="sr-Latn-BA"/>
        </w:rPr>
        <w:t>Komisija</w:t>
      </w:r>
      <w:r w:rsidR="007232BF" w:rsidRPr="001B53A8">
        <w:rPr>
          <w:lang w:val="sr-Latn-BA"/>
        </w:rPr>
        <w:t xml:space="preserve"> </w:t>
      </w:r>
      <w:r w:rsidRPr="001B53A8">
        <w:rPr>
          <w:lang w:val="sr-Latn-BA"/>
        </w:rPr>
        <w:t>izdaje</w:t>
      </w:r>
      <w:r w:rsidR="007232BF" w:rsidRPr="001B53A8">
        <w:rPr>
          <w:lang w:val="sr-Latn-BA"/>
        </w:rPr>
        <w:t xml:space="preserve"> </w:t>
      </w:r>
      <w:r w:rsidRPr="001B53A8">
        <w:rPr>
          <w:lang w:val="sr-Latn-BA"/>
        </w:rPr>
        <w:t>na</w:t>
      </w:r>
      <w:r w:rsidR="007232BF" w:rsidRPr="001B53A8">
        <w:rPr>
          <w:lang w:val="sr-Latn-BA"/>
        </w:rPr>
        <w:t xml:space="preserve"> </w:t>
      </w:r>
      <w:r w:rsidRPr="001B53A8">
        <w:rPr>
          <w:lang w:val="sr-Latn-BA"/>
        </w:rPr>
        <w:t>osnovu</w:t>
      </w:r>
      <w:r w:rsidR="007232BF" w:rsidRPr="001B53A8">
        <w:rPr>
          <w:lang w:val="sr-Latn-BA"/>
        </w:rPr>
        <w:t xml:space="preserve"> </w:t>
      </w:r>
      <w:r w:rsidRPr="001B53A8">
        <w:rPr>
          <w:lang w:val="sr-Latn-BA"/>
        </w:rPr>
        <w:t>člana</w:t>
      </w:r>
      <w:r w:rsidR="007232BF" w:rsidRPr="001B53A8">
        <w:rPr>
          <w:lang w:val="sr-Latn-BA"/>
        </w:rPr>
        <w:t xml:space="preserve"> 33. </w:t>
      </w:r>
      <w:r w:rsidRPr="001B53A8">
        <w:rPr>
          <w:lang w:val="sr-Latn-BA"/>
        </w:rPr>
        <w:t>i</w:t>
      </w:r>
      <w:r w:rsidR="007232BF" w:rsidRPr="001B53A8">
        <w:rPr>
          <w:lang w:val="sr-Latn-BA"/>
        </w:rPr>
        <w:t xml:space="preserve"> 34. </w:t>
      </w:r>
      <w:r w:rsidRPr="001B53A8">
        <w:rPr>
          <w:lang w:val="sr-Latn-BA"/>
        </w:rPr>
        <w:t>Zakona</w:t>
      </w:r>
      <w:r w:rsidR="007232BF" w:rsidRPr="001B53A8">
        <w:rPr>
          <w:lang w:val="sr-Latn-BA"/>
        </w:rPr>
        <w:t xml:space="preserve"> </w:t>
      </w:r>
      <w:r w:rsidRPr="001B53A8">
        <w:rPr>
          <w:lang w:val="sr-Latn-BA"/>
        </w:rPr>
        <w:t>o</w:t>
      </w:r>
      <w:r w:rsidR="007232BF" w:rsidRPr="001B53A8">
        <w:rPr>
          <w:lang w:val="sr-Latn-BA"/>
        </w:rPr>
        <w:t xml:space="preserve"> </w:t>
      </w:r>
      <w:r w:rsidRPr="001B53A8">
        <w:rPr>
          <w:lang w:val="sr-Latn-BA"/>
        </w:rPr>
        <w:t>investicionim</w:t>
      </w:r>
      <w:r w:rsidR="007232BF" w:rsidRPr="001B53A8">
        <w:rPr>
          <w:lang w:val="sr-Latn-BA"/>
        </w:rPr>
        <w:t xml:space="preserve"> </w:t>
      </w:r>
      <w:r w:rsidRPr="001B53A8">
        <w:rPr>
          <w:lang w:val="sr-Latn-BA"/>
        </w:rPr>
        <w:t>fondovima</w:t>
      </w:r>
      <w:r w:rsidR="003B5FF2" w:rsidRPr="001B53A8">
        <w:rPr>
          <w:lang w:val="sr-Latn-BA"/>
        </w:rPr>
        <w:t>.</w:t>
      </w:r>
    </w:p>
    <w:p w14:paraId="128DAE73" w14:textId="77777777" w:rsidR="0035204D" w:rsidRPr="001B53A8" w:rsidRDefault="0035204D" w:rsidP="006C0A13">
      <w:pPr>
        <w:spacing w:line="240" w:lineRule="auto"/>
        <w:ind w:firstLine="567"/>
        <w:rPr>
          <w:lang w:val="sr-Latn-BA"/>
        </w:rPr>
      </w:pPr>
    </w:p>
    <w:tbl>
      <w:tblPr>
        <w:tblStyle w:val="LightGrid-Accent12"/>
        <w:tblpPr w:leftFromText="180" w:rightFromText="180" w:vertAnchor="text" w:tblpXSpec="center" w:tblpY="1"/>
        <w:tblOverlap w:val="never"/>
        <w:tblW w:w="9464" w:type="dxa"/>
        <w:tblLook w:val="06A0" w:firstRow="1" w:lastRow="0" w:firstColumn="1" w:lastColumn="0" w:noHBand="1" w:noVBand="1"/>
      </w:tblPr>
      <w:tblGrid>
        <w:gridCol w:w="534"/>
        <w:gridCol w:w="466"/>
        <w:gridCol w:w="5345"/>
        <w:gridCol w:w="3119"/>
      </w:tblGrid>
      <w:tr w:rsidR="001B7591" w:rsidRPr="001B53A8" w14:paraId="76D0A800" w14:textId="77777777" w:rsidTr="00003F34">
        <w:trPr>
          <w:cnfStyle w:val="100000000000" w:firstRow="1" w:lastRow="0" w:firstColumn="0" w:lastColumn="0" w:oddVBand="0" w:evenVBand="0" w:oddHBand="0" w:evenHBand="0" w:firstRowFirstColumn="0" w:firstRowLastColumn="0" w:lastRowFirstColumn="0" w:lastRowLastColumn="0"/>
          <w:trHeight w:val="274"/>
          <w:tblHeader/>
        </w:trPr>
        <w:tc>
          <w:tcPr>
            <w:cnfStyle w:val="001000000000" w:firstRow="0" w:lastRow="0" w:firstColumn="1" w:lastColumn="0" w:oddVBand="0" w:evenVBand="0" w:oddHBand="0" w:evenHBand="0" w:firstRowFirstColumn="0" w:firstRowLastColumn="0" w:lastRowFirstColumn="0" w:lastRowLastColumn="0"/>
            <w:tcW w:w="534" w:type="dxa"/>
            <w:tcBorders>
              <w:right w:val="single" w:sz="4" w:space="0" w:color="0070C0"/>
            </w:tcBorders>
            <w:vAlign w:val="center"/>
          </w:tcPr>
          <w:p w14:paraId="34C2366C" w14:textId="7B7095BA" w:rsidR="001B7591" w:rsidRPr="001B53A8" w:rsidRDefault="00003F34" w:rsidP="00003F34">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R</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br</w:t>
            </w:r>
            <w:r w:rsidR="001B7591" w:rsidRPr="001B53A8">
              <w:rPr>
                <w:rFonts w:ascii="Times New Roman" w:eastAsia="Times New Roman" w:hAnsi="Times New Roman" w:cs="Times New Roman"/>
                <w:sz w:val="20"/>
                <w:szCs w:val="20"/>
                <w:lang w:val="sr-Latn-BA" w:eastAsia="sr-Latn-CS"/>
              </w:rPr>
              <w:t>.</w:t>
            </w:r>
          </w:p>
        </w:tc>
        <w:tc>
          <w:tcPr>
            <w:tcW w:w="5811" w:type="dxa"/>
            <w:gridSpan w:val="2"/>
            <w:tcBorders>
              <w:right w:val="single" w:sz="4" w:space="0" w:color="0070C0"/>
            </w:tcBorders>
            <w:vAlign w:val="center"/>
            <w:hideMark/>
          </w:tcPr>
          <w:p w14:paraId="19AEAD5F" w14:textId="68B717A9" w:rsidR="001B7591" w:rsidRPr="001B53A8" w:rsidRDefault="00003F34" w:rsidP="00003F34">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Naziv</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društva</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za</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upravlјanje</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DUIF</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investicionih</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fondova</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IF</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kojima</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upravlјaju</w:t>
            </w:r>
          </w:p>
        </w:tc>
        <w:tc>
          <w:tcPr>
            <w:tcW w:w="3119" w:type="dxa"/>
            <w:tcBorders>
              <w:left w:val="single" w:sz="4" w:space="0" w:color="0070C0"/>
            </w:tcBorders>
            <w:vAlign w:val="center"/>
            <w:hideMark/>
          </w:tcPr>
          <w:p w14:paraId="5D3DCAB6" w14:textId="21FC92ED" w:rsidR="001B7591" w:rsidRPr="001B53A8" w:rsidRDefault="00003F34" w:rsidP="00003F34">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Datum</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osnivanja</w:t>
            </w:r>
            <w:r w:rsidR="001B7591" w:rsidRPr="001B53A8">
              <w:rPr>
                <w:rFonts w:ascii="Times New Roman" w:eastAsia="Times New Roman" w:hAnsi="Times New Roman" w:cs="Times New Roman"/>
                <w:sz w:val="20"/>
                <w:szCs w:val="20"/>
                <w:lang w:val="sr-Latn-BA" w:eastAsia="sr-Latn-CS"/>
              </w:rPr>
              <w:t xml:space="preserve"> </w:t>
            </w:r>
          </w:p>
          <w:p w14:paraId="2696809C" w14:textId="59CD117F" w:rsidR="001B7591" w:rsidRPr="001B53A8" w:rsidRDefault="001B7591" w:rsidP="00003F34">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w:t>
            </w:r>
            <w:r w:rsidR="00003F34" w:rsidRPr="001B53A8">
              <w:rPr>
                <w:rFonts w:ascii="Times New Roman" w:eastAsia="Times New Roman" w:hAnsi="Times New Roman" w:cs="Times New Roman"/>
                <w:sz w:val="20"/>
                <w:szCs w:val="20"/>
                <w:lang w:val="sr-Latn-BA" w:eastAsia="sr-Latn-CS"/>
              </w:rPr>
              <w:t>upis</w:t>
            </w:r>
            <w:r w:rsidRPr="001B53A8">
              <w:rPr>
                <w:rFonts w:ascii="Times New Roman" w:eastAsia="Times New Roman" w:hAnsi="Times New Roman" w:cs="Times New Roman"/>
                <w:sz w:val="20"/>
                <w:szCs w:val="20"/>
                <w:lang w:val="sr-Latn-BA" w:eastAsia="sr-Latn-CS"/>
              </w:rPr>
              <w:t xml:space="preserve"> </w:t>
            </w:r>
            <w:r w:rsidR="00003F34" w:rsidRPr="001B53A8">
              <w:rPr>
                <w:rFonts w:ascii="Times New Roman" w:eastAsia="Times New Roman" w:hAnsi="Times New Roman" w:cs="Times New Roman"/>
                <w:sz w:val="20"/>
                <w:szCs w:val="20"/>
                <w:lang w:val="sr-Latn-BA" w:eastAsia="sr-Latn-CS"/>
              </w:rPr>
              <w:t>u</w:t>
            </w:r>
            <w:r w:rsidRPr="001B53A8">
              <w:rPr>
                <w:rFonts w:ascii="Times New Roman" w:eastAsia="Times New Roman" w:hAnsi="Times New Roman" w:cs="Times New Roman"/>
                <w:sz w:val="20"/>
                <w:szCs w:val="20"/>
                <w:lang w:val="sr-Latn-BA" w:eastAsia="sr-Latn-CS"/>
              </w:rPr>
              <w:t xml:space="preserve"> </w:t>
            </w:r>
            <w:r w:rsidR="00003F34" w:rsidRPr="001B53A8">
              <w:rPr>
                <w:rFonts w:ascii="Times New Roman" w:eastAsia="Times New Roman" w:hAnsi="Times New Roman" w:cs="Times New Roman"/>
                <w:sz w:val="20"/>
                <w:szCs w:val="20"/>
                <w:lang w:val="sr-Latn-BA" w:eastAsia="sr-Latn-CS"/>
              </w:rPr>
              <w:t>sudski</w:t>
            </w:r>
            <w:r w:rsidRPr="001B53A8">
              <w:rPr>
                <w:rFonts w:ascii="Times New Roman" w:eastAsia="Times New Roman" w:hAnsi="Times New Roman" w:cs="Times New Roman"/>
                <w:sz w:val="20"/>
                <w:szCs w:val="20"/>
                <w:lang w:val="sr-Latn-BA" w:eastAsia="sr-Latn-CS"/>
              </w:rPr>
              <w:t xml:space="preserve"> </w:t>
            </w:r>
            <w:r w:rsidR="00003F34" w:rsidRPr="001B53A8">
              <w:rPr>
                <w:rFonts w:ascii="Times New Roman" w:eastAsia="Times New Roman" w:hAnsi="Times New Roman" w:cs="Times New Roman"/>
                <w:sz w:val="20"/>
                <w:szCs w:val="20"/>
                <w:lang w:val="sr-Latn-BA" w:eastAsia="sr-Latn-CS"/>
              </w:rPr>
              <w:t>registar</w:t>
            </w:r>
            <w:r w:rsidRPr="001B53A8">
              <w:rPr>
                <w:rFonts w:ascii="Times New Roman" w:eastAsia="Times New Roman" w:hAnsi="Times New Roman" w:cs="Times New Roman"/>
                <w:sz w:val="20"/>
                <w:szCs w:val="20"/>
                <w:lang w:val="sr-Latn-BA" w:eastAsia="sr-Latn-CS"/>
              </w:rPr>
              <w:t xml:space="preserve"> </w:t>
            </w:r>
            <w:r w:rsidR="00003F34" w:rsidRPr="001B53A8">
              <w:rPr>
                <w:rFonts w:ascii="Times New Roman" w:eastAsia="Times New Roman" w:hAnsi="Times New Roman" w:cs="Times New Roman"/>
                <w:sz w:val="20"/>
                <w:szCs w:val="20"/>
                <w:lang w:val="sr-Latn-BA" w:eastAsia="sr-Latn-CS"/>
              </w:rPr>
              <w:t>ili</w:t>
            </w:r>
            <w:r w:rsidRPr="001B53A8">
              <w:rPr>
                <w:rFonts w:ascii="Times New Roman" w:eastAsia="Times New Roman" w:hAnsi="Times New Roman" w:cs="Times New Roman"/>
                <w:sz w:val="20"/>
                <w:szCs w:val="20"/>
                <w:lang w:val="sr-Latn-BA" w:eastAsia="sr-Latn-CS"/>
              </w:rPr>
              <w:t xml:space="preserve"> </w:t>
            </w:r>
            <w:r w:rsidR="00003F34" w:rsidRPr="001B53A8">
              <w:rPr>
                <w:rFonts w:ascii="Times New Roman" w:eastAsia="Times New Roman" w:hAnsi="Times New Roman" w:cs="Times New Roman"/>
                <w:sz w:val="20"/>
                <w:szCs w:val="20"/>
                <w:lang w:val="sr-Latn-BA" w:eastAsia="sr-Latn-CS"/>
              </w:rPr>
              <w:t>u</w:t>
            </w:r>
            <w:r w:rsidRPr="001B53A8">
              <w:rPr>
                <w:rFonts w:ascii="Times New Roman" w:eastAsia="Times New Roman" w:hAnsi="Times New Roman" w:cs="Times New Roman"/>
                <w:sz w:val="20"/>
                <w:szCs w:val="20"/>
                <w:lang w:val="sr-Latn-BA" w:eastAsia="sr-Latn-CS"/>
              </w:rPr>
              <w:t xml:space="preserve"> </w:t>
            </w:r>
            <w:r w:rsidR="00003F34" w:rsidRPr="001B53A8">
              <w:rPr>
                <w:rFonts w:ascii="Times New Roman" w:eastAsia="Times New Roman" w:hAnsi="Times New Roman" w:cs="Times New Roman"/>
                <w:sz w:val="20"/>
                <w:szCs w:val="20"/>
                <w:lang w:val="sr-Latn-BA" w:eastAsia="sr-Latn-CS"/>
              </w:rPr>
              <w:t>registar</w:t>
            </w:r>
            <w:r w:rsidRPr="001B53A8">
              <w:rPr>
                <w:rFonts w:ascii="Times New Roman" w:eastAsia="Times New Roman" w:hAnsi="Times New Roman" w:cs="Times New Roman"/>
                <w:sz w:val="20"/>
                <w:szCs w:val="20"/>
                <w:lang w:val="sr-Latn-BA" w:eastAsia="sr-Latn-CS"/>
              </w:rPr>
              <w:t xml:space="preserve"> </w:t>
            </w:r>
            <w:r w:rsidR="00003F34" w:rsidRPr="001B53A8">
              <w:rPr>
                <w:rFonts w:ascii="Times New Roman" w:eastAsia="Times New Roman" w:hAnsi="Times New Roman" w:cs="Times New Roman"/>
                <w:sz w:val="20"/>
                <w:szCs w:val="20"/>
                <w:lang w:val="sr-Latn-BA" w:eastAsia="sr-Latn-CS"/>
              </w:rPr>
              <w:t>kod</w:t>
            </w:r>
            <w:r w:rsidRPr="001B53A8">
              <w:rPr>
                <w:rFonts w:ascii="Times New Roman" w:eastAsia="Times New Roman" w:hAnsi="Times New Roman" w:cs="Times New Roman"/>
                <w:sz w:val="20"/>
                <w:szCs w:val="20"/>
                <w:lang w:val="sr-Latn-BA" w:eastAsia="sr-Latn-CS"/>
              </w:rPr>
              <w:t xml:space="preserve"> </w:t>
            </w:r>
            <w:r w:rsidR="00003F34" w:rsidRPr="001B53A8">
              <w:rPr>
                <w:rFonts w:ascii="Times New Roman" w:eastAsia="Times New Roman" w:hAnsi="Times New Roman" w:cs="Times New Roman"/>
                <w:sz w:val="20"/>
                <w:szCs w:val="20"/>
                <w:lang w:val="sr-Latn-BA" w:eastAsia="sr-Latn-CS"/>
              </w:rPr>
              <w:t>Komisije</w:t>
            </w:r>
            <w:r w:rsidRPr="001B53A8">
              <w:rPr>
                <w:rFonts w:ascii="Times New Roman" w:eastAsia="Times New Roman" w:hAnsi="Times New Roman" w:cs="Times New Roman"/>
                <w:sz w:val="20"/>
                <w:szCs w:val="20"/>
                <w:lang w:val="sr-Latn-BA" w:eastAsia="sr-Latn-CS"/>
              </w:rPr>
              <w:t>)</w:t>
            </w:r>
            <w:r w:rsidRPr="001B53A8">
              <w:rPr>
                <w:rStyle w:val="FootnoteReference"/>
                <w:rFonts w:ascii="Times New Roman" w:eastAsia="Times New Roman" w:hAnsi="Times New Roman" w:cs="Times New Roman"/>
                <w:sz w:val="20"/>
                <w:szCs w:val="20"/>
                <w:lang w:val="sr-Latn-BA" w:eastAsia="sr-Latn-CS"/>
              </w:rPr>
              <w:footnoteReference w:id="14"/>
            </w:r>
          </w:p>
        </w:tc>
      </w:tr>
      <w:tr w:rsidR="001B7591" w:rsidRPr="001B53A8" w14:paraId="7EBDE664" w14:textId="77777777" w:rsidTr="00003F34">
        <w:trPr>
          <w:trHeight w:val="259"/>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3DCA0535" w14:textId="77777777" w:rsidR="001B7591" w:rsidRPr="001B53A8" w:rsidRDefault="001B7591" w:rsidP="00003F34">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w:t>
            </w:r>
          </w:p>
        </w:tc>
        <w:tc>
          <w:tcPr>
            <w:tcW w:w="5811"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0A3689D0" w14:textId="32476181"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DUIF</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Euroinvestment</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w:t>
            </w:r>
            <w:r w:rsidR="001B7591" w:rsidRPr="001B53A8">
              <w:rPr>
                <w:rFonts w:ascii="Times New Roman" w:eastAsia="Times New Roman" w:hAnsi="Times New Roman" w:cs="Times New Roman"/>
                <w:sz w:val="20"/>
                <w:szCs w:val="20"/>
                <w:lang w:val="sr-Latn-BA" w:eastAsia="sr-Latn-CS"/>
              </w:rPr>
              <w:t>.</w:t>
            </w:r>
            <w:r w:rsidRPr="001B53A8">
              <w:rPr>
                <w:rFonts w:ascii="Times New Roman" w:eastAsia="Times New Roman" w:hAnsi="Times New Roman" w:cs="Times New Roman"/>
                <w:sz w:val="20"/>
                <w:szCs w:val="20"/>
                <w:lang w:val="sr-Latn-BA" w:eastAsia="sr-Latn-CS"/>
              </w:rPr>
              <w:t>d</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Banja</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Luka</w:t>
            </w:r>
            <w:r w:rsidR="001B7591" w:rsidRPr="001B53A8">
              <w:rPr>
                <w:rFonts w:ascii="Times New Roman" w:eastAsia="Times New Roman" w:hAnsi="Times New Roman" w:cs="Times New Roman"/>
                <w:sz w:val="20"/>
                <w:szCs w:val="20"/>
                <w:lang w:val="sr-Latn-BA" w:eastAsia="sr-Latn-CS"/>
              </w:rPr>
              <w:t xml:space="preserve"> </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6951B5F2"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Latn-BA" w:eastAsia="sr-Latn-CS"/>
              </w:rPr>
            </w:pPr>
            <w:r w:rsidRPr="001B53A8">
              <w:rPr>
                <w:rFonts w:ascii="Times New Roman" w:eastAsia="Times New Roman" w:hAnsi="Times New Roman" w:cs="Times New Roman"/>
                <w:bCs/>
                <w:sz w:val="20"/>
                <w:szCs w:val="20"/>
                <w:lang w:val="sr-Latn-BA" w:eastAsia="sr-Latn-CS"/>
              </w:rPr>
              <w:t>13.09.2000.</w:t>
            </w:r>
          </w:p>
        </w:tc>
      </w:tr>
      <w:tr w:rsidR="001B7591" w:rsidRPr="001B53A8" w14:paraId="0F9E488B" w14:textId="77777777" w:rsidTr="00003F34">
        <w:trPr>
          <w:trHeight w:val="292"/>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63C9698" w14:textId="77777777" w:rsidR="001B7591" w:rsidRPr="001B53A8" w:rsidRDefault="001B7591" w:rsidP="00003F34">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6D6A2041"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1B53A8">
              <w:rPr>
                <w:rFonts w:ascii="Times New Roman" w:hAnsi="Times New Roman" w:cs="Times New Roman"/>
                <w:sz w:val="20"/>
                <w:szCs w:val="20"/>
                <w:lang w:val="sr-Latn-BA"/>
              </w:rPr>
              <w:t>1.</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hideMark/>
          </w:tcPr>
          <w:p w14:paraId="1B64520E" w14:textId="476F1E49"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Otvoreni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akcijski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investicioni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Euroinvestment</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w:t>
            </w:r>
            <w:r w:rsidR="001B7591" w:rsidRPr="001B53A8">
              <w:rPr>
                <w:rFonts w:ascii="Times New Roman" w:eastAsia="Times New Roman" w:hAnsi="Times New Roman" w:cs="Times New Roman"/>
                <w:sz w:val="20"/>
                <w:szCs w:val="20"/>
                <w:lang w:val="sr-Latn-BA" w:eastAsia="sr-Latn-CS"/>
              </w:rPr>
              <w:t>”</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bottom"/>
            <w:hideMark/>
          </w:tcPr>
          <w:p w14:paraId="72ACA10D" w14:textId="45524CB9"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16.05.2002. (</w:t>
            </w:r>
            <w:r w:rsidR="00003F34" w:rsidRPr="001B53A8">
              <w:rPr>
                <w:rFonts w:ascii="Times New Roman" w:eastAsia="Times New Roman" w:hAnsi="Times New Roman" w:cs="Times New Roman"/>
                <w:sz w:val="20"/>
                <w:szCs w:val="20"/>
                <w:lang w:val="sr-Latn-BA" w:eastAsia="sr-Latn-CS"/>
              </w:rPr>
              <w:t>PIF</w:t>
            </w:r>
            <w:r w:rsidRPr="001B53A8">
              <w:rPr>
                <w:rFonts w:ascii="Times New Roman" w:eastAsia="Times New Roman" w:hAnsi="Times New Roman" w:cs="Times New Roman"/>
                <w:sz w:val="20"/>
                <w:szCs w:val="20"/>
                <w:lang w:val="sr-Latn-BA" w:eastAsia="sr-Latn-CS"/>
              </w:rPr>
              <w:t>)</w:t>
            </w:r>
          </w:p>
          <w:p w14:paraId="63AB51E0" w14:textId="6115BF84"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31.07.2007. (</w:t>
            </w:r>
            <w:r w:rsidR="00003F34" w:rsidRPr="001B53A8">
              <w:rPr>
                <w:rFonts w:ascii="Times New Roman" w:eastAsia="Times New Roman" w:hAnsi="Times New Roman" w:cs="Times New Roman"/>
                <w:sz w:val="20"/>
                <w:szCs w:val="20"/>
                <w:lang w:val="sr-Latn-BA" w:eastAsia="sr-Latn-CS"/>
              </w:rPr>
              <w:t>ZIF</w:t>
            </w:r>
            <w:r w:rsidRPr="001B53A8">
              <w:rPr>
                <w:rFonts w:ascii="Times New Roman" w:eastAsia="Times New Roman" w:hAnsi="Times New Roman" w:cs="Times New Roman"/>
                <w:sz w:val="20"/>
                <w:szCs w:val="20"/>
                <w:lang w:val="sr-Latn-BA" w:eastAsia="sr-Latn-CS"/>
              </w:rPr>
              <w:t>)</w:t>
            </w:r>
          </w:p>
          <w:p w14:paraId="3E70FCC8" w14:textId="171E7B9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12.10.2018. (</w:t>
            </w:r>
            <w:r w:rsidR="00003F34" w:rsidRPr="001B53A8">
              <w:rPr>
                <w:rFonts w:ascii="Times New Roman" w:eastAsia="Times New Roman" w:hAnsi="Times New Roman" w:cs="Times New Roman"/>
                <w:sz w:val="20"/>
                <w:szCs w:val="20"/>
                <w:lang w:val="sr-Latn-BA" w:eastAsia="sr-Latn-CS"/>
              </w:rPr>
              <w:t>OAIF</w:t>
            </w:r>
            <w:r w:rsidRPr="001B53A8">
              <w:rPr>
                <w:rFonts w:ascii="Times New Roman" w:eastAsia="Times New Roman" w:hAnsi="Times New Roman" w:cs="Times New Roman"/>
                <w:sz w:val="20"/>
                <w:szCs w:val="20"/>
                <w:lang w:val="sr-Latn-BA" w:eastAsia="sr-Latn-CS"/>
              </w:rPr>
              <w:t>)</w:t>
            </w:r>
          </w:p>
        </w:tc>
      </w:tr>
      <w:tr w:rsidR="001B7591" w:rsidRPr="001B53A8" w14:paraId="79EE0E43" w14:textId="77777777" w:rsidTr="00003F34">
        <w:trPr>
          <w:trHeight w:val="259"/>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4651C5B3" w14:textId="77777777" w:rsidR="001B7591" w:rsidRPr="001B53A8" w:rsidRDefault="001B7591" w:rsidP="00003F34">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w:t>
            </w:r>
          </w:p>
        </w:tc>
        <w:tc>
          <w:tcPr>
            <w:tcW w:w="5811"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4A1A4FA0" w14:textId="3506F64A"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Naziv</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društva</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DUIF</w:t>
            </w:r>
            <w:r w:rsidR="001B7591" w:rsidRPr="001B53A8">
              <w:rPr>
                <w:rFonts w:ascii="Times New Roman" w:eastAsia="Times New Roman" w:hAnsi="Times New Roman" w:cs="Times New Roman"/>
                <w:sz w:val="20"/>
                <w:szCs w:val="20"/>
                <w:lang w:val="sr-Latn-BA" w:eastAsia="sr-Latn-CS"/>
              </w:rPr>
              <w:t xml:space="preserve"> „Management solutions“ </w:t>
            </w:r>
            <w:r w:rsidRPr="001B53A8">
              <w:rPr>
                <w:rFonts w:ascii="Times New Roman" w:eastAsia="Times New Roman" w:hAnsi="Times New Roman" w:cs="Times New Roman"/>
                <w:sz w:val="20"/>
                <w:szCs w:val="20"/>
                <w:lang w:val="sr-Latn-BA" w:eastAsia="sr-Latn-CS"/>
              </w:rPr>
              <w:t>d</w:t>
            </w:r>
            <w:r w:rsidR="001B7591" w:rsidRPr="001B53A8">
              <w:rPr>
                <w:rFonts w:ascii="Times New Roman" w:eastAsia="Times New Roman" w:hAnsi="Times New Roman" w:cs="Times New Roman"/>
                <w:sz w:val="20"/>
                <w:szCs w:val="20"/>
                <w:lang w:val="sr-Latn-BA" w:eastAsia="sr-Latn-CS"/>
              </w:rPr>
              <w:t xml:space="preserve">.o.o. </w:t>
            </w:r>
            <w:r w:rsidRPr="001B53A8">
              <w:rPr>
                <w:rFonts w:ascii="Times New Roman" w:eastAsia="Times New Roman" w:hAnsi="Times New Roman" w:cs="Times New Roman"/>
                <w:sz w:val="20"/>
                <w:szCs w:val="20"/>
                <w:lang w:val="sr-Latn-BA" w:eastAsia="sr-Latn-CS"/>
              </w:rPr>
              <w:t>Banja</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Luka</w:t>
            </w:r>
            <w:r w:rsidR="001B7591" w:rsidRPr="001B53A8">
              <w:rPr>
                <w:rFonts w:ascii="Times New Roman" w:eastAsia="Times New Roman" w:hAnsi="Times New Roman" w:cs="Times New Roman"/>
                <w:sz w:val="20"/>
                <w:szCs w:val="20"/>
                <w:lang w:val="sr-Latn-BA" w:eastAsia="sr-Latn-CS"/>
              </w:rPr>
              <w:t xml:space="preserve"> </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6E6D80AB"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Latn-BA" w:eastAsia="sr-Latn-CS"/>
              </w:rPr>
            </w:pPr>
            <w:r w:rsidRPr="001B53A8">
              <w:rPr>
                <w:rFonts w:ascii="Times New Roman" w:eastAsia="Times New Roman" w:hAnsi="Times New Roman" w:cs="Times New Roman"/>
                <w:bCs/>
                <w:sz w:val="20"/>
                <w:szCs w:val="20"/>
                <w:lang w:val="sr-Latn-BA" w:eastAsia="sr-Latn-CS"/>
              </w:rPr>
              <w:t>06.08.2008.</w:t>
            </w:r>
          </w:p>
        </w:tc>
      </w:tr>
      <w:tr w:rsidR="001B7591" w:rsidRPr="001B53A8" w14:paraId="5FC069F6" w14:textId="77777777" w:rsidTr="00003F34">
        <w:trPr>
          <w:trHeight w:val="428"/>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3CA62124" w14:textId="77777777" w:rsidR="001B7591" w:rsidRPr="001B53A8" w:rsidRDefault="001B7591" w:rsidP="00003F34">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4C524535"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1B53A8">
              <w:rPr>
                <w:rFonts w:ascii="Times New Roman" w:hAnsi="Times New Roman" w:cs="Times New Roman"/>
                <w:sz w:val="20"/>
                <w:szCs w:val="20"/>
                <w:lang w:val="sr-Latn-BA"/>
              </w:rPr>
              <w:t>2.</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0B35E803" w14:textId="4FAFAAF7"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Otvoreni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mješoviti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investicioni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w:t>
            </w:r>
            <w:r w:rsidR="001B7591" w:rsidRPr="001B53A8">
              <w:rPr>
                <w:rFonts w:ascii="Times New Roman" w:eastAsia="Times New Roman" w:hAnsi="Times New Roman" w:cs="Times New Roman"/>
                <w:sz w:val="20"/>
                <w:szCs w:val="20"/>
                <w:lang w:val="sr-Latn-BA" w:eastAsia="sr-Latn-CS"/>
              </w:rPr>
              <w:t xml:space="preserve"> „Balkan Investment fond“</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2E1261D4" w14:textId="1FCBCD76"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26.06.2002. (</w:t>
            </w:r>
            <w:r w:rsidR="00003F34" w:rsidRPr="001B53A8">
              <w:rPr>
                <w:rFonts w:ascii="Times New Roman" w:eastAsia="Times New Roman" w:hAnsi="Times New Roman" w:cs="Times New Roman"/>
                <w:sz w:val="20"/>
                <w:szCs w:val="20"/>
                <w:lang w:val="sr-Latn-BA" w:eastAsia="sr-Latn-CS"/>
              </w:rPr>
              <w:t>PIF</w:t>
            </w:r>
            <w:r w:rsidRPr="001B53A8">
              <w:rPr>
                <w:rFonts w:ascii="Times New Roman" w:eastAsia="Times New Roman" w:hAnsi="Times New Roman" w:cs="Times New Roman"/>
                <w:sz w:val="20"/>
                <w:szCs w:val="20"/>
                <w:lang w:val="sr-Latn-BA" w:eastAsia="sr-Latn-CS"/>
              </w:rPr>
              <w:t>)</w:t>
            </w:r>
          </w:p>
          <w:p w14:paraId="123FD856" w14:textId="5AE6AFCA"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10.09.2007. (</w:t>
            </w:r>
            <w:r w:rsidR="00003F34" w:rsidRPr="001B53A8">
              <w:rPr>
                <w:rFonts w:ascii="Times New Roman" w:eastAsia="Times New Roman" w:hAnsi="Times New Roman" w:cs="Times New Roman"/>
                <w:sz w:val="20"/>
                <w:szCs w:val="20"/>
                <w:lang w:val="sr-Latn-BA" w:eastAsia="sr-Latn-CS"/>
              </w:rPr>
              <w:t>ZIF</w:t>
            </w:r>
            <w:r w:rsidRPr="001B53A8">
              <w:rPr>
                <w:rFonts w:ascii="Times New Roman" w:eastAsia="Times New Roman" w:hAnsi="Times New Roman" w:cs="Times New Roman"/>
                <w:sz w:val="20"/>
                <w:szCs w:val="20"/>
                <w:lang w:val="sr-Latn-BA" w:eastAsia="sr-Latn-CS"/>
              </w:rPr>
              <w:t>)</w:t>
            </w:r>
          </w:p>
          <w:p w14:paraId="365B184F" w14:textId="23B6D7D3"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12.10.2018. (</w:t>
            </w:r>
            <w:r w:rsidR="00003F34" w:rsidRPr="001B53A8">
              <w:rPr>
                <w:rFonts w:ascii="Times New Roman" w:eastAsia="Times New Roman" w:hAnsi="Times New Roman" w:cs="Times New Roman"/>
                <w:sz w:val="20"/>
                <w:szCs w:val="20"/>
                <w:lang w:val="sr-Latn-BA" w:eastAsia="sr-Latn-CS"/>
              </w:rPr>
              <w:t>OMIF</w:t>
            </w:r>
            <w:r w:rsidRPr="001B53A8">
              <w:rPr>
                <w:rFonts w:ascii="Times New Roman" w:eastAsia="Times New Roman" w:hAnsi="Times New Roman" w:cs="Times New Roman"/>
                <w:sz w:val="20"/>
                <w:szCs w:val="20"/>
                <w:lang w:val="sr-Latn-BA" w:eastAsia="sr-Latn-CS"/>
              </w:rPr>
              <w:t>)</w:t>
            </w:r>
          </w:p>
        </w:tc>
      </w:tr>
      <w:tr w:rsidR="001B7591" w:rsidRPr="001B53A8" w14:paraId="3E4DAC86" w14:textId="77777777" w:rsidTr="00003F34">
        <w:trPr>
          <w:trHeight w:val="56"/>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3ADE558" w14:textId="77777777" w:rsidR="001B7591" w:rsidRPr="001B53A8" w:rsidRDefault="001B7591" w:rsidP="00003F34">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71445F25"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1B53A8">
              <w:rPr>
                <w:rFonts w:ascii="Times New Roman" w:hAnsi="Times New Roman" w:cs="Times New Roman"/>
                <w:sz w:val="20"/>
                <w:szCs w:val="20"/>
                <w:lang w:val="sr-Latn-BA"/>
              </w:rPr>
              <w:t>3.</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67030A25" w14:textId="2356CBE7"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Otvoreni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akcijski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investicioni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Profit</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plus</w:t>
            </w:r>
            <w:r w:rsidR="001B7591" w:rsidRPr="001B53A8">
              <w:rPr>
                <w:rFonts w:ascii="Times New Roman" w:eastAsia="Times New Roman" w:hAnsi="Times New Roman" w:cs="Times New Roman"/>
                <w:sz w:val="20"/>
                <w:szCs w:val="20"/>
                <w:lang w:val="sr-Latn-BA" w:eastAsia="sr-Latn-CS"/>
              </w:rPr>
              <w:t xml:space="preserve">“ </w:t>
            </w:r>
          </w:p>
          <w:p w14:paraId="7AA92972" w14:textId="77777777" w:rsidR="001B7591" w:rsidRPr="001B53A8" w:rsidRDefault="001B7591"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46A7EBDB" w14:textId="007307B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22.05.2002. (</w:t>
            </w:r>
            <w:r w:rsidR="00003F34" w:rsidRPr="001B53A8">
              <w:rPr>
                <w:rFonts w:ascii="Times New Roman" w:eastAsia="Times New Roman" w:hAnsi="Times New Roman" w:cs="Times New Roman"/>
                <w:sz w:val="20"/>
                <w:szCs w:val="20"/>
                <w:lang w:val="sr-Latn-BA" w:eastAsia="sr-Latn-CS"/>
              </w:rPr>
              <w:t>PIF</w:t>
            </w:r>
            <w:r w:rsidRPr="001B53A8">
              <w:rPr>
                <w:rFonts w:ascii="Times New Roman" w:eastAsia="Times New Roman" w:hAnsi="Times New Roman" w:cs="Times New Roman"/>
                <w:sz w:val="20"/>
                <w:szCs w:val="20"/>
                <w:lang w:val="sr-Latn-BA" w:eastAsia="sr-Latn-CS"/>
              </w:rPr>
              <w:t>)</w:t>
            </w:r>
          </w:p>
          <w:p w14:paraId="33100AB3" w14:textId="6A78E61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06.06.2007. (</w:t>
            </w:r>
            <w:r w:rsidR="00003F34" w:rsidRPr="001B53A8">
              <w:rPr>
                <w:rFonts w:ascii="Times New Roman" w:eastAsia="Times New Roman" w:hAnsi="Times New Roman" w:cs="Times New Roman"/>
                <w:sz w:val="20"/>
                <w:szCs w:val="20"/>
                <w:lang w:val="sr-Latn-BA" w:eastAsia="sr-Latn-CS"/>
              </w:rPr>
              <w:t>ZIF</w:t>
            </w:r>
            <w:r w:rsidRPr="001B53A8">
              <w:rPr>
                <w:rFonts w:ascii="Times New Roman" w:eastAsia="Times New Roman" w:hAnsi="Times New Roman" w:cs="Times New Roman"/>
                <w:sz w:val="20"/>
                <w:szCs w:val="20"/>
                <w:lang w:val="sr-Latn-BA" w:eastAsia="sr-Latn-CS"/>
              </w:rPr>
              <w:t>)</w:t>
            </w:r>
          </w:p>
          <w:p w14:paraId="09773C36" w14:textId="561B5B9C"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21.06.2018. (</w:t>
            </w:r>
            <w:r w:rsidR="00003F34" w:rsidRPr="001B53A8">
              <w:rPr>
                <w:rFonts w:ascii="Times New Roman" w:eastAsia="Times New Roman" w:hAnsi="Times New Roman" w:cs="Times New Roman"/>
                <w:sz w:val="20"/>
                <w:szCs w:val="20"/>
                <w:lang w:val="sr-Latn-BA" w:eastAsia="sr-Latn-CS"/>
              </w:rPr>
              <w:t>OAIF</w:t>
            </w:r>
            <w:r w:rsidRPr="001B53A8">
              <w:rPr>
                <w:rFonts w:ascii="Times New Roman" w:eastAsia="Times New Roman" w:hAnsi="Times New Roman" w:cs="Times New Roman"/>
                <w:sz w:val="20"/>
                <w:szCs w:val="20"/>
                <w:lang w:val="sr-Latn-BA" w:eastAsia="sr-Latn-CS"/>
              </w:rPr>
              <w:t>)</w:t>
            </w:r>
          </w:p>
        </w:tc>
      </w:tr>
      <w:tr w:rsidR="001B7591" w:rsidRPr="001B53A8" w14:paraId="48B5736F" w14:textId="77777777" w:rsidTr="00003F34">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44E06067" w14:textId="77777777" w:rsidR="001B7591" w:rsidRPr="001B53A8" w:rsidRDefault="001B7591" w:rsidP="00003F34">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6EDF3372"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1B53A8">
              <w:rPr>
                <w:rFonts w:ascii="Times New Roman" w:hAnsi="Times New Roman" w:cs="Times New Roman"/>
                <w:sz w:val="20"/>
                <w:szCs w:val="20"/>
                <w:lang w:val="sr-Latn-BA"/>
              </w:rPr>
              <w:t>4.</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03C58910" w14:textId="7C98DD65"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Otvoreni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mješoviti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investicioni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VB</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w:t>
            </w:r>
            <w:r w:rsidR="001B7591" w:rsidRPr="001B53A8">
              <w:rPr>
                <w:rFonts w:ascii="Times New Roman" w:eastAsia="Times New Roman" w:hAnsi="Times New Roman" w:cs="Times New Roman"/>
                <w:sz w:val="20"/>
                <w:szCs w:val="20"/>
                <w:lang w:val="sr-Latn-BA" w:eastAsia="sr-Latn-CS"/>
              </w:rPr>
              <w:t xml:space="preserve">“ </w:t>
            </w:r>
          </w:p>
          <w:p w14:paraId="4C27ECF9" w14:textId="77777777" w:rsidR="001B7591" w:rsidRPr="001B53A8" w:rsidRDefault="001B7591"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 xml:space="preserve"> </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bottom"/>
            <w:hideMark/>
          </w:tcPr>
          <w:p w14:paraId="32BAF535" w14:textId="0E57ACAF"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19.06.2002. (</w:t>
            </w:r>
            <w:r w:rsidR="00003F34" w:rsidRPr="001B53A8">
              <w:rPr>
                <w:rFonts w:ascii="Times New Roman" w:eastAsia="Times New Roman" w:hAnsi="Times New Roman" w:cs="Times New Roman"/>
                <w:sz w:val="20"/>
                <w:szCs w:val="20"/>
                <w:lang w:val="sr-Latn-BA" w:eastAsia="sr-Latn-CS"/>
              </w:rPr>
              <w:t>PIF</w:t>
            </w:r>
            <w:r w:rsidRPr="001B53A8">
              <w:rPr>
                <w:rFonts w:ascii="Times New Roman" w:eastAsia="Times New Roman" w:hAnsi="Times New Roman" w:cs="Times New Roman"/>
                <w:sz w:val="20"/>
                <w:szCs w:val="20"/>
                <w:lang w:val="sr-Latn-BA" w:eastAsia="sr-Latn-CS"/>
              </w:rPr>
              <w:t>)</w:t>
            </w:r>
          </w:p>
          <w:p w14:paraId="495DC98C" w14:textId="0EFC775D"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12.07.2007. (</w:t>
            </w:r>
            <w:r w:rsidR="00003F34" w:rsidRPr="001B53A8">
              <w:rPr>
                <w:rFonts w:ascii="Times New Roman" w:eastAsia="Times New Roman" w:hAnsi="Times New Roman" w:cs="Times New Roman"/>
                <w:sz w:val="20"/>
                <w:szCs w:val="20"/>
                <w:lang w:val="sr-Latn-BA" w:eastAsia="sr-Latn-CS"/>
              </w:rPr>
              <w:t>ZIF</w:t>
            </w:r>
            <w:r w:rsidRPr="001B53A8">
              <w:rPr>
                <w:rFonts w:ascii="Times New Roman" w:eastAsia="Times New Roman" w:hAnsi="Times New Roman" w:cs="Times New Roman"/>
                <w:sz w:val="20"/>
                <w:szCs w:val="20"/>
                <w:lang w:val="sr-Latn-BA" w:eastAsia="sr-Latn-CS"/>
              </w:rPr>
              <w:t>)</w:t>
            </w:r>
          </w:p>
          <w:p w14:paraId="2E09CACA" w14:textId="5C6E9AF4"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21.06.2018. (</w:t>
            </w:r>
            <w:r w:rsidR="00003F34" w:rsidRPr="001B53A8">
              <w:rPr>
                <w:rFonts w:ascii="Times New Roman" w:eastAsia="Times New Roman" w:hAnsi="Times New Roman" w:cs="Times New Roman"/>
                <w:sz w:val="20"/>
                <w:szCs w:val="20"/>
                <w:lang w:val="sr-Latn-BA" w:eastAsia="sr-Latn-CS"/>
              </w:rPr>
              <w:t>OMIF</w:t>
            </w:r>
            <w:r w:rsidRPr="001B53A8">
              <w:rPr>
                <w:rFonts w:ascii="Times New Roman" w:eastAsia="Times New Roman" w:hAnsi="Times New Roman" w:cs="Times New Roman"/>
                <w:sz w:val="20"/>
                <w:szCs w:val="20"/>
                <w:lang w:val="sr-Latn-BA" w:eastAsia="sr-Latn-CS"/>
              </w:rPr>
              <w:t>)</w:t>
            </w:r>
          </w:p>
        </w:tc>
      </w:tr>
      <w:tr w:rsidR="001B7591" w:rsidRPr="001B53A8" w14:paraId="2490EB9A" w14:textId="77777777" w:rsidTr="00003F34">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41A512C" w14:textId="77777777" w:rsidR="001B7591" w:rsidRPr="001B53A8" w:rsidRDefault="001B7591" w:rsidP="00003F34">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30A8FBBF"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1B53A8">
              <w:rPr>
                <w:rFonts w:ascii="Times New Roman" w:hAnsi="Times New Roman" w:cs="Times New Roman"/>
                <w:sz w:val="20"/>
                <w:szCs w:val="20"/>
                <w:lang w:val="sr-Latn-BA"/>
              </w:rPr>
              <w:t>5.</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5DCEA47A" w14:textId="132AF330"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Otvoreni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akcijski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investicioni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Bors</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w:t>
            </w:r>
            <w:r w:rsidR="001B7591" w:rsidRPr="001B53A8">
              <w:rPr>
                <w:rFonts w:ascii="Times New Roman" w:eastAsia="Times New Roman" w:hAnsi="Times New Roman" w:cs="Times New Roman"/>
                <w:sz w:val="20"/>
                <w:szCs w:val="20"/>
                <w:lang w:val="sr-Latn-BA" w:eastAsia="sr-Latn-CS"/>
              </w:rPr>
              <w:t>“</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5B88D135" w14:textId="757C8824"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16.05.2002. (</w:t>
            </w:r>
            <w:r w:rsidR="00003F34" w:rsidRPr="001B53A8">
              <w:rPr>
                <w:rFonts w:ascii="Times New Roman" w:eastAsia="Times New Roman" w:hAnsi="Times New Roman" w:cs="Times New Roman"/>
                <w:sz w:val="20"/>
                <w:szCs w:val="20"/>
                <w:lang w:val="sr-Latn-BA" w:eastAsia="sr-Latn-CS"/>
              </w:rPr>
              <w:t>PIF</w:t>
            </w:r>
            <w:r w:rsidRPr="001B53A8">
              <w:rPr>
                <w:rFonts w:ascii="Times New Roman" w:eastAsia="Times New Roman" w:hAnsi="Times New Roman" w:cs="Times New Roman"/>
                <w:sz w:val="20"/>
                <w:szCs w:val="20"/>
                <w:lang w:val="sr-Latn-BA" w:eastAsia="sr-Latn-CS"/>
              </w:rPr>
              <w:t>)</w:t>
            </w:r>
          </w:p>
          <w:p w14:paraId="2ACEC5E2" w14:textId="526EDADA"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27.07.2007. (</w:t>
            </w:r>
            <w:r w:rsidR="00003F34" w:rsidRPr="001B53A8">
              <w:rPr>
                <w:rFonts w:ascii="Times New Roman" w:eastAsia="Times New Roman" w:hAnsi="Times New Roman" w:cs="Times New Roman"/>
                <w:sz w:val="20"/>
                <w:szCs w:val="20"/>
                <w:lang w:val="sr-Latn-BA" w:eastAsia="sr-Latn-CS"/>
              </w:rPr>
              <w:t>ZIF</w:t>
            </w:r>
            <w:r w:rsidRPr="001B53A8">
              <w:rPr>
                <w:rFonts w:ascii="Times New Roman" w:eastAsia="Times New Roman" w:hAnsi="Times New Roman" w:cs="Times New Roman"/>
                <w:sz w:val="20"/>
                <w:szCs w:val="20"/>
                <w:lang w:val="sr-Latn-BA" w:eastAsia="sr-Latn-CS"/>
              </w:rPr>
              <w:t>)</w:t>
            </w:r>
          </w:p>
          <w:p w14:paraId="598A2A98" w14:textId="72F47E91"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12.10.2018. (</w:t>
            </w:r>
            <w:r w:rsidR="00003F34" w:rsidRPr="001B53A8">
              <w:rPr>
                <w:rFonts w:ascii="Times New Roman" w:eastAsia="Times New Roman" w:hAnsi="Times New Roman" w:cs="Times New Roman"/>
                <w:sz w:val="20"/>
                <w:szCs w:val="20"/>
                <w:lang w:val="sr-Latn-BA" w:eastAsia="sr-Latn-CS"/>
              </w:rPr>
              <w:t>OAIF</w:t>
            </w:r>
            <w:r w:rsidRPr="001B53A8">
              <w:rPr>
                <w:rFonts w:ascii="Times New Roman" w:eastAsia="Times New Roman" w:hAnsi="Times New Roman" w:cs="Times New Roman"/>
                <w:sz w:val="20"/>
                <w:szCs w:val="20"/>
                <w:lang w:val="sr-Latn-BA" w:eastAsia="sr-Latn-CS"/>
              </w:rPr>
              <w:t>)</w:t>
            </w:r>
          </w:p>
        </w:tc>
      </w:tr>
      <w:tr w:rsidR="001B7591" w:rsidRPr="001B53A8" w14:paraId="6B5F6FF1" w14:textId="77777777" w:rsidTr="00003F34">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66AB3960" w14:textId="77777777" w:rsidR="001B7591" w:rsidRPr="001B53A8" w:rsidRDefault="001B7591" w:rsidP="00003F34">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51C50E30"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1B53A8">
              <w:rPr>
                <w:rFonts w:ascii="Times New Roman" w:hAnsi="Times New Roman" w:cs="Times New Roman"/>
                <w:sz w:val="20"/>
                <w:szCs w:val="20"/>
                <w:lang w:val="sr-Latn-BA"/>
              </w:rPr>
              <w:t>6.</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0FBE1A03" w14:textId="5CFE6ED7"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Otvoreni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akcijski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investicioni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Aktiva</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w:t>
            </w:r>
            <w:r w:rsidR="001B7591" w:rsidRPr="001B53A8">
              <w:rPr>
                <w:rFonts w:ascii="Times New Roman" w:eastAsia="Times New Roman" w:hAnsi="Times New Roman" w:cs="Times New Roman"/>
                <w:sz w:val="20"/>
                <w:szCs w:val="20"/>
                <w:lang w:val="sr-Latn-BA" w:eastAsia="sr-Latn-CS"/>
              </w:rPr>
              <w:t>“</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0AF89F03" w14:textId="629EC969"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21.05.2002. (</w:t>
            </w:r>
            <w:r w:rsidR="00003F34" w:rsidRPr="001B53A8">
              <w:rPr>
                <w:rFonts w:ascii="Times New Roman" w:eastAsia="Times New Roman" w:hAnsi="Times New Roman" w:cs="Times New Roman"/>
                <w:sz w:val="20"/>
                <w:szCs w:val="20"/>
                <w:lang w:val="sr-Latn-BA" w:eastAsia="sr-Latn-CS"/>
              </w:rPr>
              <w:t>PIF</w:t>
            </w:r>
            <w:r w:rsidRPr="001B53A8">
              <w:rPr>
                <w:rFonts w:ascii="Times New Roman" w:eastAsia="Times New Roman" w:hAnsi="Times New Roman" w:cs="Times New Roman"/>
                <w:sz w:val="20"/>
                <w:szCs w:val="20"/>
                <w:lang w:val="sr-Latn-BA" w:eastAsia="sr-Latn-CS"/>
              </w:rPr>
              <w:t>)</w:t>
            </w:r>
          </w:p>
          <w:p w14:paraId="7EF8F939" w14:textId="54C05054"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22.08.2007. (</w:t>
            </w:r>
            <w:r w:rsidR="00003F34" w:rsidRPr="001B53A8">
              <w:rPr>
                <w:rFonts w:ascii="Times New Roman" w:eastAsia="Times New Roman" w:hAnsi="Times New Roman" w:cs="Times New Roman"/>
                <w:sz w:val="20"/>
                <w:szCs w:val="20"/>
                <w:lang w:val="sr-Latn-BA" w:eastAsia="sr-Latn-CS"/>
              </w:rPr>
              <w:t>ZIF</w:t>
            </w:r>
            <w:r w:rsidRPr="001B53A8">
              <w:rPr>
                <w:rFonts w:ascii="Times New Roman" w:eastAsia="Times New Roman" w:hAnsi="Times New Roman" w:cs="Times New Roman"/>
                <w:sz w:val="20"/>
                <w:szCs w:val="20"/>
                <w:lang w:val="sr-Latn-BA" w:eastAsia="sr-Latn-CS"/>
              </w:rPr>
              <w:t>)</w:t>
            </w:r>
          </w:p>
          <w:p w14:paraId="307DF652" w14:textId="6FE1A1E0"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12.10.2018. (</w:t>
            </w:r>
            <w:r w:rsidR="00003F34" w:rsidRPr="001B53A8">
              <w:rPr>
                <w:rFonts w:ascii="Times New Roman" w:eastAsia="Times New Roman" w:hAnsi="Times New Roman" w:cs="Times New Roman"/>
                <w:sz w:val="20"/>
                <w:szCs w:val="20"/>
                <w:lang w:val="sr-Latn-BA" w:eastAsia="sr-Latn-CS"/>
              </w:rPr>
              <w:t>OAIF</w:t>
            </w:r>
            <w:r w:rsidRPr="001B53A8">
              <w:rPr>
                <w:rFonts w:ascii="Times New Roman" w:eastAsia="Times New Roman" w:hAnsi="Times New Roman" w:cs="Times New Roman"/>
                <w:sz w:val="20"/>
                <w:szCs w:val="20"/>
                <w:lang w:val="sr-Latn-BA" w:eastAsia="sr-Latn-CS"/>
              </w:rPr>
              <w:t>)</w:t>
            </w:r>
          </w:p>
        </w:tc>
      </w:tr>
      <w:tr w:rsidR="001B7591" w:rsidRPr="001B53A8" w14:paraId="1AF9CADA" w14:textId="77777777" w:rsidTr="00003F34">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47566DAE" w14:textId="77777777" w:rsidR="001B7591" w:rsidRPr="001B53A8" w:rsidRDefault="001B7591" w:rsidP="00003F34">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59BA933C"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1B53A8">
              <w:rPr>
                <w:rFonts w:ascii="Times New Roman" w:hAnsi="Times New Roman" w:cs="Times New Roman"/>
                <w:sz w:val="20"/>
                <w:szCs w:val="20"/>
                <w:lang w:val="sr-Latn-BA"/>
              </w:rPr>
              <w:t>7.</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65AF5BA2" w14:textId="08721FE2"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Otvoreni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akcijski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investicioni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VIB</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w:t>
            </w:r>
            <w:r w:rsidR="001B7591" w:rsidRPr="001B53A8">
              <w:rPr>
                <w:rFonts w:ascii="Times New Roman" w:eastAsia="Times New Roman" w:hAnsi="Times New Roman" w:cs="Times New Roman"/>
                <w:sz w:val="20"/>
                <w:szCs w:val="20"/>
                <w:lang w:val="sr-Latn-BA" w:eastAsia="sr-Latn-CS"/>
              </w:rPr>
              <w:t>“</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vAlign w:val="bottom"/>
            <w:hideMark/>
          </w:tcPr>
          <w:p w14:paraId="135B32D7" w14:textId="6AE0CBD4"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22.05.2002. (</w:t>
            </w:r>
            <w:r w:rsidR="00003F34" w:rsidRPr="001B53A8">
              <w:rPr>
                <w:rFonts w:ascii="Times New Roman" w:eastAsia="Times New Roman" w:hAnsi="Times New Roman" w:cs="Times New Roman"/>
                <w:sz w:val="20"/>
                <w:szCs w:val="20"/>
                <w:lang w:val="sr-Latn-BA" w:eastAsia="sr-Latn-CS"/>
              </w:rPr>
              <w:t>PIF</w:t>
            </w:r>
            <w:r w:rsidRPr="001B53A8">
              <w:rPr>
                <w:rFonts w:ascii="Times New Roman" w:eastAsia="Times New Roman" w:hAnsi="Times New Roman" w:cs="Times New Roman"/>
                <w:sz w:val="20"/>
                <w:szCs w:val="20"/>
                <w:lang w:val="sr-Latn-BA" w:eastAsia="sr-Latn-CS"/>
              </w:rPr>
              <w:t>)</w:t>
            </w:r>
          </w:p>
          <w:p w14:paraId="2CBA258B" w14:textId="70DBF95E"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05.10.2007. (</w:t>
            </w:r>
            <w:r w:rsidR="00003F34" w:rsidRPr="001B53A8">
              <w:rPr>
                <w:rFonts w:ascii="Times New Roman" w:eastAsia="Times New Roman" w:hAnsi="Times New Roman" w:cs="Times New Roman"/>
                <w:sz w:val="20"/>
                <w:szCs w:val="20"/>
                <w:lang w:val="sr-Latn-BA" w:eastAsia="sr-Latn-CS"/>
              </w:rPr>
              <w:t>ZIF</w:t>
            </w:r>
            <w:r w:rsidRPr="001B53A8">
              <w:rPr>
                <w:rFonts w:ascii="Times New Roman" w:eastAsia="Times New Roman" w:hAnsi="Times New Roman" w:cs="Times New Roman"/>
                <w:sz w:val="20"/>
                <w:szCs w:val="20"/>
                <w:lang w:val="sr-Latn-BA" w:eastAsia="sr-Latn-CS"/>
              </w:rPr>
              <w:t>)</w:t>
            </w:r>
          </w:p>
          <w:p w14:paraId="7C3F0B40" w14:textId="413A0A9E"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12.10.2018. (</w:t>
            </w:r>
            <w:r w:rsidR="00003F34" w:rsidRPr="001B53A8">
              <w:rPr>
                <w:rFonts w:ascii="Times New Roman" w:eastAsia="Times New Roman" w:hAnsi="Times New Roman" w:cs="Times New Roman"/>
                <w:sz w:val="20"/>
                <w:szCs w:val="20"/>
                <w:lang w:val="sr-Latn-BA" w:eastAsia="sr-Latn-CS"/>
              </w:rPr>
              <w:t>OAIF</w:t>
            </w:r>
            <w:r w:rsidRPr="001B53A8">
              <w:rPr>
                <w:rFonts w:ascii="Times New Roman" w:eastAsia="Times New Roman" w:hAnsi="Times New Roman" w:cs="Times New Roman"/>
                <w:sz w:val="20"/>
                <w:szCs w:val="20"/>
                <w:lang w:val="sr-Latn-BA" w:eastAsia="sr-Latn-CS"/>
              </w:rPr>
              <w:t>)</w:t>
            </w:r>
          </w:p>
          <w:p w14:paraId="199F9A93"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p>
        </w:tc>
      </w:tr>
      <w:tr w:rsidR="001B7591" w:rsidRPr="001B53A8" w14:paraId="617331C5" w14:textId="77777777" w:rsidTr="00003F34">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BE7D1AD" w14:textId="77777777" w:rsidR="001B7591" w:rsidRPr="001B53A8" w:rsidRDefault="001B7591" w:rsidP="00003F34">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0763DACE"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1B53A8">
              <w:rPr>
                <w:rFonts w:ascii="Times New Roman" w:hAnsi="Times New Roman" w:cs="Times New Roman"/>
                <w:sz w:val="20"/>
                <w:szCs w:val="20"/>
                <w:lang w:val="sr-Latn-BA"/>
              </w:rPr>
              <w:t>8.</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1CCDB52E" w14:textId="264156C5"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Otvoreni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akcijski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investicioni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w:t>
            </w:r>
            <w:r w:rsidR="001B7591" w:rsidRPr="001B53A8">
              <w:rPr>
                <w:rFonts w:ascii="Times New Roman" w:eastAsia="Times New Roman" w:hAnsi="Times New Roman" w:cs="Times New Roman"/>
                <w:sz w:val="20"/>
                <w:szCs w:val="20"/>
                <w:lang w:val="sr-Latn-BA" w:eastAsia="sr-Latn-CS"/>
              </w:rPr>
              <w:t xml:space="preserve"> „MS Global Equity“</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vAlign w:val="bottom"/>
          </w:tcPr>
          <w:p w14:paraId="1AAC5CDC" w14:textId="66989A84"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26.01.2023. (</w:t>
            </w:r>
            <w:r w:rsidR="00003F34" w:rsidRPr="001B53A8">
              <w:rPr>
                <w:rFonts w:ascii="Times New Roman" w:eastAsia="Times New Roman" w:hAnsi="Times New Roman" w:cs="Times New Roman"/>
                <w:sz w:val="20"/>
                <w:szCs w:val="20"/>
                <w:lang w:val="sr-Latn-BA" w:eastAsia="sr-Latn-CS"/>
              </w:rPr>
              <w:t>OAIF</w:t>
            </w:r>
            <w:r w:rsidRPr="001B53A8">
              <w:rPr>
                <w:rFonts w:ascii="Times New Roman" w:eastAsia="Times New Roman" w:hAnsi="Times New Roman" w:cs="Times New Roman"/>
                <w:sz w:val="20"/>
                <w:szCs w:val="20"/>
                <w:lang w:val="sr-Latn-BA" w:eastAsia="sr-Latn-CS"/>
              </w:rPr>
              <w:t>)</w:t>
            </w:r>
          </w:p>
        </w:tc>
      </w:tr>
      <w:tr w:rsidR="001B7591" w:rsidRPr="001B53A8" w14:paraId="4A9C94DB" w14:textId="77777777" w:rsidTr="00003F34">
        <w:trPr>
          <w:trHeight w:val="259"/>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1B494835" w14:textId="77777777" w:rsidR="001B7591" w:rsidRPr="001B53A8" w:rsidRDefault="001B7591" w:rsidP="00003F34">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3.</w:t>
            </w:r>
          </w:p>
        </w:tc>
        <w:tc>
          <w:tcPr>
            <w:tcW w:w="5811"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6563D379" w14:textId="32714FA6"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Naziv</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društva</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DUIF</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nova</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w:t>
            </w:r>
            <w:r w:rsidR="001B7591" w:rsidRPr="001B53A8">
              <w:rPr>
                <w:rFonts w:ascii="Times New Roman" w:eastAsia="Times New Roman" w:hAnsi="Times New Roman" w:cs="Times New Roman"/>
                <w:sz w:val="20"/>
                <w:szCs w:val="20"/>
                <w:lang w:val="sr-Latn-BA" w:eastAsia="sr-Latn-CS"/>
              </w:rPr>
              <w:t>.</w:t>
            </w:r>
            <w:r w:rsidRPr="001B53A8">
              <w:rPr>
                <w:rFonts w:ascii="Times New Roman" w:eastAsia="Times New Roman" w:hAnsi="Times New Roman" w:cs="Times New Roman"/>
                <w:sz w:val="20"/>
                <w:szCs w:val="20"/>
                <w:lang w:val="sr-Latn-BA" w:eastAsia="sr-Latn-CS"/>
              </w:rPr>
              <w:t>d</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Bijelјina</w:t>
            </w:r>
            <w:r w:rsidR="001B7591" w:rsidRPr="001B53A8">
              <w:rPr>
                <w:rFonts w:ascii="Times New Roman" w:eastAsia="Times New Roman" w:hAnsi="Times New Roman" w:cs="Times New Roman"/>
                <w:sz w:val="20"/>
                <w:szCs w:val="20"/>
                <w:lang w:val="sr-Latn-BA" w:eastAsia="sr-Latn-CS"/>
              </w:rPr>
              <w:t xml:space="preserve"> </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41B4A7F7"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Latn-BA" w:eastAsia="sr-Latn-CS"/>
              </w:rPr>
            </w:pPr>
            <w:r w:rsidRPr="001B53A8">
              <w:rPr>
                <w:rFonts w:ascii="Times New Roman" w:eastAsia="Times New Roman" w:hAnsi="Times New Roman" w:cs="Times New Roman"/>
                <w:bCs/>
                <w:sz w:val="20"/>
                <w:szCs w:val="20"/>
                <w:lang w:val="sr-Latn-BA" w:eastAsia="sr-Latn-CS"/>
              </w:rPr>
              <w:t>01.09.2000</w:t>
            </w:r>
            <w:r w:rsidRPr="001B53A8">
              <w:rPr>
                <w:sz w:val="20"/>
                <w:szCs w:val="20"/>
                <w:lang w:val="sr-Latn-BA"/>
              </w:rPr>
              <w:t>.</w:t>
            </w:r>
          </w:p>
        </w:tc>
      </w:tr>
      <w:tr w:rsidR="001B7591" w:rsidRPr="001B53A8" w14:paraId="0E980E25" w14:textId="77777777" w:rsidTr="00003F34">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4078580" w14:textId="77777777" w:rsidR="001B7591" w:rsidRPr="001B53A8" w:rsidRDefault="001B7591" w:rsidP="00003F34">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5F996793"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1B53A8">
              <w:rPr>
                <w:rFonts w:ascii="Times New Roman" w:hAnsi="Times New Roman" w:cs="Times New Roman"/>
                <w:sz w:val="20"/>
                <w:szCs w:val="20"/>
                <w:lang w:val="sr-Latn-BA"/>
              </w:rPr>
              <w:t>9.</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1B2757C8" w14:textId="42207378"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Otvoreni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mješoviti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investicioni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nova</w:t>
            </w:r>
            <w:r w:rsidR="001B7591" w:rsidRPr="001B53A8">
              <w:rPr>
                <w:rFonts w:ascii="Times New Roman" w:eastAsia="Times New Roman" w:hAnsi="Times New Roman" w:cs="Times New Roman"/>
                <w:sz w:val="20"/>
                <w:szCs w:val="20"/>
                <w:lang w:val="sr-Latn-BA" w:eastAsia="sr-Latn-CS"/>
              </w:rPr>
              <w:t>“</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4F5F6447" w14:textId="28E0E68D"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31.05.2002. (</w:t>
            </w:r>
            <w:r w:rsidR="00003F34" w:rsidRPr="001B53A8">
              <w:rPr>
                <w:rFonts w:ascii="Times New Roman" w:eastAsia="Times New Roman" w:hAnsi="Times New Roman" w:cs="Times New Roman"/>
                <w:sz w:val="20"/>
                <w:szCs w:val="20"/>
                <w:lang w:val="sr-Latn-BA" w:eastAsia="sr-Latn-CS"/>
              </w:rPr>
              <w:t>PIF</w:t>
            </w:r>
            <w:r w:rsidRPr="001B53A8">
              <w:rPr>
                <w:rFonts w:ascii="Times New Roman" w:eastAsia="Times New Roman" w:hAnsi="Times New Roman" w:cs="Times New Roman"/>
                <w:sz w:val="20"/>
                <w:szCs w:val="20"/>
                <w:lang w:val="sr-Latn-BA" w:eastAsia="sr-Latn-CS"/>
              </w:rPr>
              <w:t>)</w:t>
            </w:r>
          </w:p>
          <w:p w14:paraId="1996E2B8" w14:textId="3BA7B808"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20.06.2007. (</w:t>
            </w:r>
            <w:r w:rsidR="00003F34" w:rsidRPr="001B53A8">
              <w:rPr>
                <w:rFonts w:ascii="Times New Roman" w:eastAsia="Times New Roman" w:hAnsi="Times New Roman" w:cs="Times New Roman"/>
                <w:sz w:val="20"/>
                <w:szCs w:val="20"/>
                <w:lang w:val="sr-Latn-BA" w:eastAsia="sr-Latn-CS"/>
              </w:rPr>
              <w:t>ZIF</w:t>
            </w:r>
            <w:r w:rsidRPr="001B53A8">
              <w:rPr>
                <w:rFonts w:ascii="Times New Roman" w:eastAsia="Times New Roman" w:hAnsi="Times New Roman" w:cs="Times New Roman"/>
                <w:sz w:val="20"/>
                <w:szCs w:val="20"/>
                <w:lang w:val="sr-Latn-BA" w:eastAsia="sr-Latn-CS"/>
              </w:rPr>
              <w:t>)</w:t>
            </w:r>
          </w:p>
          <w:p w14:paraId="4C846809" w14:textId="75D2ADB8"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29.09.2017. (</w:t>
            </w:r>
            <w:r w:rsidR="00003F34" w:rsidRPr="001B53A8">
              <w:rPr>
                <w:rFonts w:ascii="Times New Roman" w:eastAsia="Times New Roman" w:hAnsi="Times New Roman" w:cs="Times New Roman"/>
                <w:sz w:val="20"/>
                <w:szCs w:val="20"/>
                <w:lang w:val="sr-Latn-BA" w:eastAsia="sr-Latn-CS"/>
              </w:rPr>
              <w:t>OMIF</w:t>
            </w:r>
            <w:r w:rsidRPr="001B53A8">
              <w:rPr>
                <w:rFonts w:ascii="Times New Roman" w:eastAsia="Times New Roman" w:hAnsi="Times New Roman" w:cs="Times New Roman"/>
                <w:sz w:val="20"/>
                <w:szCs w:val="20"/>
                <w:lang w:val="sr-Latn-BA" w:eastAsia="sr-Latn-CS"/>
              </w:rPr>
              <w:t>)</w:t>
            </w:r>
          </w:p>
        </w:tc>
      </w:tr>
      <w:tr w:rsidR="001B7591" w:rsidRPr="001B53A8" w14:paraId="55892427" w14:textId="77777777" w:rsidTr="00003F34">
        <w:trPr>
          <w:trHeight w:val="259"/>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7A6351FE" w14:textId="77777777" w:rsidR="001B7591" w:rsidRPr="001B53A8" w:rsidRDefault="001B7591" w:rsidP="00003F34">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4.</w:t>
            </w:r>
          </w:p>
        </w:tc>
        <w:tc>
          <w:tcPr>
            <w:tcW w:w="5811"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4F4D7216" w14:textId="3875274C"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Naziv</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društva</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DUIF</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Kristal</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w:t>
            </w:r>
            <w:r w:rsidR="001B7591" w:rsidRPr="001B53A8">
              <w:rPr>
                <w:rFonts w:ascii="Times New Roman" w:eastAsia="Times New Roman" w:hAnsi="Times New Roman" w:cs="Times New Roman"/>
                <w:sz w:val="20"/>
                <w:szCs w:val="20"/>
                <w:lang w:val="sr-Latn-BA" w:eastAsia="sr-Latn-CS"/>
              </w:rPr>
              <w:t>.</w:t>
            </w:r>
            <w:r w:rsidRPr="001B53A8">
              <w:rPr>
                <w:rFonts w:ascii="Times New Roman" w:eastAsia="Times New Roman" w:hAnsi="Times New Roman" w:cs="Times New Roman"/>
                <w:sz w:val="20"/>
                <w:szCs w:val="20"/>
                <w:lang w:val="sr-Latn-BA" w:eastAsia="sr-Latn-CS"/>
              </w:rPr>
              <w:t>d</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Banja</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Luka</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691E96B9"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Latn-BA" w:eastAsia="sr-Latn-CS"/>
              </w:rPr>
            </w:pPr>
            <w:r w:rsidRPr="001B53A8">
              <w:rPr>
                <w:rFonts w:ascii="Times New Roman" w:eastAsia="Times New Roman" w:hAnsi="Times New Roman" w:cs="Times New Roman"/>
                <w:bCs/>
                <w:sz w:val="20"/>
                <w:szCs w:val="20"/>
                <w:lang w:val="sr-Latn-BA" w:eastAsia="sr-Latn-CS"/>
              </w:rPr>
              <w:t>08.09.2000.</w:t>
            </w:r>
          </w:p>
        </w:tc>
      </w:tr>
      <w:tr w:rsidR="001B7591" w:rsidRPr="001B53A8" w14:paraId="75CD1233" w14:textId="77777777" w:rsidTr="00003F34">
        <w:trPr>
          <w:trHeight w:val="112"/>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093CCA0F" w14:textId="77777777" w:rsidR="001B7591" w:rsidRPr="001B53A8" w:rsidRDefault="001B7591" w:rsidP="00003F34">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C204569"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D13D489" w14:textId="77777777" w:rsidR="001B7591" w:rsidRPr="001B53A8" w:rsidRDefault="001B7591"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tcPr>
          <w:p w14:paraId="7CCD94A9"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p>
        </w:tc>
      </w:tr>
      <w:tr w:rsidR="001B7591" w:rsidRPr="001B53A8" w14:paraId="30E6FE51" w14:textId="77777777" w:rsidTr="00003F34">
        <w:trPr>
          <w:trHeight w:val="112"/>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74023A4" w14:textId="77777777" w:rsidR="001B7591" w:rsidRPr="001B53A8" w:rsidRDefault="001B7591" w:rsidP="00003F34">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52A420D2"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1B53A8">
              <w:rPr>
                <w:rFonts w:ascii="Times New Roman" w:hAnsi="Times New Roman" w:cs="Times New Roman"/>
                <w:sz w:val="20"/>
                <w:szCs w:val="20"/>
                <w:lang w:val="sr-Latn-BA"/>
              </w:rPr>
              <w:t>10.</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7D8BF4BF" w14:textId="25A126C4"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Otvoreni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akcijski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investicioni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w:t>
            </w:r>
            <w:r w:rsidR="001B7591" w:rsidRPr="001B53A8">
              <w:rPr>
                <w:rFonts w:ascii="Times New Roman" w:eastAsia="Times New Roman" w:hAnsi="Times New Roman" w:cs="Times New Roman"/>
                <w:sz w:val="20"/>
                <w:szCs w:val="20"/>
                <w:lang w:val="sr-Latn-BA" w:eastAsia="sr-Latn-CS"/>
              </w:rPr>
              <w:t xml:space="preserve"> „Future fund“</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7D394921" w14:textId="7E364EE0"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20.05.2002. (</w:t>
            </w:r>
            <w:r w:rsidR="00003F34" w:rsidRPr="001B53A8">
              <w:rPr>
                <w:rFonts w:ascii="Times New Roman" w:eastAsia="Times New Roman" w:hAnsi="Times New Roman" w:cs="Times New Roman"/>
                <w:sz w:val="20"/>
                <w:szCs w:val="20"/>
                <w:lang w:val="sr-Latn-BA" w:eastAsia="sr-Latn-CS"/>
              </w:rPr>
              <w:t>PIF</w:t>
            </w:r>
            <w:r w:rsidRPr="001B53A8">
              <w:rPr>
                <w:rFonts w:ascii="Times New Roman" w:eastAsia="Times New Roman" w:hAnsi="Times New Roman" w:cs="Times New Roman"/>
                <w:sz w:val="20"/>
                <w:szCs w:val="20"/>
                <w:lang w:val="sr-Latn-BA" w:eastAsia="sr-Latn-CS"/>
              </w:rPr>
              <w:t>)</w:t>
            </w:r>
          </w:p>
          <w:p w14:paraId="19B78009" w14:textId="466B2EE9"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18.06.2007. (</w:t>
            </w:r>
            <w:r w:rsidR="00003F34" w:rsidRPr="001B53A8">
              <w:rPr>
                <w:rFonts w:ascii="Times New Roman" w:eastAsia="Times New Roman" w:hAnsi="Times New Roman" w:cs="Times New Roman"/>
                <w:sz w:val="20"/>
                <w:szCs w:val="20"/>
                <w:lang w:val="sr-Latn-BA" w:eastAsia="sr-Latn-CS"/>
              </w:rPr>
              <w:t>ZIF</w:t>
            </w:r>
            <w:r w:rsidRPr="001B53A8">
              <w:rPr>
                <w:rFonts w:ascii="Times New Roman" w:eastAsia="Times New Roman" w:hAnsi="Times New Roman" w:cs="Times New Roman"/>
                <w:sz w:val="20"/>
                <w:szCs w:val="20"/>
                <w:lang w:val="sr-Latn-BA" w:eastAsia="sr-Latn-CS"/>
              </w:rPr>
              <w:t>)</w:t>
            </w:r>
          </w:p>
          <w:p w14:paraId="2FB7954A" w14:textId="4EA9247D"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17.07.2017. (</w:t>
            </w:r>
            <w:r w:rsidR="00003F34" w:rsidRPr="001B53A8">
              <w:rPr>
                <w:rFonts w:ascii="Times New Roman" w:eastAsia="Times New Roman" w:hAnsi="Times New Roman" w:cs="Times New Roman"/>
                <w:sz w:val="20"/>
                <w:szCs w:val="20"/>
                <w:lang w:val="sr-Latn-BA" w:eastAsia="sr-Latn-CS"/>
              </w:rPr>
              <w:t>OAIF</w:t>
            </w:r>
            <w:r w:rsidRPr="001B53A8">
              <w:rPr>
                <w:rFonts w:ascii="Times New Roman" w:eastAsia="Times New Roman" w:hAnsi="Times New Roman" w:cs="Times New Roman"/>
                <w:sz w:val="20"/>
                <w:szCs w:val="20"/>
                <w:lang w:val="sr-Latn-BA" w:eastAsia="sr-Latn-CS"/>
              </w:rPr>
              <w:t>)</w:t>
            </w:r>
          </w:p>
        </w:tc>
      </w:tr>
      <w:tr w:rsidR="001B7591" w:rsidRPr="001B53A8" w14:paraId="3800C580" w14:textId="77777777" w:rsidTr="00003F34">
        <w:trPr>
          <w:trHeight w:val="112"/>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28B73960" w14:textId="77777777" w:rsidR="001B7591" w:rsidRPr="001B53A8" w:rsidRDefault="001B7591" w:rsidP="00003F34">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1820EA73"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1B53A8">
              <w:rPr>
                <w:rFonts w:ascii="Times New Roman" w:hAnsi="Times New Roman" w:cs="Times New Roman"/>
                <w:sz w:val="20"/>
                <w:szCs w:val="20"/>
                <w:lang w:val="sr-Latn-BA"/>
              </w:rPr>
              <w:t>11.</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41CEF7B2" w14:textId="73B8B85D"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Otvoreni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mješoviti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investicioni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w:t>
            </w:r>
            <w:r w:rsidR="001B7591" w:rsidRPr="001B53A8">
              <w:rPr>
                <w:rFonts w:ascii="Times New Roman" w:eastAsia="Times New Roman" w:hAnsi="Times New Roman" w:cs="Times New Roman"/>
                <w:sz w:val="20"/>
                <w:szCs w:val="20"/>
                <w:lang w:val="sr-Latn-BA" w:eastAsia="sr-Latn-CS"/>
              </w:rPr>
              <w:t xml:space="preserve"> „Maximus fund“</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3C01512A" w14:textId="22B2FD93"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20.05.2002. (</w:t>
            </w:r>
            <w:r w:rsidR="00003F34" w:rsidRPr="001B53A8">
              <w:rPr>
                <w:rFonts w:ascii="Times New Roman" w:eastAsia="Times New Roman" w:hAnsi="Times New Roman" w:cs="Times New Roman"/>
                <w:sz w:val="20"/>
                <w:szCs w:val="20"/>
                <w:lang w:val="sr-Latn-BA" w:eastAsia="sr-Latn-CS"/>
              </w:rPr>
              <w:t>PIF</w:t>
            </w:r>
            <w:r w:rsidRPr="001B53A8">
              <w:rPr>
                <w:rFonts w:ascii="Times New Roman" w:eastAsia="Times New Roman" w:hAnsi="Times New Roman" w:cs="Times New Roman"/>
                <w:sz w:val="20"/>
                <w:szCs w:val="20"/>
                <w:lang w:val="sr-Latn-BA" w:eastAsia="sr-Latn-CS"/>
              </w:rPr>
              <w:t>)</w:t>
            </w:r>
          </w:p>
          <w:p w14:paraId="19938882" w14:textId="44A5A151"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18.06.2007. (</w:t>
            </w:r>
            <w:r w:rsidR="00003F34" w:rsidRPr="001B53A8">
              <w:rPr>
                <w:rFonts w:ascii="Times New Roman" w:eastAsia="Times New Roman" w:hAnsi="Times New Roman" w:cs="Times New Roman"/>
                <w:sz w:val="20"/>
                <w:szCs w:val="20"/>
                <w:lang w:val="sr-Latn-BA" w:eastAsia="sr-Latn-CS"/>
              </w:rPr>
              <w:t>ZIF</w:t>
            </w:r>
            <w:r w:rsidRPr="001B53A8">
              <w:rPr>
                <w:rFonts w:ascii="Times New Roman" w:eastAsia="Times New Roman" w:hAnsi="Times New Roman" w:cs="Times New Roman"/>
                <w:sz w:val="20"/>
                <w:szCs w:val="20"/>
                <w:lang w:val="sr-Latn-BA" w:eastAsia="sr-Latn-CS"/>
              </w:rPr>
              <w:t>)</w:t>
            </w:r>
          </w:p>
          <w:p w14:paraId="4BE8AB4F" w14:textId="74230593"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17.07.2017. (</w:t>
            </w:r>
            <w:r w:rsidR="00003F34" w:rsidRPr="001B53A8">
              <w:rPr>
                <w:rFonts w:ascii="Times New Roman" w:eastAsia="Times New Roman" w:hAnsi="Times New Roman" w:cs="Times New Roman"/>
                <w:sz w:val="20"/>
                <w:szCs w:val="20"/>
                <w:lang w:val="sr-Latn-BA" w:eastAsia="sr-Latn-CS"/>
              </w:rPr>
              <w:t>OMIF</w:t>
            </w:r>
            <w:r w:rsidRPr="001B53A8">
              <w:rPr>
                <w:rFonts w:ascii="Times New Roman" w:eastAsia="Times New Roman" w:hAnsi="Times New Roman" w:cs="Times New Roman"/>
                <w:sz w:val="20"/>
                <w:szCs w:val="20"/>
                <w:lang w:val="sr-Latn-BA" w:eastAsia="sr-Latn-CS"/>
              </w:rPr>
              <w:t>)</w:t>
            </w:r>
          </w:p>
        </w:tc>
      </w:tr>
      <w:tr w:rsidR="001B7591" w:rsidRPr="001B53A8" w14:paraId="02CA6A4E" w14:textId="77777777" w:rsidTr="00003F34">
        <w:trPr>
          <w:trHeight w:val="112"/>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10A58423" w14:textId="77777777" w:rsidR="001B7591" w:rsidRPr="001B53A8" w:rsidRDefault="001B7591" w:rsidP="00003F34">
            <w:pPr>
              <w:spacing w:after="0" w:line="240" w:lineRule="auto"/>
              <w:ind w:firstLine="0"/>
              <w:rPr>
                <w:rFonts w:ascii="Times New Roman" w:hAnsi="Times New Roman" w:cs="Times New Roman"/>
                <w:sz w:val="20"/>
                <w:szCs w:val="20"/>
                <w:highlight w:val="yellow"/>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38CAF4E1"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yellow"/>
                <w:lang w:val="sr-Latn-BA"/>
              </w:rPr>
            </w:pP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D211E20" w14:textId="77777777" w:rsidR="001B7591" w:rsidRPr="001B53A8" w:rsidRDefault="001B7591"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highlight w:val="yellow"/>
                <w:lang w:val="sr-Latn-BA" w:eastAsia="sr-Latn-CS"/>
              </w:rPr>
            </w:pP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tcPr>
          <w:p w14:paraId="5A8D88EA"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highlight w:val="yellow"/>
                <w:lang w:val="sr-Latn-BA" w:eastAsia="sr-Latn-CS"/>
              </w:rPr>
            </w:pPr>
          </w:p>
        </w:tc>
      </w:tr>
      <w:tr w:rsidR="001B7591" w:rsidRPr="001B53A8" w14:paraId="0C910BA7" w14:textId="77777777" w:rsidTr="00003F34">
        <w:trPr>
          <w:trHeight w:val="259"/>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2A5CD807" w14:textId="77777777" w:rsidR="001B7591" w:rsidRPr="001B53A8" w:rsidRDefault="001B7591" w:rsidP="00003F34">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5.</w:t>
            </w:r>
          </w:p>
        </w:tc>
        <w:tc>
          <w:tcPr>
            <w:tcW w:w="5811"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46D84608" w14:textId="774A92B6"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Naziv</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društva</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DUIF</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Polara</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w:t>
            </w:r>
            <w:r w:rsidR="001B7591" w:rsidRPr="001B53A8">
              <w:rPr>
                <w:rFonts w:ascii="Times New Roman" w:eastAsia="Times New Roman" w:hAnsi="Times New Roman" w:cs="Times New Roman"/>
                <w:sz w:val="20"/>
                <w:szCs w:val="20"/>
                <w:lang w:val="sr-Latn-BA" w:eastAsia="sr-Latn-CS"/>
              </w:rPr>
              <w:t>.</w:t>
            </w:r>
            <w:r w:rsidRPr="001B53A8">
              <w:rPr>
                <w:rFonts w:ascii="Times New Roman" w:eastAsia="Times New Roman" w:hAnsi="Times New Roman" w:cs="Times New Roman"/>
                <w:sz w:val="20"/>
                <w:szCs w:val="20"/>
                <w:lang w:val="sr-Latn-BA" w:eastAsia="sr-Latn-CS"/>
              </w:rPr>
              <w:t>d</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Banja</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Luka</w:t>
            </w:r>
            <w:r w:rsidR="001B7591" w:rsidRPr="001B53A8">
              <w:rPr>
                <w:rFonts w:ascii="Times New Roman" w:eastAsia="Times New Roman" w:hAnsi="Times New Roman" w:cs="Times New Roman"/>
                <w:sz w:val="20"/>
                <w:szCs w:val="20"/>
                <w:lang w:val="sr-Latn-BA" w:eastAsia="sr-Latn-CS"/>
              </w:rPr>
              <w:t xml:space="preserve"> </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7203884E"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Latn-BA" w:eastAsia="sr-Latn-CS"/>
              </w:rPr>
            </w:pPr>
            <w:r w:rsidRPr="001B53A8">
              <w:rPr>
                <w:rFonts w:ascii="Times New Roman" w:eastAsia="Times New Roman" w:hAnsi="Times New Roman" w:cs="Times New Roman"/>
                <w:bCs/>
                <w:sz w:val="20"/>
                <w:szCs w:val="20"/>
                <w:lang w:val="sr-Latn-BA" w:eastAsia="sr-Latn-CS"/>
              </w:rPr>
              <w:t>09.10.2000.</w:t>
            </w:r>
          </w:p>
        </w:tc>
      </w:tr>
      <w:tr w:rsidR="001B7591" w:rsidRPr="001B53A8" w14:paraId="13F6581C" w14:textId="77777777" w:rsidTr="00003F34">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3378CE20" w14:textId="77777777" w:rsidR="001B7591" w:rsidRPr="001B53A8" w:rsidRDefault="001B7591" w:rsidP="00003F34">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3C886DE7"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1B53A8">
              <w:rPr>
                <w:rFonts w:ascii="Times New Roman" w:hAnsi="Times New Roman" w:cs="Times New Roman"/>
                <w:sz w:val="20"/>
                <w:szCs w:val="20"/>
                <w:lang w:val="sr-Latn-BA"/>
              </w:rPr>
              <w:t>12.</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58ED0D4F" w14:textId="4988976F"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Otvoreni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akcijski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investicioni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w:t>
            </w:r>
            <w:r w:rsidR="001B7591" w:rsidRPr="001B53A8">
              <w:rPr>
                <w:rFonts w:ascii="Times New Roman" w:eastAsia="Times New Roman" w:hAnsi="Times New Roman" w:cs="Times New Roman"/>
                <w:sz w:val="20"/>
                <w:szCs w:val="20"/>
                <w:lang w:val="sr-Latn-BA" w:eastAsia="sr-Latn-CS"/>
              </w:rPr>
              <w:t xml:space="preserve"> Adriatic Balanced</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19247A1A" w14:textId="0493335A"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19.06.2002. (</w:t>
            </w:r>
            <w:r w:rsidR="00003F34" w:rsidRPr="001B53A8">
              <w:rPr>
                <w:rFonts w:ascii="Times New Roman" w:eastAsia="Times New Roman" w:hAnsi="Times New Roman" w:cs="Times New Roman"/>
                <w:sz w:val="20"/>
                <w:szCs w:val="20"/>
                <w:lang w:val="sr-Latn-BA" w:eastAsia="sr-Latn-CS"/>
              </w:rPr>
              <w:t>PIF</w:t>
            </w:r>
            <w:r w:rsidRPr="001B53A8">
              <w:rPr>
                <w:rFonts w:ascii="Times New Roman" w:eastAsia="Times New Roman" w:hAnsi="Times New Roman" w:cs="Times New Roman"/>
                <w:sz w:val="20"/>
                <w:szCs w:val="20"/>
                <w:lang w:val="sr-Latn-BA" w:eastAsia="sr-Latn-CS"/>
              </w:rPr>
              <w:t>)</w:t>
            </w:r>
          </w:p>
          <w:p w14:paraId="276CE83A" w14:textId="2695144E"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21.03.2008. (</w:t>
            </w:r>
            <w:r w:rsidR="00003F34" w:rsidRPr="001B53A8">
              <w:rPr>
                <w:rFonts w:ascii="Times New Roman" w:eastAsia="Times New Roman" w:hAnsi="Times New Roman" w:cs="Times New Roman"/>
                <w:sz w:val="20"/>
                <w:szCs w:val="20"/>
                <w:lang w:val="sr-Latn-BA" w:eastAsia="sr-Latn-CS"/>
              </w:rPr>
              <w:t>ZIF</w:t>
            </w:r>
            <w:r w:rsidRPr="001B53A8">
              <w:rPr>
                <w:rFonts w:ascii="Times New Roman" w:eastAsia="Times New Roman" w:hAnsi="Times New Roman" w:cs="Times New Roman"/>
                <w:sz w:val="20"/>
                <w:szCs w:val="20"/>
                <w:lang w:val="sr-Latn-BA" w:eastAsia="sr-Latn-CS"/>
              </w:rPr>
              <w:t>)</w:t>
            </w:r>
          </w:p>
          <w:p w14:paraId="1815B611" w14:textId="5E3646EC"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26.04.2018. (</w:t>
            </w:r>
            <w:r w:rsidR="00003F34" w:rsidRPr="001B53A8">
              <w:rPr>
                <w:rFonts w:ascii="Times New Roman" w:eastAsia="Times New Roman" w:hAnsi="Times New Roman" w:cs="Times New Roman"/>
                <w:sz w:val="20"/>
                <w:szCs w:val="20"/>
                <w:lang w:val="sr-Latn-BA" w:eastAsia="sr-Latn-CS"/>
              </w:rPr>
              <w:t>OAIF</w:t>
            </w:r>
            <w:r w:rsidRPr="001B53A8">
              <w:rPr>
                <w:rFonts w:ascii="Times New Roman" w:eastAsia="Times New Roman" w:hAnsi="Times New Roman" w:cs="Times New Roman"/>
                <w:sz w:val="20"/>
                <w:szCs w:val="20"/>
                <w:lang w:val="sr-Latn-BA" w:eastAsia="sr-Latn-CS"/>
              </w:rPr>
              <w:t>)</w:t>
            </w:r>
          </w:p>
        </w:tc>
      </w:tr>
      <w:tr w:rsidR="001B7591" w:rsidRPr="001B53A8" w14:paraId="6AA5402A" w14:textId="77777777" w:rsidTr="00003F34">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6C9EEAE8" w14:textId="77777777" w:rsidR="001B7591" w:rsidRPr="001B53A8" w:rsidRDefault="001B7591" w:rsidP="00003F34">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27A6C416"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1B53A8">
              <w:rPr>
                <w:rFonts w:ascii="Times New Roman" w:hAnsi="Times New Roman" w:cs="Times New Roman"/>
                <w:sz w:val="20"/>
                <w:szCs w:val="20"/>
                <w:lang w:val="sr-Latn-BA"/>
              </w:rPr>
              <w:t>13.</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43BD58EF" w14:textId="5B5DDC8B"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Otvoreni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akcijski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investicioni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Jahorina</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koin</w:t>
            </w:r>
            <w:r w:rsidR="001B7591" w:rsidRPr="001B53A8">
              <w:rPr>
                <w:rFonts w:ascii="Times New Roman" w:eastAsia="Times New Roman" w:hAnsi="Times New Roman" w:cs="Times New Roman"/>
                <w:sz w:val="20"/>
                <w:szCs w:val="20"/>
                <w:lang w:val="sr-Latn-BA" w:eastAsia="sr-Latn-CS"/>
              </w:rPr>
              <w:t>“</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5209939A" w14:textId="6C5D390F"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04.11.2002. (</w:t>
            </w:r>
            <w:r w:rsidR="00003F34" w:rsidRPr="001B53A8">
              <w:rPr>
                <w:rFonts w:ascii="Times New Roman" w:eastAsia="Times New Roman" w:hAnsi="Times New Roman" w:cs="Times New Roman"/>
                <w:sz w:val="20"/>
                <w:szCs w:val="20"/>
                <w:lang w:val="sr-Latn-BA" w:eastAsia="sr-Latn-CS"/>
              </w:rPr>
              <w:t>PIF</w:t>
            </w:r>
            <w:r w:rsidRPr="001B53A8">
              <w:rPr>
                <w:rFonts w:ascii="Times New Roman" w:eastAsia="Times New Roman" w:hAnsi="Times New Roman" w:cs="Times New Roman"/>
                <w:sz w:val="20"/>
                <w:szCs w:val="20"/>
                <w:lang w:val="sr-Latn-BA" w:eastAsia="sr-Latn-CS"/>
              </w:rPr>
              <w:t>)</w:t>
            </w:r>
          </w:p>
          <w:p w14:paraId="54705F6C" w14:textId="1E260C52"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28.12.2007. (</w:t>
            </w:r>
            <w:r w:rsidR="00003F34" w:rsidRPr="001B53A8">
              <w:rPr>
                <w:rFonts w:ascii="Times New Roman" w:eastAsia="Times New Roman" w:hAnsi="Times New Roman" w:cs="Times New Roman"/>
                <w:sz w:val="20"/>
                <w:szCs w:val="20"/>
                <w:lang w:val="sr-Latn-BA" w:eastAsia="sr-Latn-CS"/>
              </w:rPr>
              <w:t>ZIF</w:t>
            </w:r>
            <w:r w:rsidRPr="001B53A8">
              <w:rPr>
                <w:rFonts w:ascii="Times New Roman" w:eastAsia="Times New Roman" w:hAnsi="Times New Roman" w:cs="Times New Roman"/>
                <w:sz w:val="20"/>
                <w:szCs w:val="20"/>
                <w:lang w:val="sr-Latn-BA" w:eastAsia="sr-Latn-CS"/>
              </w:rPr>
              <w:t>)</w:t>
            </w:r>
          </w:p>
          <w:p w14:paraId="7609A253" w14:textId="644B3FA2"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12.10.2018. (</w:t>
            </w:r>
            <w:r w:rsidR="00003F34" w:rsidRPr="001B53A8">
              <w:rPr>
                <w:rFonts w:ascii="Times New Roman" w:eastAsia="Times New Roman" w:hAnsi="Times New Roman" w:cs="Times New Roman"/>
                <w:sz w:val="20"/>
                <w:szCs w:val="20"/>
                <w:lang w:val="sr-Latn-BA" w:eastAsia="sr-Latn-CS"/>
              </w:rPr>
              <w:t>OAIF</w:t>
            </w:r>
            <w:r w:rsidRPr="001B53A8">
              <w:rPr>
                <w:rFonts w:ascii="Times New Roman" w:eastAsia="Times New Roman" w:hAnsi="Times New Roman" w:cs="Times New Roman"/>
                <w:sz w:val="20"/>
                <w:szCs w:val="20"/>
                <w:lang w:val="sr-Latn-BA" w:eastAsia="sr-Latn-CS"/>
              </w:rPr>
              <w:t>)</w:t>
            </w:r>
          </w:p>
        </w:tc>
      </w:tr>
      <w:tr w:rsidR="001B7591" w:rsidRPr="001B53A8" w14:paraId="30EA8603" w14:textId="77777777" w:rsidTr="00003F34">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C6D9F1" w:themeFill="text2" w:themeFillTint="33"/>
          </w:tcPr>
          <w:p w14:paraId="609B6864" w14:textId="77777777" w:rsidR="001B7591" w:rsidRPr="001B53A8" w:rsidRDefault="001B7591" w:rsidP="00003F34">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6.</w:t>
            </w:r>
          </w:p>
        </w:tc>
        <w:tc>
          <w:tcPr>
            <w:tcW w:w="5811"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C6D9F1" w:themeFill="text2" w:themeFillTint="33"/>
            <w:hideMark/>
          </w:tcPr>
          <w:p w14:paraId="4500BC10" w14:textId="15FFA7C9"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Naziv</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društva</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hAnsi="Times New Roman" w:cs="Times New Roman"/>
                <w:sz w:val="20"/>
                <w:szCs w:val="20"/>
                <w:lang w:val="sr-Latn-BA"/>
              </w:rPr>
              <w:t>DUIF</w:t>
            </w:r>
            <w:r w:rsidR="001B7591" w:rsidRPr="001B53A8">
              <w:rPr>
                <w:rFonts w:ascii="Times New Roman" w:hAnsi="Times New Roman" w:cs="Times New Roman"/>
                <w:sz w:val="20"/>
                <w:szCs w:val="20"/>
                <w:lang w:val="sr-Latn-BA"/>
              </w:rPr>
              <w:t xml:space="preserve"> "WVP Fund Management"</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w:t>
            </w:r>
            <w:r w:rsidR="001B7591" w:rsidRPr="001B53A8">
              <w:rPr>
                <w:rFonts w:ascii="Times New Roman" w:eastAsia="Times New Roman" w:hAnsi="Times New Roman" w:cs="Times New Roman"/>
                <w:sz w:val="20"/>
                <w:szCs w:val="20"/>
                <w:lang w:val="sr-Latn-BA" w:eastAsia="sr-Latn-CS"/>
              </w:rPr>
              <w:t>.</w:t>
            </w:r>
            <w:r w:rsidRPr="001B53A8">
              <w:rPr>
                <w:rFonts w:ascii="Times New Roman" w:eastAsia="Times New Roman" w:hAnsi="Times New Roman" w:cs="Times New Roman"/>
                <w:sz w:val="20"/>
                <w:szCs w:val="20"/>
                <w:lang w:val="sr-Latn-BA" w:eastAsia="sr-Latn-CS"/>
              </w:rPr>
              <w:t>d</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Banja</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Luka</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C6D9F1" w:themeFill="text2" w:themeFillTint="33"/>
            <w:vAlign w:val="bottom"/>
            <w:hideMark/>
          </w:tcPr>
          <w:p w14:paraId="483B95B1" w14:textId="469DD1CB"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 xml:space="preserve">03.06.2019. </w:t>
            </w:r>
            <w:r w:rsidR="00003F34" w:rsidRPr="001B53A8">
              <w:rPr>
                <w:rFonts w:ascii="Times New Roman" w:eastAsia="Times New Roman" w:hAnsi="Times New Roman" w:cs="Times New Roman"/>
                <w:sz w:val="20"/>
                <w:szCs w:val="20"/>
                <w:lang w:val="sr-Latn-BA" w:eastAsia="sr-Latn-CS"/>
              </w:rPr>
              <w:t>godine</w:t>
            </w:r>
          </w:p>
        </w:tc>
      </w:tr>
      <w:tr w:rsidR="001B7591" w:rsidRPr="001B53A8" w14:paraId="29BDD033" w14:textId="77777777" w:rsidTr="00003F34">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tcPr>
          <w:p w14:paraId="3023EB58" w14:textId="77777777" w:rsidR="001B7591" w:rsidRPr="001B53A8" w:rsidRDefault="001B7591" w:rsidP="00003F34">
            <w:pPr>
              <w:spacing w:after="0" w:line="240" w:lineRule="auto"/>
              <w:ind w:firstLine="0"/>
              <w:rPr>
                <w:rFonts w:ascii="Times New Roman" w:eastAsia="Times New Roman" w:hAnsi="Times New Roman" w:cs="Times New Roman"/>
                <w:sz w:val="20"/>
                <w:szCs w:val="20"/>
                <w:lang w:val="sr-Latn-BA" w:eastAsia="sr-Latn-CS"/>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hideMark/>
          </w:tcPr>
          <w:p w14:paraId="6D086908"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1B53A8">
              <w:rPr>
                <w:rFonts w:ascii="Times New Roman" w:hAnsi="Times New Roman" w:cs="Times New Roman"/>
                <w:sz w:val="20"/>
                <w:szCs w:val="20"/>
                <w:lang w:val="sr-Latn-BA"/>
              </w:rPr>
              <w:t>14.</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tcPr>
          <w:p w14:paraId="76B23E7B" w14:textId="0A731B15"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Otvoreni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akcijski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investicioni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w:t>
            </w:r>
            <w:r w:rsidR="001B7591" w:rsidRPr="001B53A8">
              <w:rPr>
                <w:rFonts w:ascii="Times New Roman" w:eastAsia="Times New Roman" w:hAnsi="Times New Roman" w:cs="Times New Roman"/>
                <w:sz w:val="20"/>
                <w:szCs w:val="20"/>
                <w:lang w:val="sr-Latn-BA" w:eastAsia="sr-Latn-CS"/>
              </w:rPr>
              <w:t xml:space="preserve"> </w:t>
            </w:r>
            <w:r w:rsidR="001B7591" w:rsidRPr="001B53A8">
              <w:rPr>
                <w:rFonts w:ascii="Times New Roman" w:hAnsi="Times New Roman"/>
                <w:sz w:val="20"/>
                <w:szCs w:val="20"/>
                <w:lang w:val="sr-Latn-BA"/>
              </w:rPr>
              <w:t xml:space="preserve"> „WVP Premium“</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vAlign w:val="bottom"/>
            <w:hideMark/>
          </w:tcPr>
          <w:p w14:paraId="2F13E826" w14:textId="31562DA3"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18.09.2019. (</w:t>
            </w:r>
            <w:r w:rsidR="00003F34" w:rsidRPr="001B53A8">
              <w:rPr>
                <w:rFonts w:ascii="Times New Roman" w:eastAsia="Times New Roman" w:hAnsi="Times New Roman" w:cs="Times New Roman"/>
                <w:sz w:val="20"/>
                <w:szCs w:val="20"/>
                <w:lang w:val="sr-Latn-BA" w:eastAsia="sr-Latn-CS"/>
              </w:rPr>
              <w:t>OAIF</w:t>
            </w:r>
            <w:r w:rsidRPr="001B53A8">
              <w:rPr>
                <w:rFonts w:ascii="Times New Roman" w:eastAsia="Times New Roman" w:hAnsi="Times New Roman" w:cs="Times New Roman"/>
                <w:sz w:val="20"/>
                <w:szCs w:val="20"/>
                <w:lang w:val="sr-Latn-BA" w:eastAsia="sr-Latn-CS"/>
              </w:rPr>
              <w:t>)</w:t>
            </w:r>
          </w:p>
        </w:tc>
      </w:tr>
      <w:tr w:rsidR="001B7591" w:rsidRPr="001B53A8" w14:paraId="149274F5" w14:textId="77777777" w:rsidTr="00003F34">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tcPr>
          <w:p w14:paraId="71E8F88F" w14:textId="77777777" w:rsidR="001B7591" w:rsidRPr="001B53A8" w:rsidRDefault="001B7591" w:rsidP="00003F34">
            <w:pPr>
              <w:spacing w:after="0" w:line="240" w:lineRule="auto"/>
              <w:ind w:firstLine="0"/>
              <w:rPr>
                <w:rFonts w:ascii="Times New Roman" w:eastAsia="Times New Roman" w:hAnsi="Times New Roman" w:cs="Times New Roman"/>
                <w:sz w:val="20"/>
                <w:szCs w:val="20"/>
                <w:lang w:val="sr-Latn-BA" w:eastAsia="sr-Latn-CS"/>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tcPr>
          <w:p w14:paraId="11948375"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1B53A8">
              <w:rPr>
                <w:rFonts w:ascii="Times New Roman" w:hAnsi="Times New Roman" w:cs="Times New Roman"/>
                <w:sz w:val="20"/>
                <w:szCs w:val="20"/>
                <w:lang w:val="sr-Latn-BA"/>
              </w:rPr>
              <w:t>15.</w:t>
            </w:r>
          </w:p>
        </w:tc>
        <w:tc>
          <w:tcPr>
            <w:tcW w:w="534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tcPr>
          <w:p w14:paraId="0983DC93" w14:textId="74D357CC" w:rsidR="001B7591" w:rsidRPr="001B53A8" w:rsidRDefault="00003F34" w:rsidP="00003F34">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Otvoreni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mješoviti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investicioni</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fond</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sa</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javnom</w:t>
            </w:r>
            <w:r w:rsidR="001B7591"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ponudom</w:t>
            </w:r>
            <w:r w:rsidR="001B7591" w:rsidRPr="001B53A8">
              <w:rPr>
                <w:rFonts w:ascii="Times New Roman" w:eastAsia="Times New Roman" w:hAnsi="Times New Roman" w:cs="Times New Roman"/>
                <w:sz w:val="20"/>
                <w:szCs w:val="20"/>
                <w:lang w:val="sr-Latn-BA" w:eastAsia="sr-Latn-CS"/>
              </w:rPr>
              <w:t xml:space="preserve"> „WVP BALANCED“.</w:t>
            </w:r>
          </w:p>
        </w:tc>
        <w:tc>
          <w:tcPr>
            <w:tcW w:w="311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vAlign w:val="bottom"/>
          </w:tcPr>
          <w:p w14:paraId="22B1A84E" w14:textId="77777777" w:rsidR="001B7591" w:rsidRPr="001B53A8" w:rsidRDefault="001B7591" w:rsidP="00003F34">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18.03.2022. (OMIF)</w:t>
            </w:r>
          </w:p>
        </w:tc>
      </w:tr>
    </w:tbl>
    <w:p w14:paraId="2C194E76" w14:textId="18E348EB" w:rsidR="006C5AE6" w:rsidRPr="001B53A8" w:rsidRDefault="00003F34" w:rsidP="006B6E0C">
      <w:pPr>
        <w:pStyle w:val="Caption"/>
        <w:tabs>
          <w:tab w:val="left" w:pos="1276"/>
        </w:tabs>
        <w:spacing w:after="0"/>
        <w:ind w:left="1276" w:hanging="1276"/>
        <w:jc w:val="both"/>
        <w:rPr>
          <w:rFonts w:ascii="Times New Roman" w:hAnsi="Times New Roman"/>
          <w:b w:val="0"/>
          <w:sz w:val="24"/>
          <w:szCs w:val="24"/>
          <w:lang w:val="sr-Latn-BA"/>
        </w:rPr>
      </w:pPr>
      <w:r w:rsidRPr="001B53A8">
        <w:rPr>
          <w:rFonts w:ascii="Times New Roman" w:hAnsi="Times New Roman"/>
          <w:sz w:val="24"/>
          <w:lang w:val="sr-Latn-BA"/>
        </w:rPr>
        <w:t>Tabela</w:t>
      </w:r>
      <w:r w:rsidR="00405E80" w:rsidRPr="001B53A8">
        <w:rPr>
          <w:rFonts w:ascii="Times New Roman" w:hAnsi="Times New Roman"/>
          <w:sz w:val="24"/>
          <w:lang w:val="sr-Latn-BA"/>
        </w:rPr>
        <w:t xml:space="preserve"> </w:t>
      </w:r>
      <w:r w:rsidR="00D3478F" w:rsidRPr="001B53A8">
        <w:rPr>
          <w:rFonts w:ascii="Times New Roman" w:hAnsi="Times New Roman"/>
          <w:sz w:val="24"/>
          <w:lang w:val="sr-Latn-BA"/>
        </w:rPr>
        <w:fldChar w:fldCharType="begin"/>
      </w:r>
      <w:r w:rsidR="00405E80" w:rsidRPr="001B53A8">
        <w:rPr>
          <w:rFonts w:ascii="Times New Roman" w:hAnsi="Times New Roman"/>
          <w:sz w:val="24"/>
          <w:lang w:val="sr-Latn-BA"/>
        </w:rPr>
        <w:instrText xml:space="preserve"> SEQ Табела \* ARABIC </w:instrText>
      </w:r>
      <w:r w:rsidR="00D3478F" w:rsidRPr="001B53A8">
        <w:rPr>
          <w:rFonts w:ascii="Times New Roman" w:hAnsi="Times New Roman"/>
          <w:sz w:val="24"/>
          <w:lang w:val="sr-Latn-BA"/>
        </w:rPr>
        <w:fldChar w:fldCharType="separate"/>
      </w:r>
      <w:r w:rsidR="001B7591" w:rsidRPr="001B53A8">
        <w:rPr>
          <w:rFonts w:ascii="Times New Roman" w:hAnsi="Times New Roman"/>
          <w:noProof/>
          <w:sz w:val="24"/>
          <w:lang w:val="sr-Latn-BA"/>
        </w:rPr>
        <w:t>13</w:t>
      </w:r>
      <w:r w:rsidR="00D3478F" w:rsidRPr="001B53A8">
        <w:rPr>
          <w:rFonts w:ascii="Times New Roman" w:hAnsi="Times New Roman"/>
          <w:sz w:val="24"/>
          <w:lang w:val="sr-Latn-BA"/>
        </w:rPr>
        <w:fldChar w:fldCharType="end"/>
      </w:r>
      <w:r w:rsidR="00405E80" w:rsidRPr="001B53A8">
        <w:rPr>
          <w:rFonts w:ascii="Times New Roman" w:hAnsi="Times New Roman"/>
          <w:sz w:val="24"/>
          <w:lang w:val="sr-Latn-BA"/>
        </w:rPr>
        <w:t>.</w:t>
      </w:r>
      <w:r w:rsidR="00405E80" w:rsidRPr="001B53A8">
        <w:rPr>
          <w:rFonts w:ascii="Times New Roman" w:hAnsi="Times New Roman"/>
          <w:sz w:val="36"/>
          <w:szCs w:val="24"/>
          <w:lang w:val="sr-Latn-BA"/>
        </w:rPr>
        <w:tab/>
      </w:r>
      <w:r w:rsidRPr="001B53A8">
        <w:rPr>
          <w:rFonts w:ascii="Times New Roman" w:hAnsi="Times New Roman"/>
          <w:b w:val="0"/>
          <w:sz w:val="24"/>
          <w:szCs w:val="24"/>
          <w:lang w:val="sr-Latn-BA"/>
        </w:rPr>
        <w:t>Pregled</w:t>
      </w:r>
      <w:r w:rsidR="006C5AE6"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društava</w:t>
      </w:r>
      <w:r w:rsidR="006C5AE6"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za</w:t>
      </w:r>
      <w:r w:rsidR="006C5AE6"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upravlјanje</w:t>
      </w:r>
      <w:r w:rsidR="006C5AE6"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investicionim</w:t>
      </w:r>
      <w:r w:rsidR="006C5AE6"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fondovima</w:t>
      </w:r>
      <w:r w:rsidR="006C5AE6"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i</w:t>
      </w:r>
      <w:r w:rsidR="006C5AE6"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investicionih</w:t>
      </w:r>
      <w:r w:rsidR="006C5AE6"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fondova</w:t>
      </w:r>
      <w:r w:rsidR="006C5AE6"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na</w:t>
      </w:r>
      <w:r w:rsidR="006C5AE6"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dan</w:t>
      </w:r>
      <w:r w:rsidR="006C5AE6" w:rsidRPr="001B53A8">
        <w:rPr>
          <w:rFonts w:ascii="Times New Roman" w:hAnsi="Times New Roman"/>
          <w:b w:val="0"/>
          <w:sz w:val="24"/>
          <w:szCs w:val="24"/>
          <w:lang w:val="sr-Latn-BA"/>
        </w:rPr>
        <w:t xml:space="preserve"> 31.12.</w:t>
      </w:r>
      <w:r w:rsidR="001B7591" w:rsidRPr="001B53A8">
        <w:rPr>
          <w:rFonts w:ascii="Times New Roman" w:hAnsi="Times New Roman"/>
          <w:b w:val="0"/>
          <w:sz w:val="24"/>
          <w:szCs w:val="24"/>
          <w:lang w:val="sr-Latn-BA"/>
        </w:rPr>
        <w:t>2023</w:t>
      </w:r>
      <w:r w:rsidR="006C5AE6"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godine</w:t>
      </w:r>
    </w:p>
    <w:p w14:paraId="751A5A3D" w14:textId="20D17C88" w:rsidR="001B7591" w:rsidRPr="001B53A8" w:rsidRDefault="00003F34" w:rsidP="001B7591">
      <w:pPr>
        <w:spacing w:after="0" w:line="240" w:lineRule="auto"/>
        <w:ind w:firstLine="567"/>
        <w:rPr>
          <w:highlight w:val="yellow"/>
          <w:lang w:val="sr-Latn-BA"/>
        </w:rPr>
      </w:pPr>
      <w:r w:rsidRPr="001B53A8">
        <w:rPr>
          <w:lang w:val="sr-Latn-BA"/>
        </w:rPr>
        <w:t>Dozvolu</w:t>
      </w:r>
      <w:r w:rsidR="001B7591" w:rsidRPr="001B53A8">
        <w:rPr>
          <w:lang w:val="sr-Latn-BA"/>
        </w:rPr>
        <w:t xml:space="preserve"> </w:t>
      </w:r>
      <w:r w:rsidRPr="001B53A8">
        <w:rPr>
          <w:lang w:val="sr-Latn-BA"/>
        </w:rPr>
        <w:t>za</w:t>
      </w:r>
      <w:r w:rsidR="001B7591" w:rsidRPr="001B53A8">
        <w:rPr>
          <w:lang w:val="sr-Latn-BA"/>
        </w:rPr>
        <w:t xml:space="preserve"> </w:t>
      </w:r>
      <w:r w:rsidRPr="001B53A8">
        <w:rPr>
          <w:lang w:val="sr-Latn-BA"/>
        </w:rPr>
        <w:t>upravlјanje</w:t>
      </w:r>
      <w:r w:rsidR="001B7591" w:rsidRPr="001B53A8">
        <w:rPr>
          <w:lang w:val="sr-Latn-BA"/>
        </w:rPr>
        <w:t xml:space="preserve"> </w:t>
      </w:r>
      <w:r w:rsidRPr="001B53A8">
        <w:rPr>
          <w:lang w:val="sr-Latn-BA"/>
        </w:rPr>
        <w:t>ima</w:t>
      </w:r>
      <w:r w:rsidR="001B7591" w:rsidRPr="001B53A8">
        <w:rPr>
          <w:lang w:val="sr-Latn-BA"/>
        </w:rPr>
        <w:t xml:space="preserve"> </w:t>
      </w:r>
      <w:r w:rsidRPr="001B53A8">
        <w:rPr>
          <w:lang w:val="sr-Latn-BA"/>
        </w:rPr>
        <w:t>šest</w:t>
      </w:r>
      <w:r w:rsidR="001B7591" w:rsidRPr="001B53A8">
        <w:rPr>
          <w:lang w:val="sr-Latn-BA"/>
        </w:rPr>
        <w:t xml:space="preserve"> </w:t>
      </w:r>
      <w:r w:rsidRPr="001B53A8">
        <w:rPr>
          <w:lang w:val="sr-Latn-BA"/>
        </w:rPr>
        <w:t>društava</w:t>
      </w:r>
      <w:r w:rsidR="001B7591" w:rsidRPr="001B53A8">
        <w:rPr>
          <w:lang w:val="sr-Latn-BA"/>
        </w:rPr>
        <w:t xml:space="preserve"> </w:t>
      </w:r>
      <w:r w:rsidRPr="001B53A8">
        <w:rPr>
          <w:lang w:val="sr-Latn-BA"/>
        </w:rPr>
        <w:t>za</w:t>
      </w:r>
      <w:r w:rsidR="001B7591" w:rsidRPr="001B53A8">
        <w:rPr>
          <w:lang w:val="sr-Latn-BA"/>
        </w:rPr>
        <w:t xml:space="preserve"> </w:t>
      </w:r>
      <w:r w:rsidRPr="001B53A8">
        <w:rPr>
          <w:lang w:val="sr-Latn-BA"/>
        </w:rPr>
        <w:t>upravlјanje</w:t>
      </w:r>
      <w:r w:rsidR="001B7591" w:rsidRPr="001B53A8">
        <w:rPr>
          <w:lang w:val="sr-Latn-BA"/>
        </w:rPr>
        <w:t xml:space="preserve">. </w:t>
      </w:r>
      <w:r w:rsidRPr="001B53A8">
        <w:rPr>
          <w:lang w:val="sr-Latn-BA"/>
        </w:rPr>
        <w:t>Što</w:t>
      </w:r>
      <w:r w:rsidR="001B7591" w:rsidRPr="001B53A8">
        <w:rPr>
          <w:lang w:val="sr-Latn-BA"/>
        </w:rPr>
        <w:t xml:space="preserve"> </w:t>
      </w:r>
      <w:r w:rsidRPr="001B53A8">
        <w:rPr>
          <w:lang w:val="sr-Latn-BA"/>
        </w:rPr>
        <w:t>se</w:t>
      </w:r>
      <w:r w:rsidR="001B7591" w:rsidRPr="001B53A8">
        <w:rPr>
          <w:lang w:val="sr-Latn-BA"/>
        </w:rPr>
        <w:t xml:space="preserve"> </w:t>
      </w:r>
      <w:r w:rsidRPr="001B53A8">
        <w:rPr>
          <w:lang w:val="sr-Latn-BA"/>
        </w:rPr>
        <w:t>tiče</w:t>
      </w:r>
      <w:r w:rsidR="001B7591" w:rsidRPr="001B53A8">
        <w:rPr>
          <w:lang w:val="sr-Latn-BA"/>
        </w:rPr>
        <w:t xml:space="preserve"> </w:t>
      </w:r>
      <w:r w:rsidRPr="001B53A8">
        <w:rPr>
          <w:lang w:val="sr-Latn-BA"/>
        </w:rPr>
        <w:t>vlasničke</w:t>
      </w:r>
      <w:r w:rsidR="001B7591" w:rsidRPr="001B53A8">
        <w:rPr>
          <w:lang w:val="sr-Latn-BA"/>
        </w:rPr>
        <w:t xml:space="preserve"> </w:t>
      </w:r>
      <w:r w:rsidRPr="001B53A8">
        <w:rPr>
          <w:lang w:val="sr-Latn-BA"/>
        </w:rPr>
        <w:t>strukture</w:t>
      </w:r>
      <w:r w:rsidR="001B7591" w:rsidRPr="001B53A8">
        <w:rPr>
          <w:lang w:val="sr-Latn-BA"/>
        </w:rPr>
        <w:t xml:space="preserve"> </w:t>
      </w:r>
      <w:r w:rsidRPr="001B53A8">
        <w:rPr>
          <w:lang w:val="sr-Latn-BA"/>
        </w:rPr>
        <w:t>društava</w:t>
      </w:r>
      <w:r w:rsidR="001B7591" w:rsidRPr="001B53A8">
        <w:rPr>
          <w:lang w:val="sr-Latn-BA"/>
        </w:rPr>
        <w:t xml:space="preserve"> </w:t>
      </w:r>
      <w:r w:rsidRPr="001B53A8">
        <w:rPr>
          <w:lang w:val="sr-Latn-BA"/>
        </w:rPr>
        <w:t>za</w:t>
      </w:r>
      <w:r w:rsidR="001B7591" w:rsidRPr="001B53A8">
        <w:rPr>
          <w:lang w:val="sr-Latn-BA"/>
        </w:rPr>
        <w:t xml:space="preserve"> </w:t>
      </w:r>
      <w:r w:rsidRPr="001B53A8">
        <w:rPr>
          <w:lang w:val="sr-Latn-BA"/>
        </w:rPr>
        <w:t>upravlјanje</w:t>
      </w:r>
      <w:r w:rsidR="001B7591" w:rsidRPr="001B53A8">
        <w:rPr>
          <w:lang w:val="sr-Latn-BA"/>
        </w:rPr>
        <w:t xml:space="preserve">, </w:t>
      </w:r>
      <w:r w:rsidRPr="001B53A8">
        <w:rPr>
          <w:lang w:val="sr-Latn-BA"/>
        </w:rPr>
        <w:t>jedno</w:t>
      </w:r>
      <w:r w:rsidR="001B7591" w:rsidRPr="001B53A8">
        <w:rPr>
          <w:lang w:val="sr-Latn-BA"/>
        </w:rPr>
        <w:t xml:space="preserve"> </w:t>
      </w:r>
      <w:r w:rsidRPr="001B53A8">
        <w:rPr>
          <w:lang w:val="sr-Latn-BA"/>
        </w:rPr>
        <w:t>društvo</w:t>
      </w:r>
      <w:r w:rsidR="001B7591" w:rsidRPr="001B53A8">
        <w:rPr>
          <w:lang w:val="sr-Latn-BA"/>
        </w:rPr>
        <w:t xml:space="preserve"> </w:t>
      </w:r>
      <w:r w:rsidRPr="001B53A8">
        <w:rPr>
          <w:lang w:val="sr-Latn-BA"/>
        </w:rPr>
        <w:t>je</w:t>
      </w:r>
      <w:r w:rsidR="001B7591" w:rsidRPr="001B53A8">
        <w:rPr>
          <w:lang w:val="sr-Latn-BA"/>
        </w:rPr>
        <w:t xml:space="preserve"> </w:t>
      </w:r>
      <w:r w:rsidRPr="001B53A8">
        <w:rPr>
          <w:lang w:val="sr-Latn-BA"/>
        </w:rPr>
        <w:t>u</w:t>
      </w:r>
      <w:r w:rsidR="001B7591" w:rsidRPr="001B53A8">
        <w:rPr>
          <w:lang w:val="sr-Latn-BA"/>
        </w:rPr>
        <w:t xml:space="preserve"> </w:t>
      </w:r>
      <w:r w:rsidRPr="001B53A8">
        <w:rPr>
          <w:lang w:val="sr-Latn-BA"/>
        </w:rPr>
        <w:t>vlasništvu</w:t>
      </w:r>
      <w:r w:rsidR="001B7591" w:rsidRPr="001B53A8">
        <w:rPr>
          <w:lang w:val="sr-Latn-BA"/>
        </w:rPr>
        <w:t xml:space="preserve"> </w:t>
      </w:r>
      <w:r w:rsidRPr="001B53A8">
        <w:rPr>
          <w:lang w:val="sr-Latn-BA"/>
        </w:rPr>
        <w:t>jednog</w:t>
      </w:r>
      <w:r w:rsidR="001B7591" w:rsidRPr="001B53A8">
        <w:rPr>
          <w:lang w:val="sr-Latn-BA"/>
        </w:rPr>
        <w:t xml:space="preserve"> </w:t>
      </w:r>
      <w:r w:rsidRPr="001B53A8">
        <w:rPr>
          <w:lang w:val="sr-Latn-BA"/>
        </w:rPr>
        <w:t>stranog</w:t>
      </w:r>
      <w:r w:rsidR="001B7591" w:rsidRPr="001B53A8">
        <w:rPr>
          <w:lang w:val="sr-Latn-BA"/>
        </w:rPr>
        <w:t xml:space="preserve"> </w:t>
      </w:r>
      <w:r w:rsidRPr="001B53A8">
        <w:rPr>
          <w:lang w:val="sr-Latn-BA"/>
        </w:rPr>
        <w:t>pravnog</w:t>
      </w:r>
      <w:r w:rsidR="001B7591" w:rsidRPr="001B53A8">
        <w:rPr>
          <w:lang w:val="sr-Latn-BA"/>
        </w:rPr>
        <w:t xml:space="preserve"> </w:t>
      </w:r>
      <w:r w:rsidRPr="001B53A8">
        <w:rPr>
          <w:lang w:val="sr-Latn-BA"/>
        </w:rPr>
        <w:t>lica</w:t>
      </w:r>
      <w:r w:rsidR="001B7591" w:rsidRPr="001B53A8">
        <w:rPr>
          <w:lang w:val="sr-Latn-BA"/>
        </w:rPr>
        <w:t xml:space="preserve">, </w:t>
      </w:r>
      <w:r w:rsidRPr="001B53A8">
        <w:rPr>
          <w:lang w:val="sr-Latn-BA"/>
        </w:rPr>
        <w:t>jedno</w:t>
      </w:r>
      <w:r w:rsidR="001B7591" w:rsidRPr="001B53A8">
        <w:rPr>
          <w:lang w:val="sr-Latn-BA"/>
        </w:rPr>
        <w:t xml:space="preserve"> </w:t>
      </w:r>
      <w:r w:rsidRPr="001B53A8">
        <w:rPr>
          <w:lang w:val="sr-Latn-BA"/>
        </w:rPr>
        <w:t>je</w:t>
      </w:r>
      <w:r w:rsidR="001B7591" w:rsidRPr="001B53A8">
        <w:rPr>
          <w:lang w:val="sr-Latn-BA"/>
        </w:rPr>
        <w:t xml:space="preserve"> </w:t>
      </w:r>
      <w:r w:rsidRPr="001B53A8">
        <w:rPr>
          <w:lang w:val="sr-Latn-BA"/>
        </w:rPr>
        <w:t>u</w:t>
      </w:r>
      <w:r w:rsidR="001B7591" w:rsidRPr="001B53A8">
        <w:rPr>
          <w:lang w:val="sr-Latn-BA"/>
        </w:rPr>
        <w:t xml:space="preserve"> </w:t>
      </w:r>
      <w:r w:rsidRPr="001B53A8">
        <w:rPr>
          <w:lang w:val="sr-Latn-BA"/>
        </w:rPr>
        <w:t>vlasništvu</w:t>
      </w:r>
      <w:r w:rsidR="001B7591" w:rsidRPr="001B53A8">
        <w:rPr>
          <w:lang w:val="sr-Latn-BA"/>
        </w:rPr>
        <w:t xml:space="preserve"> </w:t>
      </w:r>
      <w:r w:rsidRPr="001B53A8">
        <w:rPr>
          <w:lang w:val="sr-Latn-BA"/>
        </w:rPr>
        <w:t>jednog</w:t>
      </w:r>
      <w:r w:rsidR="001B7591" w:rsidRPr="001B53A8">
        <w:rPr>
          <w:lang w:val="sr-Latn-BA"/>
        </w:rPr>
        <w:t xml:space="preserve"> </w:t>
      </w:r>
      <w:r w:rsidRPr="001B53A8">
        <w:rPr>
          <w:lang w:val="sr-Latn-BA"/>
        </w:rPr>
        <w:t>domaćeg</w:t>
      </w:r>
      <w:r w:rsidR="001B7591" w:rsidRPr="001B53A8">
        <w:rPr>
          <w:lang w:val="sr-Latn-BA"/>
        </w:rPr>
        <w:t xml:space="preserve"> </w:t>
      </w:r>
      <w:r w:rsidRPr="001B53A8">
        <w:rPr>
          <w:lang w:val="sr-Latn-BA"/>
        </w:rPr>
        <w:t>fizičkog</w:t>
      </w:r>
      <w:r w:rsidR="001B7591" w:rsidRPr="001B53A8">
        <w:rPr>
          <w:lang w:val="sr-Latn-BA"/>
        </w:rPr>
        <w:t xml:space="preserve"> </w:t>
      </w:r>
      <w:r w:rsidRPr="001B53A8">
        <w:rPr>
          <w:lang w:val="sr-Latn-BA"/>
        </w:rPr>
        <w:t>lica</w:t>
      </w:r>
      <w:r w:rsidR="001B7591" w:rsidRPr="001B53A8">
        <w:rPr>
          <w:lang w:val="sr-Latn-BA"/>
        </w:rPr>
        <w:t xml:space="preserve">, </w:t>
      </w:r>
      <w:r w:rsidRPr="001B53A8">
        <w:rPr>
          <w:lang w:val="sr-Latn-BA"/>
        </w:rPr>
        <w:t>jedno</w:t>
      </w:r>
      <w:r w:rsidR="001B7591" w:rsidRPr="001B53A8">
        <w:rPr>
          <w:lang w:val="sr-Latn-BA"/>
        </w:rPr>
        <w:t xml:space="preserve"> </w:t>
      </w:r>
      <w:r w:rsidRPr="001B53A8">
        <w:rPr>
          <w:lang w:val="sr-Latn-BA"/>
        </w:rPr>
        <w:t>je</w:t>
      </w:r>
      <w:r w:rsidR="001B7591" w:rsidRPr="001B53A8">
        <w:rPr>
          <w:lang w:val="sr-Latn-BA"/>
        </w:rPr>
        <w:t xml:space="preserve"> </w:t>
      </w:r>
      <w:r w:rsidRPr="001B53A8">
        <w:rPr>
          <w:lang w:val="sr-Latn-BA"/>
        </w:rPr>
        <w:t>u</w:t>
      </w:r>
      <w:r w:rsidR="001B7591" w:rsidRPr="001B53A8">
        <w:rPr>
          <w:lang w:val="sr-Latn-BA"/>
        </w:rPr>
        <w:t xml:space="preserve"> </w:t>
      </w:r>
      <w:r w:rsidRPr="001B53A8">
        <w:rPr>
          <w:lang w:val="sr-Latn-BA"/>
        </w:rPr>
        <w:t>vlasništvu</w:t>
      </w:r>
      <w:r w:rsidR="001B7591" w:rsidRPr="001B53A8">
        <w:rPr>
          <w:lang w:val="sr-Latn-BA"/>
        </w:rPr>
        <w:t xml:space="preserve"> </w:t>
      </w:r>
      <w:r w:rsidRPr="001B53A8">
        <w:rPr>
          <w:lang w:val="sr-Latn-BA"/>
        </w:rPr>
        <w:t>stranih</w:t>
      </w:r>
      <w:r w:rsidR="001B7591" w:rsidRPr="001B53A8">
        <w:rPr>
          <w:lang w:val="sr-Latn-BA"/>
        </w:rPr>
        <w:t xml:space="preserve"> </w:t>
      </w:r>
      <w:r w:rsidRPr="001B53A8">
        <w:rPr>
          <w:lang w:val="sr-Latn-BA"/>
        </w:rPr>
        <w:t>pravnih</w:t>
      </w:r>
      <w:r w:rsidR="001B7591" w:rsidRPr="001B53A8">
        <w:rPr>
          <w:lang w:val="sr-Latn-BA"/>
        </w:rPr>
        <w:t xml:space="preserve"> </w:t>
      </w:r>
      <w:r w:rsidRPr="001B53A8">
        <w:rPr>
          <w:lang w:val="sr-Latn-BA"/>
        </w:rPr>
        <w:t>lica</w:t>
      </w:r>
      <w:r w:rsidR="001B7591" w:rsidRPr="001B53A8">
        <w:rPr>
          <w:lang w:val="sr-Latn-BA"/>
        </w:rPr>
        <w:t xml:space="preserve">, </w:t>
      </w:r>
      <w:r w:rsidRPr="001B53A8">
        <w:rPr>
          <w:lang w:val="sr-Latn-BA"/>
        </w:rPr>
        <w:t>tri</w:t>
      </w:r>
      <w:r w:rsidR="001B7591" w:rsidRPr="001B53A8">
        <w:rPr>
          <w:lang w:val="sr-Latn-BA"/>
        </w:rPr>
        <w:t xml:space="preserve"> </w:t>
      </w:r>
      <w:r w:rsidRPr="001B53A8">
        <w:rPr>
          <w:lang w:val="sr-Latn-BA"/>
        </w:rPr>
        <w:t>društva</w:t>
      </w:r>
      <w:r w:rsidR="001B7591" w:rsidRPr="001B53A8">
        <w:rPr>
          <w:lang w:val="sr-Latn-BA"/>
        </w:rPr>
        <w:t xml:space="preserve"> </w:t>
      </w:r>
      <w:r w:rsidRPr="001B53A8">
        <w:rPr>
          <w:lang w:val="sr-Latn-BA"/>
        </w:rPr>
        <w:t>su</w:t>
      </w:r>
      <w:r w:rsidR="001B7591" w:rsidRPr="001B53A8">
        <w:rPr>
          <w:lang w:val="sr-Latn-BA"/>
        </w:rPr>
        <w:t xml:space="preserve"> </w:t>
      </w:r>
      <w:r w:rsidRPr="001B53A8">
        <w:rPr>
          <w:lang w:val="sr-Latn-BA"/>
        </w:rPr>
        <w:t>u</w:t>
      </w:r>
      <w:r w:rsidR="00C547C0" w:rsidRPr="001B53A8">
        <w:rPr>
          <w:lang w:val="sr-Latn-BA"/>
        </w:rPr>
        <w:t xml:space="preserve"> </w:t>
      </w:r>
      <w:r w:rsidRPr="001B53A8">
        <w:rPr>
          <w:lang w:val="sr-Latn-BA"/>
        </w:rPr>
        <w:t>mješovitom</w:t>
      </w:r>
      <w:r w:rsidR="001B7591" w:rsidRPr="001B53A8">
        <w:rPr>
          <w:lang w:val="sr-Latn-BA"/>
        </w:rPr>
        <w:t xml:space="preserve"> </w:t>
      </w:r>
      <w:r w:rsidRPr="001B53A8">
        <w:rPr>
          <w:lang w:val="sr-Latn-BA"/>
        </w:rPr>
        <w:t>vlasništvu</w:t>
      </w:r>
      <w:r w:rsidR="001B7591" w:rsidRPr="001B53A8">
        <w:rPr>
          <w:lang w:val="sr-Latn-BA"/>
        </w:rPr>
        <w:t xml:space="preserve"> </w:t>
      </w:r>
      <w:r w:rsidRPr="001B53A8">
        <w:rPr>
          <w:lang w:val="sr-Latn-BA"/>
        </w:rPr>
        <w:t>domaćih</w:t>
      </w:r>
      <w:r w:rsidR="001B7591" w:rsidRPr="001B53A8">
        <w:rPr>
          <w:lang w:val="sr-Latn-BA"/>
        </w:rPr>
        <w:t xml:space="preserve"> </w:t>
      </w:r>
      <w:r w:rsidRPr="001B53A8">
        <w:rPr>
          <w:lang w:val="sr-Latn-BA"/>
        </w:rPr>
        <w:t>i</w:t>
      </w:r>
      <w:r w:rsidR="001B7591" w:rsidRPr="001B53A8">
        <w:rPr>
          <w:lang w:val="sr-Latn-BA"/>
        </w:rPr>
        <w:t xml:space="preserve"> </w:t>
      </w:r>
      <w:r w:rsidRPr="001B53A8">
        <w:rPr>
          <w:lang w:val="sr-Latn-BA"/>
        </w:rPr>
        <w:t>stranih</w:t>
      </w:r>
      <w:r w:rsidR="001B7591" w:rsidRPr="001B53A8">
        <w:rPr>
          <w:lang w:val="sr-Latn-BA"/>
        </w:rPr>
        <w:t xml:space="preserve"> </w:t>
      </w:r>
      <w:r w:rsidRPr="001B53A8">
        <w:rPr>
          <w:lang w:val="sr-Latn-BA"/>
        </w:rPr>
        <w:t>fizičkih</w:t>
      </w:r>
      <w:r w:rsidR="001B7591" w:rsidRPr="001B53A8">
        <w:rPr>
          <w:lang w:val="sr-Latn-BA"/>
        </w:rPr>
        <w:t xml:space="preserve"> </w:t>
      </w:r>
      <w:r w:rsidRPr="001B53A8">
        <w:rPr>
          <w:lang w:val="sr-Latn-BA"/>
        </w:rPr>
        <w:t>i</w:t>
      </w:r>
      <w:r w:rsidR="001B7591" w:rsidRPr="001B53A8">
        <w:rPr>
          <w:lang w:val="sr-Latn-BA"/>
        </w:rPr>
        <w:t xml:space="preserve"> </w:t>
      </w:r>
      <w:r w:rsidRPr="001B53A8">
        <w:rPr>
          <w:lang w:val="sr-Latn-BA"/>
        </w:rPr>
        <w:t>pravnih</w:t>
      </w:r>
      <w:r w:rsidR="001B7591" w:rsidRPr="001B53A8">
        <w:rPr>
          <w:lang w:val="sr-Latn-BA"/>
        </w:rPr>
        <w:t xml:space="preserve"> </w:t>
      </w:r>
      <w:r w:rsidRPr="001B53A8">
        <w:rPr>
          <w:lang w:val="sr-Latn-BA"/>
        </w:rPr>
        <w:t>lica</w:t>
      </w:r>
      <w:r w:rsidR="001B7591" w:rsidRPr="001B53A8">
        <w:rPr>
          <w:lang w:val="sr-Latn-BA"/>
        </w:rPr>
        <w:t>.</w:t>
      </w:r>
    </w:p>
    <w:p w14:paraId="447BA3BE" w14:textId="2FE35CC5" w:rsidR="001B7591" w:rsidRPr="001B53A8" w:rsidRDefault="00003F34" w:rsidP="001B7591">
      <w:pPr>
        <w:spacing w:after="0" w:line="240" w:lineRule="auto"/>
        <w:ind w:firstLine="567"/>
        <w:rPr>
          <w:lang w:val="sr-Latn-BA"/>
        </w:rPr>
      </w:pPr>
      <w:r w:rsidRPr="001B53A8">
        <w:rPr>
          <w:lang w:val="sr-Latn-BA"/>
        </w:rPr>
        <w:t>U</w:t>
      </w:r>
      <w:r w:rsidR="001B7591" w:rsidRPr="001B53A8">
        <w:rPr>
          <w:lang w:val="sr-Latn-BA"/>
        </w:rPr>
        <w:t xml:space="preserve"> </w:t>
      </w:r>
      <w:r w:rsidR="00652230" w:rsidRPr="001B53A8">
        <w:rPr>
          <w:lang w:val="sr-Latn-BA"/>
        </w:rPr>
        <w:t xml:space="preserve">2023. </w:t>
      </w:r>
      <w:r w:rsidRPr="001B53A8">
        <w:rPr>
          <w:lang w:val="sr-Latn-BA"/>
        </w:rPr>
        <w:t>godini</w:t>
      </w:r>
      <w:r w:rsidR="001B7591" w:rsidRPr="001B53A8">
        <w:rPr>
          <w:lang w:val="sr-Latn-BA"/>
        </w:rPr>
        <w:t xml:space="preserve"> </w:t>
      </w:r>
      <w:r w:rsidRPr="001B53A8">
        <w:rPr>
          <w:lang w:val="sr-Latn-BA"/>
        </w:rPr>
        <w:t>Komisija</w:t>
      </w:r>
      <w:r w:rsidR="001B7591" w:rsidRPr="001B53A8">
        <w:rPr>
          <w:lang w:val="sr-Latn-BA"/>
        </w:rPr>
        <w:t xml:space="preserve"> </w:t>
      </w:r>
      <w:r w:rsidRPr="001B53A8">
        <w:rPr>
          <w:lang w:val="sr-Latn-BA"/>
        </w:rPr>
        <w:t>je</w:t>
      </w:r>
      <w:r w:rsidR="001B7591" w:rsidRPr="001B53A8">
        <w:rPr>
          <w:lang w:val="sr-Latn-BA"/>
        </w:rPr>
        <w:t xml:space="preserve"> </w:t>
      </w:r>
      <w:r w:rsidRPr="001B53A8">
        <w:rPr>
          <w:lang w:val="sr-Latn-BA"/>
        </w:rPr>
        <w:t>donijela</w:t>
      </w:r>
      <w:r w:rsidR="001B7591" w:rsidRPr="001B53A8">
        <w:rPr>
          <w:lang w:val="sr-Latn-BA"/>
        </w:rPr>
        <w:t xml:space="preserve"> </w:t>
      </w:r>
      <w:r w:rsidRPr="001B53A8">
        <w:rPr>
          <w:lang w:val="sr-Latn-BA"/>
        </w:rPr>
        <w:t>rješenje</w:t>
      </w:r>
      <w:r w:rsidR="001B7591" w:rsidRPr="001B53A8">
        <w:rPr>
          <w:lang w:val="sr-Latn-BA"/>
        </w:rPr>
        <w:t xml:space="preserve"> </w:t>
      </w:r>
      <w:r w:rsidRPr="001B53A8">
        <w:rPr>
          <w:lang w:val="sr-Latn-BA"/>
        </w:rPr>
        <w:t>kojim</w:t>
      </w:r>
      <w:r w:rsidR="001B7591" w:rsidRPr="001B53A8">
        <w:rPr>
          <w:lang w:val="sr-Latn-BA"/>
        </w:rPr>
        <w:t xml:space="preserve"> </w:t>
      </w:r>
      <w:r w:rsidRPr="001B53A8">
        <w:rPr>
          <w:lang w:val="sr-Latn-BA"/>
        </w:rPr>
        <w:t>se</w:t>
      </w:r>
      <w:r w:rsidR="001B7591" w:rsidRPr="001B53A8">
        <w:rPr>
          <w:lang w:val="sr-Latn-BA"/>
        </w:rPr>
        <w:t xml:space="preserve"> </w:t>
      </w:r>
      <w:r w:rsidRPr="001B53A8">
        <w:rPr>
          <w:lang w:val="sr-Latn-BA"/>
        </w:rPr>
        <w:t>DUIF</w:t>
      </w:r>
      <w:r w:rsidR="001B7591" w:rsidRPr="001B53A8">
        <w:rPr>
          <w:lang w:val="sr-Latn-BA"/>
        </w:rPr>
        <w:t xml:space="preserve"> „Management Solutions“ </w:t>
      </w:r>
      <w:r w:rsidRPr="001B53A8">
        <w:rPr>
          <w:lang w:val="sr-Latn-BA"/>
        </w:rPr>
        <w:t>d</w:t>
      </w:r>
      <w:r w:rsidR="001B7591" w:rsidRPr="001B53A8">
        <w:rPr>
          <w:lang w:val="sr-Latn-BA"/>
        </w:rPr>
        <w:t>.</w:t>
      </w:r>
      <w:r w:rsidRPr="001B53A8">
        <w:rPr>
          <w:lang w:val="sr-Latn-BA"/>
        </w:rPr>
        <w:t>o</w:t>
      </w:r>
      <w:r w:rsidR="001B7591" w:rsidRPr="001B53A8">
        <w:rPr>
          <w:lang w:val="sr-Latn-BA"/>
        </w:rPr>
        <w:t>.</w:t>
      </w:r>
      <w:r w:rsidRPr="001B53A8">
        <w:rPr>
          <w:lang w:val="sr-Latn-BA"/>
        </w:rPr>
        <w:t>o</w:t>
      </w:r>
      <w:r w:rsidR="001B7591" w:rsidRPr="001B53A8">
        <w:rPr>
          <w:lang w:val="sr-Latn-BA"/>
        </w:rPr>
        <w:t xml:space="preserve">. </w:t>
      </w:r>
      <w:r w:rsidRPr="001B53A8">
        <w:rPr>
          <w:lang w:val="sr-Latn-BA"/>
        </w:rPr>
        <w:t>Banja</w:t>
      </w:r>
      <w:r w:rsidR="001B7591" w:rsidRPr="001B53A8">
        <w:rPr>
          <w:lang w:val="sr-Latn-BA"/>
        </w:rPr>
        <w:t xml:space="preserve"> </w:t>
      </w:r>
      <w:r w:rsidRPr="001B53A8">
        <w:rPr>
          <w:lang w:val="sr-Latn-BA"/>
        </w:rPr>
        <w:t>Luka</w:t>
      </w:r>
      <w:r w:rsidR="001B7591" w:rsidRPr="001B53A8">
        <w:rPr>
          <w:lang w:val="sr-Latn-BA"/>
        </w:rPr>
        <w:t xml:space="preserve"> </w:t>
      </w:r>
      <w:r w:rsidRPr="001B53A8">
        <w:rPr>
          <w:lang w:val="sr-Latn-BA"/>
        </w:rPr>
        <w:t>daje</w:t>
      </w:r>
      <w:r w:rsidR="001B7591" w:rsidRPr="001B53A8">
        <w:rPr>
          <w:lang w:val="sr-Latn-BA"/>
        </w:rPr>
        <w:t xml:space="preserve"> </w:t>
      </w:r>
      <w:r w:rsidRPr="001B53A8">
        <w:rPr>
          <w:lang w:val="sr-Latn-BA"/>
        </w:rPr>
        <w:t>dozvole</w:t>
      </w:r>
      <w:r w:rsidR="001B7591" w:rsidRPr="001B53A8">
        <w:rPr>
          <w:lang w:val="sr-Latn-BA"/>
        </w:rPr>
        <w:t xml:space="preserve"> </w:t>
      </w:r>
      <w:r w:rsidRPr="001B53A8">
        <w:rPr>
          <w:lang w:val="sr-Latn-BA"/>
        </w:rPr>
        <w:t>za</w:t>
      </w:r>
      <w:r w:rsidR="001B7591" w:rsidRPr="001B53A8">
        <w:rPr>
          <w:lang w:val="sr-Latn-BA"/>
        </w:rPr>
        <w:t xml:space="preserve"> </w:t>
      </w:r>
      <w:r w:rsidRPr="001B53A8">
        <w:rPr>
          <w:lang w:val="sr-Latn-BA"/>
        </w:rPr>
        <w:t>osnivanje</w:t>
      </w:r>
      <w:r w:rsidR="001B7591" w:rsidRPr="001B53A8">
        <w:rPr>
          <w:lang w:val="sr-Latn-BA"/>
        </w:rPr>
        <w:t xml:space="preserve"> </w:t>
      </w:r>
      <w:r w:rsidRPr="001B53A8">
        <w:rPr>
          <w:lang w:val="sr-Latn-BA"/>
        </w:rPr>
        <w:t>i</w:t>
      </w:r>
      <w:r w:rsidR="001B7591" w:rsidRPr="001B53A8">
        <w:rPr>
          <w:lang w:val="sr-Latn-BA"/>
        </w:rPr>
        <w:t xml:space="preserve"> </w:t>
      </w:r>
      <w:r w:rsidRPr="001B53A8">
        <w:rPr>
          <w:lang w:val="sr-Latn-BA"/>
        </w:rPr>
        <w:t>upravlјanje</w:t>
      </w:r>
      <w:r w:rsidR="001B7591" w:rsidRPr="001B53A8">
        <w:rPr>
          <w:lang w:val="sr-Latn-BA"/>
        </w:rPr>
        <w:t xml:space="preserve"> </w:t>
      </w:r>
      <w:r w:rsidRPr="001B53A8">
        <w:rPr>
          <w:lang w:val="sr-Latn-BA"/>
        </w:rPr>
        <w:t>OAIF</w:t>
      </w:r>
      <w:r w:rsidR="001B7591" w:rsidRPr="001B53A8">
        <w:rPr>
          <w:lang w:val="sr-Latn-BA"/>
        </w:rPr>
        <w:t xml:space="preserve"> „MS Global Equity“.</w:t>
      </w:r>
      <w:r w:rsidR="00652230" w:rsidRPr="001B53A8">
        <w:rPr>
          <w:lang w:val="sr-Latn-BA"/>
        </w:rPr>
        <w:t xml:space="preserve"> </w:t>
      </w:r>
      <w:r w:rsidRPr="001B53A8">
        <w:rPr>
          <w:lang w:val="sr-Latn-BA"/>
        </w:rPr>
        <w:t>Takođe</w:t>
      </w:r>
      <w:r w:rsidR="001B7591" w:rsidRPr="001B53A8">
        <w:rPr>
          <w:lang w:val="sr-Latn-BA"/>
        </w:rPr>
        <w:t xml:space="preserve">, </w:t>
      </w:r>
      <w:r w:rsidRPr="001B53A8">
        <w:rPr>
          <w:lang w:val="sr-Latn-BA"/>
        </w:rPr>
        <w:t>Komisija</w:t>
      </w:r>
      <w:r w:rsidR="001B7591" w:rsidRPr="001B53A8">
        <w:rPr>
          <w:lang w:val="sr-Latn-BA"/>
        </w:rPr>
        <w:t xml:space="preserve"> </w:t>
      </w:r>
      <w:r w:rsidRPr="001B53A8">
        <w:rPr>
          <w:lang w:val="sr-Latn-BA"/>
        </w:rPr>
        <w:t>je</w:t>
      </w:r>
      <w:r w:rsidR="001B7591" w:rsidRPr="001B53A8">
        <w:rPr>
          <w:lang w:val="sr-Latn-BA"/>
        </w:rPr>
        <w:t xml:space="preserve"> </w:t>
      </w:r>
      <w:r w:rsidRPr="001B53A8">
        <w:rPr>
          <w:lang w:val="sr-Latn-BA"/>
        </w:rPr>
        <w:t>donijela</w:t>
      </w:r>
      <w:r w:rsidR="001B7591" w:rsidRPr="001B53A8">
        <w:rPr>
          <w:lang w:val="sr-Latn-BA"/>
        </w:rPr>
        <w:t xml:space="preserve"> </w:t>
      </w:r>
      <w:r w:rsidRPr="001B53A8">
        <w:rPr>
          <w:lang w:val="sr-Latn-BA"/>
        </w:rPr>
        <w:t>rješenje</w:t>
      </w:r>
      <w:r w:rsidR="001B7591" w:rsidRPr="001B53A8">
        <w:rPr>
          <w:lang w:val="sr-Latn-BA"/>
        </w:rPr>
        <w:t xml:space="preserve"> </w:t>
      </w:r>
      <w:r w:rsidRPr="001B53A8">
        <w:rPr>
          <w:lang w:val="sr-Latn-BA"/>
        </w:rPr>
        <w:t>kojim</w:t>
      </w:r>
      <w:r w:rsidR="001B7591" w:rsidRPr="001B53A8">
        <w:rPr>
          <w:lang w:val="sr-Latn-BA"/>
        </w:rPr>
        <w:t xml:space="preserve"> </w:t>
      </w:r>
      <w:r w:rsidRPr="001B53A8">
        <w:rPr>
          <w:lang w:val="sr-Latn-BA"/>
        </w:rPr>
        <w:t>se</w:t>
      </w:r>
      <w:r w:rsidR="001B7591" w:rsidRPr="001B53A8">
        <w:rPr>
          <w:lang w:val="sr-Latn-BA"/>
        </w:rPr>
        <w:t xml:space="preserve"> </w:t>
      </w:r>
      <w:r w:rsidRPr="001B53A8">
        <w:rPr>
          <w:lang w:val="sr-Latn-BA"/>
        </w:rPr>
        <w:t>ovom</w:t>
      </w:r>
      <w:r w:rsidR="00652230" w:rsidRPr="001B53A8">
        <w:rPr>
          <w:lang w:val="sr-Latn-BA"/>
        </w:rPr>
        <w:t xml:space="preserve"> </w:t>
      </w:r>
      <w:r w:rsidRPr="001B53A8">
        <w:rPr>
          <w:lang w:val="sr-Latn-BA"/>
        </w:rPr>
        <w:t>društvu</w:t>
      </w:r>
      <w:r w:rsidR="001B7591" w:rsidRPr="001B53A8">
        <w:rPr>
          <w:lang w:val="sr-Latn-BA"/>
        </w:rPr>
        <w:t xml:space="preserve"> </w:t>
      </w:r>
      <w:r w:rsidRPr="001B53A8">
        <w:rPr>
          <w:lang w:val="sr-Latn-BA"/>
        </w:rPr>
        <w:t>daje</w:t>
      </w:r>
      <w:r w:rsidR="001B7591" w:rsidRPr="001B53A8">
        <w:rPr>
          <w:lang w:val="sr-Latn-BA"/>
        </w:rPr>
        <w:t xml:space="preserve"> </w:t>
      </w:r>
      <w:r w:rsidRPr="001B53A8">
        <w:rPr>
          <w:lang w:val="sr-Latn-BA"/>
        </w:rPr>
        <w:t>dozvole</w:t>
      </w:r>
      <w:r w:rsidR="001B7591" w:rsidRPr="001B53A8">
        <w:rPr>
          <w:lang w:val="sr-Latn-BA"/>
        </w:rPr>
        <w:t xml:space="preserve"> </w:t>
      </w:r>
      <w:r w:rsidRPr="001B53A8">
        <w:rPr>
          <w:lang w:val="sr-Latn-BA"/>
        </w:rPr>
        <w:t>za</w:t>
      </w:r>
      <w:r w:rsidR="001B7591" w:rsidRPr="001B53A8">
        <w:rPr>
          <w:lang w:val="sr-Latn-BA"/>
        </w:rPr>
        <w:t xml:space="preserve"> </w:t>
      </w:r>
      <w:r w:rsidRPr="001B53A8">
        <w:rPr>
          <w:lang w:val="sr-Latn-BA"/>
        </w:rPr>
        <w:t>obavlјanje</w:t>
      </w:r>
      <w:r w:rsidR="001B7591" w:rsidRPr="001B53A8">
        <w:rPr>
          <w:lang w:val="sr-Latn-BA"/>
        </w:rPr>
        <w:t xml:space="preserve"> </w:t>
      </w:r>
      <w:r w:rsidRPr="001B53A8">
        <w:rPr>
          <w:lang w:val="sr-Latn-BA"/>
        </w:rPr>
        <w:t>djelatnosti</w:t>
      </w:r>
      <w:r w:rsidR="001B7591" w:rsidRPr="001B53A8">
        <w:rPr>
          <w:lang w:val="sr-Latn-BA"/>
        </w:rPr>
        <w:t xml:space="preserve"> </w:t>
      </w:r>
      <w:r w:rsidRPr="001B53A8">
        <w:rPr>
          <w:lang w:val="sr-Latn-BA"/>
        </w:rPr>
        <w:t>osnivanja</w:t>
      </w:r>
      <w:r w:rsidR="001B7591" w:rsidRPr="001B53A8">
        <w:rPr>
          <w:lang w:val="sr-Latn-BA"/>
        </w:rPr>
        <w:t xml:space="preserve"> </w:t>
      </w:r>
      <w:r w:rsidRPr="001B53A8">
        <w:rPr>
          <w:lang w:val="sr-Latn-BA"/>
        </w:rPr>
        <w:t>i</w:t>
      </w:r>
      <w:r w:rsidR="001B7591" w:rsidRPr="001B53A8">
        <w:rPr>
          <w:lang w:val="sr-Latn-BA"/>
        </w:rPr>
        <w:t xml:space="preserve"> </w:t>
      </w:r>
      <w:r w:rsidRPr="001B53A8">
        <w:rPr>
          <w:lang w:val="sr-Latn-BA"/>
        </w:rPr>
        <w:t>upravlјanja</w:t>
      </w:r>
      <w:r w:rsidR="001B7591" w:rsidRPr="001B53A8">
        <w:rPr>
          <w:lang w:val="sr-Latn-BA"/>
        </w:rPr>
        <w:t xml:space="preserve"> </w:t>
      </w:r>
      <w:r w:rsidRPr="001B53A8">
        <w:rPr>
          <w:lang w:val="sr-Latn-BA"/>
        </w:rPr>
        <w:t>alternativnim</w:t>
      </w:r>
      <w:r w:rsidR="001B7591" w:rsidRPr="001B53A8">
        <w:rPr>
          <w:lang w:val="sr-Latn-BA"/>
        </w:rPr>
        <w:t xml:space="preserve"> </w:t>
      </w:r>
      <w:r w:rsidRPr="001B53A8">
        <w:rPr>
          <w:lang w:val="sr-Latn-BA"/>
        </w:rPr>
        <w:t>investicionim</w:t>
      </w:r>
      <w:r w:rsidR="001B7591" w:rsidRPr="001B53A8">
        <w:rPr>
          <w:lang w:val="sr-Latn-BA"/>
        </w:rPr>
        <w:t xml:space="preserve"> </w:t>
      </w:r>
      <w:r w:rsidRPr="001B53A8">
        <w:rPr>
          <w:lang w:val="sr-Latn-BA"/>
        </w:rPr>
        <w:t>fondovima</w:t>
      </w:r>
      <w:r w:rsidR="001B7591" w:rsidRPr="001B53A8">
        <w:rPr>
          <w:lang w:val="sr-Latn-BA"/>
        </w:rPr>
        <w:t xml:space="preserve"> </w:t>
      </w:r>
      <w:r w:rsidRPr="001B53A8">
        <w:rPr>
          <w:lang w:val="sr-Latn-BA"/>
        </w:rPr>
        <w:t>te</w:t>
      </w:r>
      <w:r w:rsidR="001B7591" w:rsidRPr="001B53A8">
        <w:rPr>
          <w:lang w:val="sr-Latn-BA"/>
        </w:rPr>
        <w:t xml:space="preserve"> </w:t>
      </w:r>
      <w:r w:rsidRPr="001B53A8">
        <w:rPr>
          <w:lang w:val="sr-Latn-BA"/>
        </w:rPr>
        <w:t>je</w:t>
      </w:r>
      <w:r w:rsidR="001B7591" w:rsidRPr="001B53A8">
        <w:rPr>
          <w:lang w:val="sr-Latn-BA"/>
        </w:rPr>
        <w:t xml:space="preserve"> </w:t>
      </w:r>
      <w:r w:rsidRPr="001B53A8">
        <w:rPr>
          <w:lang w:val="sr-Latn-BA"/>
        </w:rPr>
        <w:t>data</w:t>
      </w:r>
      <w:r w:rsidR="001B7591" w:rsidRPr="001B53A8">
        <w:rPr>
          <w:lang w:val="sr-Latn-BA"/>
        </w:rPr>
        <w:t xml:space="preserve"> </w:t>
      </w:r>
      <w:r w:rsidRPr="001B53A8">
        <w:rPr>
          <w:lang w:val="sr-Latn-BA"/>
        </w:rPr>
        <w:t>saglasnost</w:t>
      </w:r>
      <w:r w:rsidR="001B7591" w:rsidRPr="001B53A8">
        <w:rPr>
          <w:lang w:val="sr-Latn-BA"/>
        </w:rPr>
        <w:t xml:space="preserve"> </w:t>
      </w:r>
      <w:r w:rsidRPr="001B53A8">
        <w:rPr>
          <w:lang w:val="sr-Latn-BA"/>
        </w:rPr>
        <w:t>na</w:t>
      </w:r>
      <w:r w:rsidR="001B7591" w:rsidRPr="001B53A8">
        <w:rPr>
          <w:lang w:val="sr-Latn-BA"/>
        </w:rPr>
        <w:t xml:space="preserve"> </w:t>
      </w:r>
      <w:r w:rsidRPr="001B53A8">
        <w:rPr>
          <w:lang w:val="sr-Latn-BA"/>
        </w:rPr>
        <w:t>izmjene</w:t>
      </w:r>
      <w:r w:rsidR="001B7591" w:rsidRPr="001B53A8">
        <w:rPr>
          <w:lang w:val="sr-Latn-BA"/>
        </w:rPr>
        <w:t xml:space="preserve"> </w:t>
      </w:r>
      <w:r w:rsidRPr="001B53A8">
        <w:rPr>
          <w:lang w:val="sr-Latn-BA"/>
        </w:rPr>
        <w:t>i</w:t>
      </w:r>
      <w:r w:rsidR="001B7591" w:rsidRPr="001B53A8">
        <w:rPr>
          <w:lang w:val="sr-Latn-BA"/>
        </w:rPr>
        <w:t xml:space="preserve"> </w:t>
      </w:r>
      <w:r w:rsidRPr="001B53A8">
        <w:rPr>
          <w:lang w:val="sr-Latn-BA"/>
        </w:rPr>
        <w:t>dopune</w:t>
      </w:r>
      <w:r w:rsidR="001B7591" w:rsidRPr="001B53A8">
        <w:rPr>
          <w:lang w:val="sr-Latn-BA"/>
        </w:rPr>
        <w:t xml:space="preserve"> </w:t>
      </w:r>
      <w:r w:rsidRPr="001B53A8">
        <w:rPr>
          <w:lang w:val="sr-Latn-BA"/>
        </w:rPr>
        <w:t>odluke</w:t>
      </w:r>
      <w:r w:rsidR="001B7591" w:rsidRPr="001B53A8">
        <w:rPr>
          <w:lang w:val="sr-Latn-BA"/>
        </w:rPr>
        <w:t xml:space="preserve"> </w:t>
      </w:r>
      <w:r w:rsidRPr="001B53A8">
        <w:rPr>
          <w:lang w:val="sr-Latn-BA"/>
        </w:rPr>
        <w:t>o</w:t>
      </w:r>
      <w:r w:rsidR="001B7591" w:rsidRPr="001B53A8">
        <w:rPr>
          <w:lang w:val="sr-Latn-BA"/>
        </w:rPr>
        <w:t xml:space="preserve"> </w:t>
      </w:r>
      <w:r w:rsidRPr="001B53A8">
        <w:rPr>
          <w:lang w:val="sr-Latn-BA"/>
        </w:rPr>
        <w:t>osnivanju</w:t>
      </w:r>
      <w:r w:rsidR="001B7591" w:rsidRPr="001B53A8">
        <w:rPr>
          <w:lang w:val="sr-Latn-BA"/>
        </w:rPr>
        <w:t xml:space="preserve"> </w:t>
      </w:r>
      <w:r w:rsidRPr="001B53A8">
        <w:rPr>
          <w:lang w:val="sr-Latn-BA"/>
        </w:rPr>
        <w:t>i</w:t>
      </w:r>
      <w:r w:rsidR="001B7591" w:rsidRPr="001B53A8">
        <w:rPr>
          <w:lang w:val="sr-Latn-BA"/>
        </w:rPr>
        <w:t xml:space="preserve"> </w:t>
      </w:r>
      <w:r w:rsidRPr="001B53A8">
        <w:rPr>
          <w:lang w:val="sr-Latn-BA"/>
        </w:rPr>
        <w:t>izmjene</w:t>
      </w:r>
      <w:r w:rsidR="001B7591" w:rsidRPr="001B53A8">
        <w:rPr>
          <w:lang w:val="sr-Latn-BA"/>
        </w:rPr>
        <w:t xml:space="preserve"> </w:t>
      </w:r>
      <w:r w:rsidRPr="001B53A8">
        <w:rPr>
          <w:lang w:val="sr-Latn-BA"/>
        </w:rPr>
        <w:t>i</w:t>
      </w:r>
      <w:r w:rsidR="001B7591" w:rsidRPr="001B53A8">
        <w:rPr>
          <w:lang w:val="sr-Latn-BA"/>
        </w:rPr>
        <w:t xml:space="preserve"> </w:t>
      </w:r>
      <w:r w:rsidRPr="001B53A8">
        <w:rPr>
          <w:lang w:val="sr-Latn-BA"/>
        </w:rPr>
        <w:t>dopune</w:t>
      </w:r>
      <w:r w:rsidR="001B7591" w:rsidRPr="001B53A8">
        <w:rPr>
          <w:lang w:val="sr-Latn-BA"/>
        </w:rPr>
        <w:t xml:space="preserve"> </w:t>
      </w:r>
      <w:r w:rsidRPr="001B53A8">
        <w:rPr>
          <w:lang w:val="sr-Latn-BA"/>
        </w:rPr>
        <w:t>pravila</w:t>
      </w:r>
      <w:r w:rsidR="001B7591" w:rsidRPr="001B53A8">
        <w:rPr>
          <w:lang w:val="sr-Latn-BA"/>
        </w:rPr>
        <w:t xml:space="preserve"> </w:t>
      </w:r>
      <w:r w:rsidRPr="001B53A8">
        <w:rPr>
          <w:lang w:val="sr-Latn-BA"/>
        </w:rPr>
        <w:t>poslovanja</w:t>
      </w:r>
      <w:r w:rsidR="001B7591" w:rsidRPr="001B53A8">
        <w:rPr>
          <w:lang w:val="sr-Latn-BA"/>
        </w:rPr>
        <w:t xml:space="preserve"> </w:t>
      </w:r>
      <w:r w:rsidRPr="001B53A8">
        <w:rPr>
          <w:lang w:val="sr-Latn-BA"/>
        </w:rPr>
        <w:t>navedenog</w:t>
      </w:r>
      <w:r w:rsidR="001B7591" w:rsidRPr="001B53A8">
        <w:rPr>
          <w:lang w:val="sr-Latn-BA"/>
        </w:rPr>
        <w:t xml:space="preserve"> </w:t>
      </w:r>
      <w:r w:rsidRPr="001B53A8">
        <w:rPr>
          <w:lang w:val="sr-Latn-BA"/>
        </w:rPr>
        <w:t>društva</w:t>
      </w:r>
      <w:r w:rsidR="001B7591" w:rsidRPr="001B53A8">
        <w:rPr>
          <w:lang w:val="sr-Latn-BA"/>
        </w:rPr>
        <w:t xml:space="preserve">. </w:t>
      </w:r>
    </w:p>
    <w:p w14:paraId="4633C488" w14:textId="176D71FB" w:rsidR="001B7591" w:rsidRPr="001B53A8" w:rsidRDefault="00003F34" w:rsidP="001B7591">
      <w:pPr>
        <w:spacing w:after="0" w:line="240" w:lineRule="auto"/>
        <w:ind w:firstLine="567"/>
        <w:rPr>
          <w:highlight w:val="yellow"/>
          <w:lang w:val="sr-Latn-BA"/>
        </w:rPr>
      </w:pPr>
      <w:r w:rsidRPr="001B53A8">
        <w:rPr>
          <w:lang w:val="sr-Latn-BA"/>
        </w:rPr>
        <w:t>U</w:t>
      </w:r>
      <w:r w:rsidR="00652230" w:rsidRPr="001B53A8">
        <w:rPr>
          <w:lang w:val="sr-Latn-BA"/>
        </w:rPr>
        <w:t xml:space="preserve"> 2023. </w:t>
      </w:r>
      <w:r w:rsidRPr="001B53A8">
        <w:rPr>
          <w:lang w:val="sr-Latn-BA"/>
        </w:rPr>
        <w:t>godini</w:t>
      </w:r>
      <w:r w:rsidR="00652230" w:rsidRPr="001B53A8">
        <w:rPr>
          <w:lang w:val="sr-Latn-BA"/>
        </w:rPr>
        <w:t xml:space="preserve"> </w:t>
      </w:r>
      <w:r w:rsidRPr="001B53A8">
        <w:rPr>
          <w:lang w:val="sr-Latn-BA"/>
        </w:rPr>
        <w:t>Komisija</w:t>
      </w:r>
      <w:r w:rsidR="00652230" w:rsidRPr="001B53A8">
        <w:rPr>
          <w:lang w:val="sr-Latn-BA"/>
        </w:rPr>
        <w:t xml:space="preserve"> </w:t>
      </w:r>
      <w:r w:rsidRPr="001B53A8">
        <w:rPr>
          <w:lang w:val="sr-Latn-BA"/>
        </w:rPr>
        <w:t>je</w:t>
      </w:r>
      <w:r w:rsidR="00652230" w:rsidRPr="001B53A8">
        <w:rPr>
          <w:lang w:val="sr-Latn-BA"/>
        </w:rPr>
        <w:t xml:space="preserve"> </w:t>
      </w:r>
      <w:r w:rsidRPr="001B53A8">
        <w:rPr>
          <w:lang w:val="sr-Latn-BA"/>
        </w:rPr>
        <w:t>donijela</w:t>
      </w:r>
      <w:r w:rsidR="00652230" w:rsidRPr="001B53A8">
        <w:rPr>
          <w:lang w:val="sr-Latn-BA"/>
        </w:rPr>
        <w:t xml:space="preserve"> </w:t>
      </w:r>
      <w:r w:rsidRPr="001B53A8">
        <w:rPr>
          <w:lang w:val="sr-Latn-BA"/>
        </w:rPr>
        <w:t>rješenje</w:t>
      </w:r>
      <w:r w:rsidR="001B7591" w:rsidRPr="001B53A8">
        <w:rPr>
          <w:lang w:val="sr-Latn-BA"/>
        </w:rPr>
        <w:t xml:space="preserve"> </w:t>
      </w:r>
      <w:r w:rsidRPr="001B53A8">
        <w:rPr>
          <w:lang w:val="sr-Latn-BA"/>
        </w:rPr>
        <w:t>kojim</w:t>
      </w:r>
      <w:r w:rsidR="001B7591" w:rsidRPr="001B53A8">
        <w:rPr>
          <w:lang w:val="sr-Latn-BA"/>
        </w:rPr>
        <w:t xml:space="preserve"> </w:t>
      </w:r>
      <w:r w:rsidRPr="001B53A8">
        <w:rPr>
          <w:lang w:val="sr-Latn-BA"/>
        </w:rPr>
        <w:t>se</w:t>
      </w:r>
      <w:r w:rsidR="001B7591" w:rsidRPr="001B53A8">
        <w:rPr>
          <w:lang w:val="sr-Latn-BA"/>
        </w:rPr>
        <w:t xml:space="preserve"> </w:t>
      </w:r>
      <w:r w:rsidRPr="001B53A8">
        <w:rPr>
          <w:lang w:val="sr-Latn-BA"/>
        </w:rPr>
        <w:t>daje</w:t>
      </w:r>
      <w:r w:rsidR="001B7591" w:rsidRPr="001B53A8">
        <w:rPr>
          <w:lang w:val="sr-Latn-BA"/>
        </w:rPr>
        <w:t xml:space="preserve"> </w:t>
      </w:r>
      <w:r w:rsidRPr="001B53A8">
        <w:rPr>
          <w:lang w:val="sr-Latn-BA"/>
        </w:rPr>
        <w:t>saglasnost</w:t>
      </w:r>
      <w:r w:rsidR="001B7591" w:rsidRPr="001B53A8">
        <w:rPr>
          <w:lang w:val="sr-Latn-BA"/>
        </w:rPr>
        <w:t xml:space="preserve"> </w:t>
      </w:r>
      <w:r w:rsidRPr="001B53A8">
        <w:rPr>
          <w:lang w:val="sr-Latn-BA"/>
        </w:rPr>
        <w:t>na</w:t>
      </w:r>
      <w:r w:rsidR="001B7591" w:rsidRPr="001B53A8">
        <w:rPr>
          <w:lang w:val="sr-Latn-BA"/>
        </w:rPr>
        <w:t xml:space="preserve"> </w:t>
      </w:r>
      <w:r w:rsidRPr="001B53A8">
        <w:rPr>
          <w:lang w:val="sr-Latn-BA"/>
        </w:rPr>
        <w:t>izmjene</w:t>
      </w:r>
      <w:r w:rsidR="001B7591" w:rsidRPr="001B53A8">
        <w:rPr>
          <w:lang w:val="sr-Latn-BA"/>
        </w:rPr>
        <w:t xml:space="preserve"> </w:t>
      </w:r>
      <w:r w:rsidRPr="001B53A8">
        <w:rPr>
          <w:lang w:val="sr-Latn-BA"/>
        </w:rPr>
        <w:t>statuta</w:t>
      </w:r>
      <w:r w:rsidR="001B7591" w:rsidRPr="001B53A8">
        <w:rPr>
          <w:lang w:val="sr-Latn-BA"/>
        </w:rPr>
        <w:t xml:space="preserve"> </w:t>
      </w:r>
      <w:r w:rsidRPr="001B53A8">
        <w:rPr>
          <w:lang w:val="sr-Latn-BA"/>
        </w:rPr>
        <w:t>DUIF</w:t>
      </w:r>
      <w:r w:rsidR="001B7591" w:rsidRPr="001B53A8">
        <w:rPr>
          <w:lang w:val="sr-Latn-BA"/>
        </w:rPr>
        <w:t xml:space="preserve"> „</w:t>
      </w:r>
      <w:r w:rsidRPr="001B53A8">
        <w:rPr>
          <w:lang w:val="sr-Latn-BA"/>
        </w:rPr>
        <w:t>Polara</w:t>
      </w:r>
      <w:r w:rsidR="001B7591" w:rsidRPr="001B53A8">
        <w:rPr>
          <w:lang w:val="sr-Latn-BA"/>
        </w:rPr>
        <w:t xml:space="preserve"> </w:t>
      </w:r>
      <w:r w:rsidRPr="001B53A8">
        <w:rPr>
          <w:lang w:val="sr-Latn-BA"/>
        </w:rPr>
        <w:t>invest</w:t>
      </w:r>
      <w:r w:rsidR="001B7591" w:rsidRPr="001B53A8">
        <w:rPr>
          <w:lang w:val="sr-Latn-BA"/>
        </w:rPr>
        <w:t xml:space="preserve">“ </w:t>
      </w:r>
      <w:r w:rsidRPr="001B53A8">
        <w:rPr>
          <w:lang w:val="sr-Latn-BA"/>
        </w:rPr>
        <w:t>a</w:t>
      </w:r>
      <w:r w:rsidR="001B7591" w:rsidRPr="001B53A8">
        <w:rPr>
          <w:lang w:val="sr-Latn-BA"/>
        </w:rPr>
        <w:t>.</w:t>
      </w:r>
      <w:r w:rsidRPr="001B53A8">
        <w:rPr>
          <w:lang w:val="sr-Latn-BA"/>
        </w:rPr>
        <w:t>d</w:t>
      </w:r>
      <w:r w:rsidR="001B7591" w:rsidRPr="001B53A8">
        <w:rPr>
          <w:lang w:val="sr-Latn-BA"/>
        </w:rPr>
        <w:t xml:space="preserve">. </w:t>
      </w:r>
      <w:r w:rsidRPr="001B53A8">
        <w:rPr>
          <w:lang w:val="sr-Latn-BA"/>
        </w:rPr>
        <w:t>Banja</w:t>
      </w:r>
      <w:r w:rsidR="001B7591" w:rsidRPr="001B53A8">
        <w:rPr>
          <w:lang w:val="sr-Latn-BA"/>
        </w:rPr>
        <w:t xml:space="preserve"> </w:t>
      </w:r>
      <w:r w:rsidRPr="001B53A8">
        <w:rPr>
          <w:lang w:val="sr-Latn-BA"/>
        </w:rPr>
        <w:t>Luka</w:t>
      </w:r>
      <w:r w:rsidR="001B7591" w:rsidRPr="001B53A8">
        <w:rPr>
          <w:lang w:val="sr-Latn-BA"/>
        </w:rPr>
        <w:t>.</w:t>
      </w:r>
      <w:r w:rsidR="00652230" w:rsidRPr="001B53A8">
        <w:rPr>
          <w:lang w:val="sr-Latn-BA"/>
        </w:rPr>
        <w:t xml:space="preserve"> </w:t>
      </w:r>
      <w:r w:rsidRPr="001B53A8">
        <w:rPr>
          <w:lang w:val="sr-Latn-BA"/>
        </w:rPr>
        <w:t>Pored</w:t>
      </w:r>
      <w:r w:rsidR="00652230" w:rsidRPr="001B53A8">
        <w:rPr>
          <w:lang w:val="sr-Latn-BA"/>
        </w:rPr>
        <w:t xml:space="preserve"> </w:t>
      </w:r>
      <w:r w:rsidRPr="001B53A8">
        <w:rPr>
          <w:lang w:val="sr-Latn-BA"/>
        </w:rPr>
        <w:t>toga</w:t>
      </w:r>
      <w:r w:rsidR="00652230" w:rsidRPr="001B53A8">
        <w:rPr>
          <w:lang w:val="sr-Latn-BA"/>
        </w:rPr>
        <w:t xml:space="preserve">, </w:t>
      </w:r>
      <w:r w:rsidRPr="001B53A8">
        <w:rPr>
          <w:lang w:val="sr-Latn-BA"/>
        </w:rPr>
        <w:t>doneseno</w:t>
      </w:r>
      <w:r w:rsidR="001B7591" w:rsidRPr="001B53A8">
        <w:rPr>
          <w:lang w:val="sr-Latn-BA"/>
        </w:rPr>
        <w:t xml:space="preserve"> </w:t>
      </w:r>
      <w:r w:rsidRPr="001B53A8">
        <w:rPr>
          <w:lang w:val="sr-Latn-BA"/>
        </w:rPr>
        <w:t>je</w:t>
      </w:r>
      <w:r w:rsidR="001B7591" w:rsidRPr="001B53A8">
        <w:rPr>
          <w:lang w:val="sr-Latn-BA"/>
        </w:rPr>
        <w:t xml:space="preserve"> </w:t>
      </w:r>
      <w:r w:rsidRPr="001B53A8">
        <w:rPr>
          <w:lang w:val="sr-Latn-BA"/>
        </w:rPr>
        <w:t>rješenje</w:t>
      </w:r>
      <w:r w:rsidR="001B7591" w:rsidRPr="001B53A8">
        <w:rPr>
          <w:lang w:val="sr-Latn-BA"/>
        </w:rPr>
        <w:t xml:space="preserve"> </w:t>
      </w:r>
      <w:r w:rsidRPr="001B53A8">
        <w:rPr>
          <w:lang w:val="sr-Latn-BA"/>
        </w:rPr>
        <w:t>kojim</w:t>
      </w:r>
      <w:r w:rsidR="001B7591" w:rsidRPr="001B53A8">
        <w:rPr>
          <w:lang w:val="sr-Latn-BA"/>
        </w:rPr>
        <w:t xml:space="preserve"> </w:t>
      </w:r>
      <w:r w:rsidRPr="001B53A8">
        <w:rPr>
          <w:lang w:val="sr-Latn-BA"/>
        </w:rPr>
        <w:t>se</w:t>
      </w:r>
      <w:r w:rsidR="001B7591" w:rsidRPr="001B53A8">
        <w:rPr>
          <w:lang w:val="sr-Latn-BA"/>
        </w:rPr>
        <w:t xml:space="preserve"> </w:t>
      </w:r>
      <w:r w:rsidRPr="001B53A8">
        <w:rPr>
          <w:lang w:val="sr-Latn-BA"/>
        </w:rPr>
        <w:t>zahtjev</w:t>
      </w:r>
      <w:r w:rsidR="001B7591" w:rsidRPr="001B53A8">
        <w:rPr>
          <w:lang w:val="sr-Latn-BA"/>
        </w:rPr>
        <w:t xml:space="preserve"> </w:t>
      </w:r>
      <w:r w:rsidRPr="001B53A8">
        <w:rPr>
          <w:lang w:val="sr-Latn-BA"/>
        </w:rPr>
        <w:t>DUIF</w:t>
      </w:r>
      <w:r w:rsidR="001B7591" w:rsidRPr="001B53A8">
        <w:rPr>
          <w:lang w:val="sr-Latn-BA"/>
        </w:rPr>
        <w:t xml:space="preserve"> „WVP Fund Management“ </w:t>
      </w:r>
      <w:r w:rsidRPr="001B53A8">
        <w:rPr>
          <w:lang w:val="sr-Latn-BA"/>
        </w:rPr>
        <w:t>a</w:t>
      </w:r>
      <w:r w:rsidR="001B7591" w:rsidRPr="001B53A8">
        <w:rPr>
          <w:lang w:val="sr-Latn-BA"/>
        </w:rPr>
        <w:t>.</w:t>
      </w:r>
      <w:r w:rsidRPr="001B53A8">
        <w:rPr>
          <w:lang w:val="sr-Latn-BA"/>
        </w:rPr>
        <w:t>d</w:t>
      </w:r>
      <w:r w:rsidR="001B7591" w:rsidRPr="001B53A8">
        <w:rPr>
          <w:lang w:val="sr-Latn-BA"/>
        </w:rPr>
        <w:t xml:space="preserve">. </w:t>
      </w:r>
      <w:r w:rsidRPr="001B53A8">
        <w:rPr>
          <w:lang w:val="sr-Latn-BA"/>
        </w:rPr>
        <w:t>Banja</w:t>
      </w:r>
      <w:r w:rsidR="001B7591" w:rsidRPr="001B53A8">
        <w:rPr>
          <w:lang w:val="sr-Latn-BA"/>
        </w:rPr>
        <w:t xml:space="preserve"> </w:t>
      </w:r>
      <w:r w:rsidRPr="001B53A8">
        <w:rPr>
          <w:lang w:val="sr-Latn-BA"/>
        </w:rPr>
        <w:t>Luka</w:t>
      </w:r>
      <w:r w:rsidR="001B7591" w:rsidRPr="001B53A8">
        <w:rPr>
          <w:lang w:val="sr-Latn-BA"/>
        </w:rPr>
        <w:t xml:space="preserve"> </w:t>
      </w:r>
      <w:r w:rsidRPr="001B53A8">
        <w:rPr>
          <w:lang w:val="sr-Latn-BA"/>
        </w:rPr>
        <w:t>za</w:t>
      </w:r>
      <w:r w:rsidR="001B7591" w:rsidRPr="001B53A8">
        <w:rPr>
          <w:lang w:val="sr-Latn-BA"/>
        </w:rPr>
        <w:t xml:space="preserve"> </w:t>
      </w:r>
      <w:r w:rsidRPr="001B53A8">
        <w:rPr>
          <w:lang w:val="sr-Latn-BA"/>
        </w:rPr>
        <w:t>obavlјanje</w:t>
      </w:r>
      <w:r w:rsidR="001B7591" w:rsidRPr="001B53A8">
        <w:rPr>
          <w:lang w:val="sr-Latn-BA"/>
        </w:rPr>
        <w:t xml:space="preserve"> </w:t>
      </w:r>
      <w:r w:rsidRPr="001B53A8">
        <w:rPr>
          <w:lang w:val="sr-Latn-BA"/>
        </w:rPr>
        <w:t>dodatnih</w:t>
      </w:r>
      <w:r w:rsidR="001B7591" w:rsidRPr="001B53A8">
        <w:rPr>
          <w:lang w:val="sr-Latn-BA"/>
        </w:rPr>
        <w:t xml:space="preserve"> </w:t>
      </w:r>
      <w:r w:rsidRPr="001B53A8">
        <w:rPr>
          <w:lang w:val="sr-Latn-BA"/>
        </w:rPr>
        <w:t>djelatnosti</w:t>
      </w:r>
      <w:r w:rsidR="001B7591" w:rsidRPr="001B53A8">
        <w:rPr>
          <w:lang w:val="sr-Latn-BA"/>
        </w:rPr>
        <w:t xml:space="preserve"> </w:t>
      </w:r>
      <w:r w:rsidRPr="001B53A8">
        <w:rPr>
          <w:lang w:val="sr-Latn-BA"/>
        </w:rPr>
        <w:t>odbija</w:t>
      </w:r>
      <w:r w:rsidR="001B7591" w:rsidRPr="001B53A8">
        <w:rPr>
          <w:lang w:val="sr-Latn-BA"/>
        </w:rPr>
        <w:t xml:space="preserve"> </w:t>
      </w:r>
      <w:r w:rsidRPr="001B53A8">
        <w:rPr>
          <w:lang w:val="sr-Latn-BA"/>
        </w:rPr>
        <w:t>kao</w:t>
      </w:r>
      <w:r w:rsidR="001B7591" w:rsidRPr="001B53A8">
        <w:rPr>
          <w:lang w:val="sr-Latn-BA"/>
        </w:rPr>
        <w:t xml:space="preserve"> </w:t>
      </w:r>
      <w:r w:rsidRPr="001B53A8">
        <w:rPr>
          <w:lang w:val="sr-Latn-BA"/>
        </w:rPr>
        <w:t>neosnovan</w:t>
      </w:r>
      <w:r w:rsidR="001B7591" w:rsidRPr="001B53A8">
        <w:rPr>
          <w:lang w:val="sr-Latn-BA"/>
        </w:rPr>
        <w:t xml:space="preserve">. </w:t>
      </w:r>
      <w:r w:rsidRPr="001B53A8">
        <w:rPr>
          <w:lang w:val="sr-Latn-BA"/>
        </w:rPr>
        <w:t>Istom</w:t>
      </w:r>
      <w:r w:rsidR="001B7591" w:rsidRPr="001B53A8">
        <w:rPr>
          <w:lang w:val="sr-Latn-BA"/>
        </w:rPr>
        <w:t xml:space="preserve"> </w:t>
      </w:r>
      <w:r w:rsidRPr="001B53A8">
        <w:rPr>
          <w:lang w:val="sr-Latn-BA"/>
        </w:rPr>
        <w:t>Društvu</w:t>
      </w:r>
      <w:r w:rsidR="001B7591" w:rsidRPr="001B53A8">
        <w:rPr>
          <w:lang w:val="sr-Latn-BA"/>
        </w:rPr>
        <w:t xml:space="preserve"> </w:t>
      </w:r>
      <w:r w:rsidRPr="001B53A8">
        <w:rPr>
          <w:lang w:val="sr-Latn-BA"/>
        </w:rPr>
        <w:t>izdato</w:t>
      </w:r>
      <w:r w:rsidR="001B7591" w:rsidRPr="001B53A8">
        <w:rPr>
          <w:lang w:val="sr-Latn-BA"/>
        </w:rPr>
        <w:t xml:space="preserve"> </w:t>
      </w:r>
      <w:r w:rsidRPr="001B53A8">
        <w:rPr>
          <w:lang w:val="sr-Latn-BA"/>
        </w:rPr>
        <w:t>je</w:t>
      </w:r>
      <w:r w:rsidR="001B7591" w:rsidRPr="001B53A8">
        <w:rPr>
          <w:lang w:val="sr-Latn-BA"/>
        </w:rPr>
        <w:t xml:space="preserve"> </w:t>
      </w:r>
      <w:r w:rsidRPr="001B53A8">
        <w:rPr>
          <w:lang w:val="sr-Latn-BA"/>
        </w:rPr>
        <w:t>rješenje</w:t>
      </w:r>
      <w:r w:rsidR="001B7591" w:rsidRPr="001B53A8">
        <w:rPr>
          <w:lang w:val="sr-Latn-BA"/>
        </w:rPr>
        <w:t xml:space="preserve"> </w:t>
      </w:r>
      <w:r w:rsidRPr="001B53A8">
        <w:rPr>
          <w:lang w:val="sr-Latn-BA"/>
        </w:rPr>
        <w:t>sa</w:t>
      </w:r>
      <w:r w:rsidR="001B7591" w:rsidRPr="001B53A8">
        <w:rPr>
          <w:lang w:val="sr-Latn-BA"/>
        </w:rPr>
        <w:t xml:space="preserve"> </w:t>
      </w:r>
      <w:r w:rsidRPr="001B53A8">
        <w:rPr>
          <w:lang w:val="sr-Latn-BA"/>
        </w:rPr>
        <w:t>nalogom</w:t>
      </w:r>
      <w:r w:rsidR="001B7591" w:rsidRPr="001B53A8">
        <w:rPr>
          <w:lang w:val="sr-Latn-BA"/>
        </w:rPr>
        <w:t xml:space="preserve"> </w:t>
      </w:r>
      <w:r w:rsidRPr="001B53A8">
        <w:rPr>
          <w:lang w:val="sr-Latn-BA"/>
        </w:rPr>
        <w:t>da</w:t>
      </w:r>
      <w:r w:rsidR="001B7591" w:rsidRPr="001B53A8">
        <w:rPr>
          <w:lang w:val="sr-Latn-BA"/>
        </w:rPr>
        <w:t xml:space="preserve"> </w:t>
      </w:r>
      <w:r w:rsidRPr="001B53A8">
        <w:rPr>
          <w:lang w:val="sr-Latn-BA"/>
        </w:rPr>
        <w:t>podnese</w:t>
      </w:r>
      <w:r w:rsidR="001B7591" w:rsidRPr="001B53A8">
        <w:rPr>
          <w:lang w:val="sr-Latn-BA"/>
        </w:rPr>
        <w:t xml:space="preserve"> </w:t>
      </w:r>
      <w:r w:rsidRPr="001B53A8">
        <w:rPr>
          <w:lang w:val="sr-Latn-BA"/>
        </w:rPr>
        <w:t>zahtjev</w:t>
      </w:r>
      <w:r w:rsidR="001B7591" w:rsidRPr="001B53A8">
        <w:rPr>
          <w:lang w:val="sr-Latn-BA"/>
        </w:rPr>
        <w:t xml:space="preserve"> </w:t>
      </w:r>
      <w:r w:rsidRPr="001B53A8">
        <w:rPr>
          <w:lang w:val="sr-Latn-BA"/>
        </w:rPr>
        <w:t>za</w:t>
      </w:r>
      <w:r w:rsidR="001B7591" w:rsidRPr="001B53A8">
        <w:rPr>
          <w:lang w:val="sr-Latn-BA"/>
        </w:rPr>
        <w:t xml:space="preserve"> </w:t>
      </w:r>
      <w:r w:rsidRPr="001B53A8">
        <w:rPr>
          <w:lang w:val="sr-Latn-BA"/>
        </w:rPr>
        <w:t>davanje</w:t>
      </w:r>
      <w:r w:rsidR="001B7591" w:rsidRPr="001B53A8">
        <w:rPr>
          <w:lang w:val="sr-Latn-BA"/>
        </w:rPr>
        <w:t xml:space="preserve"> </w:t>
      </w:r>
      <w:r w:rsidRPr="001B53A8">
        <w:rPr>
          <w:lang w:val="sr-Latn-BA"/>
        </w:rPr>
        <w:t>saglasnosti</w:t>
      </w:r>
      <w:r w:rsidR="001B7591" w:rsidRPr="001B53A8">
        <w:rPr>
          <w:lang w:val="sr-Latn-BA"/>
        </w:rPr>
        <w:t xml:space="preserve"> </w:t>
      </w:r>
      <w:r w:rsidRPr="001B53A8">
        <w:rPr>
          <w:lang w:val="sr-Latn-BA"/>
        </w:rPr>
        <w:t>na</w:t>
      </w:r>
      <w:r w:rsidR="001B7591" w:rsidRPr="001B53A8">
        <w:rPr>
          <w:lang w:val="sr-Latn-BA"/>
        </w:rPr>
        <w:t xml:space="preserve"> </w:t>
      </w:r>
      <w:r w:rsidRPr="001B53A8">
        <w:rPr>
          <w:lang w:val="sr-Latn-BA"/>
        </w:rPr>
        <w:t>izmjene</w:t>
      </w:r>
      <w:r w:rsidR="001B7591" w:rsidRPr="001B53A8">
        <w:rPr>
          <w:lang w:val="sr-Latn-BA"/>
        </w:rPr>
        <w:t xml:space="preserve"> </w:t>
      </w:r>
      <w:r w:rsidRPr="001B53A8">
        <w:rPr>
          <w:lang w:val="sr-Latn-BA"/>
        </w:rPr>
        <w:t>i</w:t>
      </w:r>
      <w:r w:rsidR="001B7591" w:rsidRPr="001B53A8">
        <w:rPr>
          <w:lang w:val="sr-Latn-BA"/>
        </w:rPr>
        <w:t xml:space="preserve"> </w:t>
      </w:r>
      <w:r w:rsidRPr="001B53A8">
        <w:rPr>
          <w:lang w:val="sr-Latn-BA"/>
        </w:rPr>
        <w:t>dopune</w:t>
      </w:r>
      <w:r w:rsidR="001B7591" w:rsidRPr="001B53A8">
        <w:rPr>
          <w:lang w:val="sr-Latn-BA"/>
        </w:rPr>
        <w:t xml:space="preserve"> </w:t>
      </w:r>
      <w:r w:rsidRPr="001B53A8">
        <w:rPr>
          <w:lang w:val="sr-Latn-BA"/>
        </w:rPr>
        <w:t>osnivačkog</w:t>
      </w:r>
      <w:r w:rsidR="001B7591" w:rsidRPr="001B53A8">
        <w:rPr>
          <w:lang w:val="sr-Latn-BA"/>
        </w:rPr>
        <w:t xml:space="preserve"> </w:t>
      </w:r>
      <w:r w:rsidRPr="001B53A8">
        <w:rPr>
          <w:lang w:val="sr-Latn-BA"/>
        </w:rPr>
        <w:t>akta</w:t>
      </w:r>
      <w:r w:rsidR="001B7591" w:rsidRPr="001B53A8">
        <w:rPr>
          <w:lang w:val="sr-Latn-BA"/>
        </w:rPr>
        <w:t xml:space="preserve">. </w:t>
      </w:r>
      <w:r w:rsidRPr="001B53A8">
        <w:rPr>
          <w:lang w:val="sr-Latn-BA"/>
        </w:rPr>
        <w:t>Doneseno</w:t>
      </w:r>
      <w:r w:rsidR="001B7591" w:rsidRPr="001B53A8">
        <w:rPr>
          <w:lang w:val="sr-Latn-BA"/>
        </w:rPr>
        <w:t xml:space="preserve"> </w:t>
      </w:r>
      <w:r w:rsidRPr="001B53A8">
        <w:rPr>
          <w:lang w:val="sr-Latn-BA"/>
        </w:rPr>
        <w:t>je</w:t>
      </w:r>
      <w:r w:rsidR="001B7591" w:rsidRPr="001B53A8">
        <w:rPr>
          <w:lang w:val="sr-Latn-BA"/>
        </w:rPr>
        <w:t xml:space="preserve"> </w:t>
      </w:r>
      <w:r w:rsidRPr="001B53A8">
        <w:rPr>
          <w:lang w:val="sr-Latn-BA"/>
        </w:rPr>
        <w:t>rješenje</w:t>
      </w:r>
      <w:r w:rsidR="001B7591" w:rsidRPr="001B53A8">
        <w:rPr>
          <w:lang w:val="sr-Latn-BA"/>
        </w:rPr>
        <w:t xml:space="preserve"> </w:t>
      </w:r>
      <w:r w:rsidRPr="001B53A8">
        <w:rPr>
          <w:lang w:val="sr-Latn-BA"/>
        </w:rPr>
        <w:t>kojim</w:t>
      </w:r>
      <w:r w:rsidR="001B7591" w:rsidRPr="001B53A8">
        <w:rPr>
          <w:lang w:val="sr-Latn-BA"/>
        </w:rPr>
        <w:t xml:space="preserve"> </w:t>
      </w:r>
      <w:r w:rsidRPr="001B53A8">
        <w:rPr>
          <w:lang w:val="sr-Latn-BA"/>
        </w:rPr>
        <w:t>navedenom</w:t>
      </w:r>
      <w:r w:rsidR="001B7591" w:rsidRPr="001B53A8">
        <w:rPr>
          <w:lang w:val="sr-Latn-BA"/>
        </w:rPr>
        <w:t xml:space="preserve"> </w:t>
      </w:r>
      <w:r w:rsidRPr="001B53A8">
        <w:rPr>
          <w:lang w:val="sr-Latn-BA"/>
        </w:rPr>
        <w:t>društvu</w:t>
      </w:r>
      <w:r w:rsidR="001B7591" w:rsidRPr="001B53A8">
        <w:rPr>
          <w:lang w:val="sr-Latn-BA"/>
        </w:rPr>
        <w:t xml:space="preserve"> </w:t>
      </w:r>
      <w:r w:rsidRPr="001B53A8">
        <w:rPr>
          <w:lang w:val="sr-Latn-BA"/>
        </w:rPr>
        <w:t>data</w:t>
      </w:r>
      <w:r w:rsidR="001B7591" w:rsidRPr="001B53A8">
        <w:rPr>
          <w:lang w:val="sr-Latn-BA"/>
        </w:rPr>
        <w:t xml:space="preserve"> </w:t>
      </w:r>
      <w:r w:rsidRPr="001B53A8">
        <w:rPr>
          <w:lang w:val="sr-Latn-BA"/>
        </w:rPr>
        <w:t>saglasnost</w:t>
      </w:r>
      <w:r w:rsidR="001B7591" w:rsidRPr="001B53A8">
        <w:rPr>
          <w:lang w:val="sr-Latn-BA"/>
        </w:rPr>
        <w:t xml:space="preserve"> </w:t>
      </w:r>
      <w:r w:rsidRPr="001B53A8">
        <w:rPr>
          <w:lang w:val="sr-Latn-BA"/>
        </w:rPr>
        <w:t>na</w:t>
      </w:r>
      <w:r w:rsidR="001B7591" w:rsidRPr="001B53A8">
        <w:rPr>
          <w:lang w:val="sr-Latn-BA"/>
        </w:rPr>
        <w:t xml:space="preserve"> </w:t>
      </w:r>
      <w:r w:rsidRPr="001B53A8">
        <w:rPr>
          <w:lang w:val="sr-Latn-BA"/>
        </w:rPr>
        <w:t>izmjene</w:t>
      </w:r>
      <w:r w:rsidR="001B7591" w:rsidRPr="001B53A8">
        <w:rPr>
          <w:lang w:val="sr-Latn-BA"/>
        </w:rPr>
        <w:t xml:space="preserve"> </w:t>
      </w:r>
      <w:r w:rsidRPr="001B53A8">
        <w:rPr>
          <w:lang w:val="sr-Latn-BA"/>
        </w:rPr>
        <w:t>ugovora</w:t>
      </w:r>
      <w:r w:rsidR="001B7591" w:rsidRPr="001B53A8">
        <w:rPr>
          <w:lang w:val="sr-Latn-BA"/>
        </w:rPr>
        <w:t xml:space="preserve"> </w:t>
      </w:r>
      <w:r w:rsidRPr="001B53A8">
        <w:rPr>
          <w:lang w:val="sr-Latn-BA"/>
        </w:rPr>
        <w:t>o</w:t>
      </w:r>
      <w:r w:rsidR="001B7591" w:rsidRPr="001B53A8">
        <w:rPr>
          <w:lang w:val="sr-Latn-BA"/>
        </w:rPr>
        <w:t xml:space="preserve"> </w:t>
      </w:r>
      <w:r w:rsidRPr="001B53A8">
        <w:rPr>
          <w:lang w:val="sr-Latn-BA"/>
        </w:rPr>
        <w:t>osnivanju</w:t>
      </w:r>
      <w:r w:rsidR="001B7591" w:rsidRPr="001B53A8">
        <w:rPr>
          <w:lang w:val="sr-Latn-BA"/>
        </w:rPr>
        <w:t xml:space="preserve">. </w:t>
      </w:r>
    </w:p>
    <w:p w14:paraId="4B077C82" w14:textId="2F1BB523" w:rsidR="001B7591" w:rsidRPr="001B53A8" w:rsidRDefault="00003F34" w:rsidP="001B7591">
      <w:pPr>
        <w:spacing w:after="0" w:line="240" w:lineRule="auto"/>
        <w:ind w:firstLine="567"/>
        <w:rPr>
          <w:rFonts w:eastAsia="Times New Roman"/>
          <w:highlight w:val="yellow"/>
          <w:lang w:val="sr-Latn-BA"/>
        </w:rPr>
      </w:pPr>
      <w:r w:rsidRPr="001B53A8">
        <w:rPr>
          <w:rFonts w:eastAsia="Times New Roman"/>
          <w:lang w:val="sr-Latn-BA"/>
        </w:rPr>
        <w:t>U</w:t>
      </w:r>
      <w:r w:rsidR="00652230" w:rsidRPr="001B53A8">
        <w:rPr>
          <w:rFonts w:eastAsia="Times New Roman"/>
          <w:lang w:val="sr-Latn-BA"/>
        </w:rPr>
        <w:t xml:space="preserve"> 2023. </w:t>
      </w:r>
      <w:r w:rsidRPr="001B53A8">
        <w:rPr>
          <w:rFonts w:eastAsia="Times New Roman"/>
          <w:lang w:val="sr-Latn-BA"/>
        </w:rPr>
        <w:t>godini</w:t>
      </w:r>
      <w:r w:rsidR="00652230" w:rsidRPr="001B53A8">
        <w:rPr>
          <w:rFonts w:eastAsia="Times New Roman"/>
          <w:lang w:val="sr-Latn-BA"/>
        </w:rPr>
        <w:t xml:space="preserve"> </w:t>
      </w:r>
      <w:r w:rsidRPr="001B53A8">
        <w:rPr>
          <w:rFonts w:eastAsia="Times New Roman"/>
          <w:lang w:val="sr-Latn-BA"/>
        </w:rPr>
        <w:t>Komisija</w:t>
      </w:r>
      <w:r w:rsidR="001B7591" w:rsidRPr="001B53A8">
        <w:rPr>
          <w:rFonts w:eastAsia="Times New Roman"/>
          <w:lang w:val="sr-Latn-BA"/>
        </w:rPr>
        <w:t xml:space="preserve"> </w:t>
      </w:r>
      <w:r w:rsidRPr="001B53A8">
        <w:rPr>
          <w:rFonts w:eastAsia="Times New Roman"/>
          <w:lang w:val="sr-Latn-BA"/>
        </w:rPr>
        <w:t>je</w:t>
      </w:r>
      <w:r w:rsidR="001B7591" w:rsidRPr="001B53A8">
        <w:rPr>
          <w:rFonts w:eastAsia="Times New Roman"/>
          <w:lang w:val="sr-Latn-BA"/>
        </w:rPr>
        <w:t xml:space="preserve"> </w:t>
      </w:r>
      <w:r w:rsidRPr="001B53A8">
        <w:rPr>
          <w:rFonts w:eastAsia="Times New Roman"/>
          <w:lang w:val="sr-Latn-BA"/>
        </w:rPr>
        <w:t>donijela</w:t>
      </w:r>
      <w:r w:rsidR="001B7591" w:rsidRPr="001B53A8">
        <w:rPr>
          <w:rFonts w:eastAsia="Times New Roman"/>
          <w:lang w:val="sr-Latn-BA"/>
        </w:rPr>
        <w:t xml:space="preserve"> </w:t>
      </w:r>
      <w:r w:rsidRPr="001B53A8">
        <w:rPr>
          <w:rFonts w:eastAsia="Times New Roman"/>
          <w:lang w:val="sr-Latn-BA"/>
        </w:rPr>
        <w:t>rješenje</w:t>
      </w:r>
      <w:r w:rsidR="001B7591" w:rsidRPr="001B53A8">
        <w:rPr>
          <w:rFonts w:eastAsia="Times New Roman"/>
          <w:lang w:val="sr-Latn-BA"/>
        </w:rPr>
        <w:t xml:space="preserve"> </w:t>
      </w:r>
      <w:r w:rsidRPr="001B53A8">
        <w:rPr>
          <w:rFonts w:eastAsia="Times New Roman"/>
          <w:lang w:val="sr-Latn-BA"/>
        </w:rPr>
        <w:t>kojim</w:t>
      </w:r>
      <w:r w:rsidR="001B7591" w:rsidRPr="001B53A8">
        <w:rPr>
          <w:rFonts w:eastAsia="Times New Roman"/>
          <w:lang w:val="sr-Latn-BA"/>
        </w:rPr>
        <w:t xml:space="preserve"> </w:t>
      </w:r>
      <w:r w:rsidRPr="001B53A8">
        <w:rPr>
          <w:rFonts w:eastAsia="Times New Roman"/>
          <w:lang w:val="sr-Latn-BA"/>
        </w:rPr>
        <w:t>se</w:t>
      </w:r>
      <w:r w:rsidR="001B7591" w:rsidRPr="001B53A8">
        <w:rPr>
          <w:rFonts w:eastAsia="Times New Roman"/>
          <w:lang w:val="sr-Latn-BA"/>
        </w:rPr>
        <w:t xml:space="preserve"> </w:t>
      </w:r>
      <w:r w:rsidRPr="001B53A8">
        <w:rPr>
          <w:rFonts w:eastAsia="Times New Roman"/>
          <w:lang w:val="sr-Latn-BA"/>
        </w:rPr>
        <w:t>ZIF</w:t>
      </w:r>
      <w:r w:rsidR="001B7591" w:rsidRPr="001B53A8">
        <w:rPr>
          <w:rFonts w:eastAsia="Times New Roman"/>
          <w:lang w:val="sr-Latn-BA"/>
        </w:rPr>
        <w:t xml:space="preserve"> „</w:t>
      </w:r>
      <w:r w:rsidRPr="001B53A8">
        <w:rPr>
          <w:rFonts w:eastAsia="Times New Roman"/>
          <w:lang w:val="sr-Latn-BA"/>
        </w:rPr>
        <w:t>Unioninvest</w:t>
      </w:r>
      <w:r w:rsidR="001B7591" w:rsidRPr="001B53A8">
        <w:rPr>
          <w:rFonts w:eastAsia="Times New Roman"/>
          <w:lang w:val="sr-Latn-BA"/>
        </w:rPr>
        <w:t xml:space="preserve">“ </w:t>
      </w:r>
      <w:r w:rsidRPr="001B53A8">
        <w:rPr>
          <w:rFonts w:eastAsia="Times New Roman"/>
          <w:lang w:val="sr-Latn-BA"/>
        </w:rPr>
        <w:t>a</w:t>
      </w:r>
      <w:r w:rsidR="001B7591" w:rsidRPr="001B53A8">
        <w:rPr>
          <w:rFonts w:eastAsia="Times New Roman"/>
          <w:lang w:val="sr-Latn-BA"/>
        </w:rPr>
        <w:t>.</w:t>
      </w:r>
      <w:r w:rsidRPr="001B53A8">
        <w:rPr>
          <w:rFonts w:eastAsia="Times New Roman"/>
          <w:lang w:val="sr-Latn-BA"/>
        </w:rPr>
        <w:t>d</w:t>
      </w:r>
      <w:r w:rsidR="001B7591" w:rsidRPr="001B53A8">
        <w:rPr>
          <w:rFonts w:eastAsia="Times New Roman"/>
          <w:lang w:val="sr-Latn-BA"/>
        </w:rPr>
        <w:t xml:space="preserve">. </w:t>
      </w:r>
      <w:r w:rsidRPr="001B53A8">
        <w:rPr>
          <w:rFonts w:eastAsia="Times New Roman"/>
          <w:lang w:val="sr-Latn-BA"/>
        </w:rPr>
        <w:t>Bijelјina</w:t>
      </w:r>
      <w:r w:rsidR="001B7591" w:rsidRPr="001B53A8">
        <w:rPr>
          <w:rFonts w:eastAsia="Times New Roman"/>
          <w:lang w:val="sr-Latn-BA"/>
        </w:rPr>
        <w:t xml:space="preserve"> </w:t>
      </w:r>
      <w:r w:rsidRPr="001B53A8">
        <w:rPr>
          <w:rFonts w:eastAsia="Times New Roman"/>
          <w:lang w:val="sr-Latn-BA"/>
        </w:rPr>
        <w:t>briše</w:t>
      </w:r>
      <w:r w:rsidR="001B7591" w:rsidRPr="001B53A8">
        <w:rPr>
          <w:rFonts w:eastAsia="Times New Roman"/>
          <w:lang w:val="sr-Latn-BA"/>
        </w:rPr>
        <w:t xml:space="preserve"> </w:t>
      </w:r>
      <w:r w:rsidRPr="001B53A8">
        <w:rPr>
          <w:rFonts w:eastAsia="Times New Roman"/>
          <w:lang w:val="sr-Latn-BA"/>
        </w:rPr>
        <w:t>iz</w:t>
      </w:r>
      <w:r w:rsidR="001B7591" w:rsidRPr="001B53A8">
        <w:rPr>
          <w:rFonts w:eastAsia="Times New Roman"/>
          <w:lang w:val="sr-Latn-BA"/>
        </w:rPr>
        <w:t xml:space="preserve"> </w:t>
      </w:r>
      <w:r w:rsidRPr="001B53A8">
        <w:rPr>
          <w:rFonts w:eastAsia="Times New Roman"/>
          <w:lang w:val="sr-Latn-BA"/>
        </w:rPr>
        <w:t>registra</w:t>
      </w:r>
      <w:r w:rsidR="001B7591" w:rsidRPr="001B53A8">
        <w:rPr>
          <w:rFonts w:eastAsia="Times New Roman"/>
          <w:lang w:val="sr-Latn-BA"/>
        </w:rPr>
        <w:t xml:space="preserve"> </w:t>
      </w:r>
      <w:r w:rsidRPr="001B53A8">
        <w:rPr>
          <w:rFonts w:eastAsia="Times New Roman"/>
          <w:lang w:val="sr-Latn-BA"/>
        </w:rPr>
        <w:t>investicionih</w:t>
      </w:r>
      <w:r w:rsidR="001B7591" w:rsidRPr="001B53A8">
        <w:rPr>
          <w:rFonts w:eastAsia="Times New Roman"/>
          <w:lang w:val="sr-Latn-BA"/>
        </w:rPr>
        <w:t xml:space="preserve"> </w:t>
      </w:r>
      <w:r w:rsidRPr="001B53A8">
        <w:rPr>
          <w:rFonts w:eastAsia="Times New Roman"/>
          <w:lang w:val="sr-Latn-BA"/>
        </w:rPr>
        <w:t>fondova</w:t>
      </w:r>
      <w:r w:rsidR="001B7591" w:rsidRPr="001B53A8">
        <w:rPr>
          <w:rFonts w:eastAsia="Times New Roman"/>
          <w:lang w:val="sr-Latn-BA"/>
        </w:rPr>
        <w:t xml:space="preserve">, </w:t>
      </w:r>
      <w:r w:rsidRPr="001B53A8">
        <w:rPr>
          <w:rFonts w:eastAsia="Times New Roman"/>
          <w:lang w:val="sr-Latn-BA"/>
        </w:rPr>
        <w:t>zbog</w:t>
      </w:r>
      <w:r w:rsidR="001B7591" w:rsidRPr="001B53A8">
        <w:rPr>
          <w:rFonts w:eastAsia="Times New Roman"/>
          <w:lang w:val="sr-Latn-BA"/>
        </w:rPr>
        <w:t xml:space="preserve"> </w:t>
      </w:r>
      <w:r w:rsidRPr="001B53A8">
        <w:rPr>
          <w:rFonts w:eastAsia="Times New Roman"/>
          <w:lang w:val="sr-Latn-BA"/>
        </w:rPr>
        <w:t>likvidacije</w:t>
      </w:r>
      <w:r w:rsidR="001B7591" w:rsidRPr="001B53A8">
        <w:rPr>
          <w:rFonts w:eastAsia="Times New Roman"/>
          <w:lang w:val="sr-Latn-BA"/>
        </w:rPr>
        <w:t xml:space="preserve"> </w:t>
      </w:r>
      <w:r w:rsidRPr="001B53A8">
        <w:rPr>
          <w:rFonts w:eastAsia="Times New Roman"/>
          <w:lang w:val="sr-Latn-BA"/>
        </w:rPr>
        <w:t>fonda</w:t>
      </w:r>
      <w:r w:rsidR="001B7591" w:rsidRPr="001B53A8">
        <w:rPr>
          <w:rFonts w:eastAsia="Times New Roman"/>
          <w:lang w:val="sr-Latn-BA"/>
        </w:rPr>
        <w:t>.</w:t>
      </w:r>
      <w:r w:rsidR="001B7591" w:rsidRPr="001B53A8">
        <w:rPr>
          <w:rFonts w:eastAsia="Times New Roman"/>
          <w:highlight w:val="yellow"/>
          <w:lang w:val="sr-Latn-BA"/>
        </w:rPr>
        <w:t xml:space="preserve"> </w:t>
      </w:r>
    </w:p>
    <w:p w14:paraId="79405EAA" w14:textId="1D3987AA" w:rsidR="001B7591" w:rsidRPr="001B53A8" w:rsidRDefault="00003F34" w:rsidP="001B7591">
      <w:pPr>
        <w:spacing w:after="0" w:line="240" w:lineRule="auto"/>
        <w:ind w:firstLine="567"/>
        <w:rPr>
          <w:lang w:val="sr-Latn-BA"/>
        </w:rPr>
      </w:pPr>
      <w:r w:rsidRPr="001B53A8">
        <w:rPr>
          <w:lang w:val="sr-Latn-BA"/>
        </w:rPr>
        <w:t>Na</w:t>
      </w:r>
      <w:r w:rsidR="001B7591" w:rsidRPr="001B53A8">
        <w:rPr>
          <w:lang w:val="sr-Latn-BA"/>
        </w:rPr>
        <w:t xml:space="preserve"> </w:t>
      </w:r>
      <w:r w:rsidRPr="001B53A8">
        <w:rPr>
          <w:lang w:val="sr-Latn-BA"/>
        </w:rPr>
        <w:t>poslјednji</w:t>
      </w:r>
      <w:r w:rsidR="001B7591" w:rsidRPr="001B53A8">
        <w:rPr>
          <w:lang w:val="sr-Latn-BA"/>
        </w:rPr>
        <w:t xml:space="preserve"> </w:t>
      </w:r>
      <w:r w:rsidRPr="001B53A8">
        <w:rPr>
          <w:lang w:val="sr-Latn-BA"/>
        </w:rPr>
        <w:t>dan</w:t>
      </w:r>
      <w:r w:rsidR="001B7591" w:rsidRPr="001B53A8">
        <w:rPr>
          <w:lang w:val="sr-Latn-BA"/>
        </w:rPr>
        <w:t xml:space="preserve"> </w:t>
      </w:r>
      <w:r w:rsidR="00652230" w:rsidRPr="001B53A8">
        <w:rPr>
          <w:lang w:val="sr-Latn-BA"/>
        </w:rPr>
        <w:t xml:space="preserve">2023. </w:t>
      </w:r>
      <w:r w:rsidRPr="001B53A8">
        <w:rPr>
          <w:lang w:val="sr-Latn-BA"/>
        </w:rPr>
        <w:t>godine</w:t>
      </w:r>
      <w:r w:rsidR="001B7591" w:rsidRPr="001B53A8">
        <w:rPr>
          <w:lang w:val="sr-Latn-BA"/>
        </w:rPr>
        <w:t xml:space="preserve"> </w:t>
      </w:r>
      <w:r w:rsidRPr="001B53A8">
        <w:rPr>
          <w:lang w:val="sr-Latn-BA"/>
        </w:rPr>
        <w:t>registrovano</w:t>
      </w:r>
      <w:r w:rsidR="001B7591" w:rsidRPr="001B53A8">
        <w:rPr>
          <w:lang w:val="sr-Latn-BA"/>
        </w:rPr>
        <w:t xml:space="preserve"> </w:t>
      </w:r>
      <w:r w:rsidRPr="001B53A8">
        <w:rPr>
          <w:lang w:val="sr-Latn-BA"/>
        </w:rPr>
        <w:t>je</w:t>
      </w:r>
      <w:r w:rsidR="001B7591" w:rsidRPr="001B53A8">
        <w:rPr>
          <w:lang w:val="sr-Latn-BA"/>
        </w:rPr>
        <w:t xml:space="preserve"> </w:t>
      </w:r>
      <w:r w:rsidRPr="001B53A8">
        <w:rPr>
          <w:lang w:val="sr-Latn-BA"/>
        </w:rPr>
        <w:t>ukupno</w:t>
      </w:r>
      <w:r w:rsidR="001B7591" w:rsidRPr="001B53A8">
        <w:rPr>
          <w:lang w:val="sr-Latn-BA"/>
        </w:rPr>
        <w:t xml:space="preserve"> 15 </w:t>
      </w:r>
      <w:r w:rsidRPr="001B53A8">
        <w:rPr>
          <w:lang w:val="sr-Latn-BA"/>
        </w:rPr>
        <w:t>investicionih</w:t>
      </w:r>
      <w:r w:rsidR="001B7591" w:rsidRPr="001B53A8">
        <w:rPr>
          <w:lang w:val="sr-Latn-BA"/>
        </w:rPr>
        <w:t xml:space="preserve"> </w:t>
      </w:r>
      <w:r w:rsidRPr="001B53A8">
        <w:rPr>
          <w:lang w:val="sr-Latn-BA"/>
        </w:rPr>
        <w:t>fondova</w:t>
      </w:r>
      <w:r w:rsidR="001B7591" w:rsidRPr="001B53A8">
        <w:rPr>
          <w:lang w:val="sr-Latn-BA"/>
        </w:rPr>
        <w:t xml:space="preserve">, </w:t>
      </w:r>
      <w:r w:rsidRPr="001B53A8">
        <w:rPr>
          <w:lang w:val="sr-Latn-BA"/>
        </w:rPr>
        <w:t>svi</w:t>
      </w:r>
      <w:r w:rsidR="001B7591" w:rsidRPr="001B53A8">
        <w:rPr>
          <w:lang w:val="sr-Latn-BA"/>
        </w:rPr>
        <w:t xml:space="preserve"> </w:t>
      </w:r>
      <w:r w:rsidRPr="001B53A8">
        <w:rPr>
          <w:lang w:val="sr-Latn-BA"/>
        </w:rPr>
        <w:t>fondovi</w:t>
      </w:r>
      <w:r w:rsidR="001B7591" w:rsidRPr="001B53A8">
        <w:rPr>
          <w:lang w:val="sr-Latn-BA"/>
        </w:rPr>
        <w:t xml:space="preserve"> </w:t>
      </w:r>
      <w:r w:rsidRPr="001B53A8">
        <w:rPr>
          <w:lang w:val="sr-Latn-BA"/>
        </w:rPr>
        <w:t>su</w:t>
      </w:r>
      <w:r w:rsidR="001B7591" w:rsidRPr="001B53A8">
        <w:rPr>
          <w:lang w:val="sr-Latn-BA"/>
        </w:rPr>
        <w:t xml:space="preserve"> </w:t>
      </w:r>
      <w:r w:rsidRPr="001B53A8">
        <w:rPr>
          <w:lang w:val="sr-Latn-BA"/>
        </w:rPr>
        <w:t>otvoreni</w:t>
      </w:r>
      <w:r w:rsidR="001B7591" w:rsidRPr="001B53A8">
        <w:rPr>
          <w:lang w:val="sr-Latn-BA"/>
        </w:rPr>
        <w:t xml:space="preserve"> </w:t>
      </w:r>
      <w:r w:rsidRPr="001B53A8">
        <w:rPr>
          <w:lang w:val="sr-Latn-BA"/>
        </w:rPr>
        <w:t>investicioni</w:t>
      </w:r>
      <w:r w:rsidR="001B7591" w:rsidRPr="001B53A8">
        <w:rPr>
          <w:lang w:val="sr-Latn-BA"/>
        </w:rPr>
        <w:t xml:space="preserve"> </w:t>
      </w:r>
      <w:r w:rsidRPr="001B53A8">
        <w:rPr>
          <w:lang w:val="sr-Latn-BA"/>
        </w:rPr>
        <w:t>fondovi</w:t>
      </w:r>
      <w:r w:rsidR="001B7591" w:rsidRPr="001B53A8">
        <w:rPr>
          <w:lang w:val="sr-Latn-BA"/>
        </w:rPr>
        <w:t xml:space="preserve"> (10 </w:t>
      </w:r>
      <w:r w:rsidRPr="001B53A8">
        <w:rPr>
          <w:lang w:val="sr-Latn-BA"/>
        </w:rPr>
        <w:t>akcijskih</w:t>
      </w:r>
      <w:r w:rsidR="001B7591" w:rsidRPr="001B53A8">
        <w:rPr>
          <w:lang w:val="sr-Latn-BA"/>
        </w:rPr>
        <w:t xml:space="preserve"> </w:t>
      </w:r>
      <w:r w:rsidRPr="001B53A8">
        <w:rPr>
          <w:lang w:val="sr-Latn-BA"/>
        </w:rPr>
        <w:t>i</w:t>
      </w:r>
      <w:r w:rsidR="001B7591" w:rsidRPr="001B53A8">
        <w:rPr>
          <w:lang w:val="sr-Latn-BA"/>
        </w:rPr>
        <w:t xml:space="preserve"> 5 </w:t>
      </w:r>
      <w:r w:rsidRPr="001B53A8">
        <w:rPr>
          <w:lang w:val="sr-Latn-BA"/>
        </w:rPr>
        <w:t>mješovitih</w:t>
      </w:r>
      <w:r w:rsidR="001B7591" w:rsidRPr="001B53A8">
        <w:rPr>
          <w:lang w:val="sr-Latn-BA"/>
        </w:rPr>
        <w:t xml:space="preserve"> </w:t>
      </w:r>
      <w:r w:rsidRPr="001B53A8">
        <w:rPr>
          <w:lang w:val="sr-Latn-BA"/>
        </w:rPr>
        <w:t>investicionih</w:t>
      </w:r>
      <w:r w:rsidR="001B7591" w:rsidRPr="001B53A8">
        <w:rPr>
          <w:lang w:val="sr-Latn-BA"/>
        </w:rPr>
        <w:t xml:space="preserve"> </w:t>
      </w:r>
      <w:r w:rsidRPr="001B53A8">
        <w:rPr>
          <w:lang w:val="sr-Latn-BA"/>
        </w:rPr>
        <w:t>fondova</w:t>
      </w:r>
      <w:r w:rsidR="001B7591" w:rsidRPr="001B53A8">
        <w:rPr>
          <w:lang w:val="sr-Latn-BA"/>
        </w:rPr>
        <w:t>).</w:t>
      </w:r>
    </w:p>
    <w:p w14:paraId="357C9EFD" w14:textId="496665B7" w:rsidR="001B7591" w:rsidRPr="001B53A8" w:rsidRDefault="00003F34" w:rsidP="001B7591">
      <w:pPr>
        <w:spacing w:after="0" w:line="240" w:lineRule="auto"/>
        <w:ind w:firstLine="567"/>
        <w:rPr>
          <w:lang w:val="sr-Latn-BA"/>
        </w:rPr>
      </w:pPr>
      <w:r w:rsidRPr="001B53A8">
        <w:rPr>
          <w:lang w:val="sr-Latn-BA"/>
        </w:rPr>
        <w:t>U</w:t>
      </w:r>
      <w:r w:rsidR="00652230" w:rsidRPr="001B53A8">
        <w:rPr>
          <w:lang w:val="sr-Latn-BA"/>
        </w:rPr>
        <w:t xml:space="preserve"> 2323. </w:t>
      </w:r>
      <w:r w:rsidRPr="001B53A8">
        <w:rPr>
          <w:lang w:val="sr-Latn-BA"/>
        </w:rPr>
        <w:t>godini</w:t>
      </w:r>
      <w:r w:rsidR="00652230" w:rsidRPr="001B53A8">
        <w:rPr>
          <w:lang w:val="sr-Latn-BA"/>
        </w:rPr>
        <w:t xml:space="preserve"> </w:t>
      </w:r>
      <w:r w:rsidRPr="001B53A8">
        <w:rPr>
          <w:lang w:val="sr-Latn-BA"/>
        </w:rPr>
        <w:t>Komisija</w:t>
      </w:r>
      <w:r w:rsidR="001B7591" w:rsidRPr="001B53A8">
        <w:rPr>
          <w:lang w:val="sr-Latn-BA"/>
        </w:rPr>
        <w:t xml:space="preserve"> </w:t>
      </w:r>
      <w:r w:rsidRPr="001B53A8">
        <w:rPr>
          <w:lang w:val="sr-Latn-BA"/>
        </w:rPr>
        <w:t>je</w:t>
      </w:r>
      <w:r w:rsidR="001B7591" w:rsidRPr="001B53A8">
        <w:rPr>
          <w:lang w:val="sr-Latn-BA"/>
        </w:rPr>
        <w:t xml:space="preserve"> </w:t>
      </w:r>
      <w:r w:rsidRPr="001B53A8">
        <w:rPr>
          <w:lang w:val="sr-Latn-BA"/>
        </w:rPr>
        <w:t>stavila</w:t>
      </w:r>
      <w:r w:rsidR="001B7591" w:rsidRPr="001B53A8">
        <w:rPr>
          <w:lang w:val="sr-Latn-BA"/>
        </w:rPr>
        <w:t xml:space="preserve"> </w:t>
      </w:r>
      <w:r w:rsidRPr="001B53A8">
        <w:rPr>
          <w:lang w:val="sr-Latn-BA"/>
        </w:rPr>
        <w:t>van</w:t>
      </w:r>
      <w:r w:rsidR="001B7591" w:rsidRPr="001B53A8">
        <w:rPr>
          <w:lang w:val="sr-Latn-BA"/>
        </w:rPr>
        <w:t xml:space="preserve"> </w:t>
      </w:r>
      <w:r w:rsidRPr="001B53A8">
        <w:rPr>
          <w:lang w:val="sr-Latn-BA"/>
        </w:rPr>
        <w:t>snage</w:t>
      </w:r>
      <w:r w:rsidR="001B7591" w:rsidRPr="001B53A8">
        <w:rPr>
          <w:lang w:val="sr-Latn-BA"/>
        </w:rPr>
        <w:t xml:space="preserve"> </w:t>
      </w:r>
      <w:r w:rsidRPr="001B53A8">
        <w:rPr>
          <w:lang w:val="sr-Latn-BA"/>
        </w:rPr>
        <w:t>tri</w:t>
      </w:r>
      <w:r w:rsidR="001B7591" w:rsidRPr="001B53A8">
        <w:rPr>
          <w:lang w:val="sr-Latn-BA"/>
        </w:rPr>
        <w:t xml:space="preserve"> </w:t>
      </w:r>
      <w:r w:rsidRPr="001B53A8">
        <w:rPr>
          <w:lang w:val="sr-Latn-BA"/>
        </w:rPr>
        <w:t>rješenja</w:t>
      </w:r>
      <w:r w:rsidR="001B7591" w:rsidRPr="001B53A8">
        <w:rPr>
          <w:lang w:val="sr-Latn-BA"/>
        </w:rPr>
        <w:t xml:space="preserve"> </w:t>
      </w:r>
      <w:r w:rsidRPr="001B53A8">
        <w:rPr>
          <w:lang w:val="sr-Latn-BA"/>
        </w:rPr>
        <w:t>kojima</w:t>
      </w:r>
      <w:r w:rsidR="001B7591" w:rsidRPr="001B53A8">
        <w:rPr>
          <w:lang w:val="sr-Latn-BA"/>
        </w:rPr>
        <w:t xml:space="preserve"> </w:t>
      </w:r>
      <w:r w:rsidRPr="001B53A8">
        <w:rPr>
          <w:lang w:val="sr-Latn-BA"/>
        </w:rPr>
        <w:t>su</w:t>
      </w:r>
      <w:r w:rsidR="001B7591" w:rsidRPr="001B53A8">
        <w:rPr>
          <w:lang w:val="sr-Latn-BA"/>
        </w:rPr>
        <w:t xml:space="preserve"> </w:t>
      </w:r>
      <w:r w:rsidRPr="001B53A8">
        <w:rPr>
          <w:lang w:val="sr-Latn-BA"/>
        </w:rPr>
        <w:t>blokirana</w:t>
      </w:r>
      <w:r w:rsidR="001B7591" w:rsidRPr="001B53A8">
        <w:rPr>
          <w:lang w:val="sr-Latn-BA"/>
        </w:rPr>
        <w:t xml:space="preserve"> </w:t>
      </w:r>
      <w:r w:rsidRPr="001B53A8">
        <w:rPr>
          <w:lang w:val="sr-Latn-BA"/>
        </w:rPr>
        <w:t>glasačka</w:t>
      </w:r>
      <w:r w:rsidR="001B7591" w:rsidRPr="001B53A8">
        <w:rPr>
          <w:lang w:val="sr-Latn-BA"/>
        </w:rPr>
        <w:t xml:space="preserve"> </w:t>
      </w:r>
      <w:r w:rsidRPr="001B53A8">
        <w:rPr>
          <w:lang w:val="sr-Latn-BA"/>
        </w:rPr>
        <w:t>prava</w:t>
      </w:r>
      <w:r w:rsidR="001B7591" w:rsidRPr="001B53A8">
        <w:rPr>
          <w:lang w:val="sr-Latn-BA"/>
        </w:rPr>
        <w:t xml:space="preserve"> </w:t>
      </w:r>
      <w:r w:rsidRPr="001B53A8">
        <w:rPr>
          <w:lang w:val="sr-Latn-BA"/>
        </w:rPr>
        <w:t>i</w:t>
      </w:r>
      <w:r w:rsidR="001B7591" w:rsidRPr="001B53A8">
        <w:rPr>
          <w:lang w:val="sr-Latn-BA"/>
        </w:rPr>
        <w:t xml:space="preserve"> </w:t>
      </w:r>
      <w:r w:rsidRPr="001B53A8">
        <w:rPr>
          <w:lang w:val="sr-Latn-BA"/>
        </w:rPr>
        <w:t>naloženo</w:t>
      </w:r>
      <w:r w:rsidR="001B7591" w:rsidRPr="001B53A8">
        <w:rPr>
          <w:lang w:val="sr-Latn-BA"/>
        </w:rPr>
        <w:t xml:space="preserve"> </w:t>
      </w:r>
      <w:r w:rsidRPr="001B53A8">
        <w:rPr>
          <w:lang w:val="sr-Latn-BA"/>
        </w:rPr>
        <w:t>je</w:t>
      </w:r>
      <w:r w:rsidR="001B7591" w:rsidRPr="001B53A8">
        <w:rPr>
          <w:lang w:val="sr-Latn-BA"/>
        </w:rPr>
        <w:t xml:space="preserve"> </w:t>
      </w:r>
      <w:r w:rsidRPr="001B53A8">
        <w:rPr>
          <w:lang w:val="sr-Latn-BA"/>
        </w:rPr>
        <w:t>brisanje</w:t>
      </w:r>
      <w:r w:rsidR="001B7591" w:rsidRPr="001B53A8">
        <w:rPr>
          <w:lang w:val="sr-Latn-BA"/>
        </w:rPr>
        <w:t xml:space="preserve"> </w:t>
      </w:r>
      <w:r w:rsidRPr="001B53A8">
        <w:rPr>
          <w:lang w:val="sr-Latn-BA"/>
        </w:rPr>
        <w:t>zabrane</w:t>
      </w:r>
      <w:r w:rsidR="001B7591" w:rsidRPr="001B53A8">
        <w:rPr>
          <w:lang w:val="sr-Latn-BA"/>
        </w:rPr>
        <w:t xml:space="preserve"> </w:t>
      </w:r>
      <w:r w:rsidRPr="001B53A8">
        <w:rPr>
          <w:lang w:val="sr-Latn-BA"/>
        </w:rPr>
        <w:t>prava</w:t>
      </w:r>
      <w:r w:rsidR="001B7591" w:rsidRPr="001B53A8">
        <w:rPr>
          <w:lang w:val="sr-Latn-BA"/>
        </w:rPr>
        <w:t xml:space="preserve"> </w:t>
      </w:r>
      <w:r w:rsidRPr="001B53A8">
        <w:rPr>
          <w:lang w:val="sr-Latn-BA"/>
        </w:rPr>
        <w:t>glasa</w:t>
      </w:r>
      <w:r w:rsidR="001B7591" w:rsidRPr="001B53A8">
        <w:rPr>
          <w:lang w:val="sr-Latn-BA"/>
        </w:rPr>
        <w:t>.</w:t>
      </w:r>
    </w:p>
    <w:p w14:paraId="307A070D" w14:textId="0F472B02" w:rsidR="00434025" w:rsidRPr="001B53A8" w:rsidRDefault="00003F34" w:rsidP="006B6E0C">
      <w:pPr>
        <w:pStyle w:val="ListParagraph"/>
        <w:numPr>
          <w:ilvl w:val="0"/>
          <w:numId w:val="7"/>
        </w:numPr>
        <w:tabs>
          <w:tab w:val="left" w:pos="851"/>
        </w:tabs>
        <w:spacing w:after="0" w:line="240" w:lineRule="auto"/>
        <w:ind w:left="0" w:firstLine="567"/>
        <w:contextualSpacing w:val="0"/>
        <w:rPr>
          <w:lang w:val="sr-Latn-BA"/>
        </w:rPr>
      </w:pPr>
      <w:r w:rsidRPr="001B53A8">
        <w:rPr>
          <w:b/>
          <w:lang w:val="sr-Latn-BA"/>
        </w:rPr>
        <w:t>Dozvolu</w:t>
      </w:r>
      <w:r w:rsidR="00434025" w:rsidRPr="001B53A8">
        <w:rPr>
          <w:lang w:val="sr-Latn-BA"/>
        </w:rPr>
        <w:t xml:space="preserve"> </w:t>
      </w:r>
      <w:r w:rsidRPr="001B53A8">
        <w:rPr>
          <w:b/>
          <w:lang w:val="sr-Latn-BA"/>
        </w:rPr>
        <w:t>na</w:t>
      </w:r>
      <w:r w:rsidR="00434025" w:rsidRPr="001B53A8">
        <w:rPr>
          <w:b/>
          <w:lang w:val="sr-Latn-BA"/>
        </w:rPr>
        <w:t xml:space="preserve"> </w:t>
      </w:r>
      <w:r w:rsidRPr="001B53A8">
        <w:rPr>
          <w:b/>
          <w:lang w:val="sr-Latn-BA"/>
        </w:rPr>
        <w:t>imenovanje</w:t>
      </w:r>
      <w:r w:rsidR="00434025" w:rsidRPr="001B53A8">
        <w:rPr>
          <w:b/>
          <w:lang w:val="sr-Latn-BA"/>
        </w:rPr>
        <w:t xml:space="preserve"> </w:t>
      </w:r>
      <w:r w:rsidRPr="001B53A8">
        <w:rPr>
          <w:b/>
          <w:lang w:val="sr-Latn-BA"/>
        </w:rPr>
        <w:t>članova</w:t>
      </w:r>
      <w:r w:rsidR="00434025" w:rsidRPr="001B53A8">
        <w:rPr>
          <w:b/>
          <w:lang w:val="sr-Latn-BA"/>
        </w:rPr>
        <w:t xml:space="preserve"> </w:t>
      </w:r>
      <w:r w:rsidRPr="001B53A8">
        <w:rPr>
          <w:b/>
          <w:lang w:val="sr-Latn-BA"/>
        </w:rPr>
        <w:t>uprave</w:t>
      </w:r>
      <w:r w:rsidR="00434025" w:rsidRPr="001B53A8">
        <w:rPr>
          <w:b/>
          <w:lang w:val="sr-Latn-BA"/>
        </w:rPr>
        <w:t xml:space="preserve"> </w:t>
      </w:r>
      <w:r w:rsidRPr="001B53A8">
        <w:rPr>
          <w:b/>
          <w:lang w:val="sr-Latn-BA"/>
        </w:rPr>
        <w:t>društva</w:t>
      </w:r>
      <w:r w:rsidR="00434025" w:rsidRPr="001B53A8">
        <w:rPr>
          <w:b/>
          <w:lang w:val="sr-Latn-BA"/>
        </w:rPr>
        <w:t xml:space="preserve"> </w:t>
      </w:r>
      <w:r w:rsidRPr="001B53A8">
        <w:rPr>
          <w:b/>
          <w:lang w:val="sr-Latn-BA"/>
        </w:rPr>
        <w:t>za</w:t>
      </w:r>
      <w:r w:rsidR="00434025" w:rsidRPr="001B53A8">
        <w:rPr>
          <w:b/>
          <w:lang w:val="sr-Latn-BA"/>
        </w:rPr>
        <w:t xml:space="preserve"> </w:t>
      </w:r>
      <w:r w:rsidRPr="001B53A8">
        <w:rPr>
          <w:b/>
          <w:lang w:val="sr-Latn-BA"/>
        </w:rPr>
        <w:t>upravlјanje</w:t>
      </w:r>
      <w:r w:rsidR="00434025" w:rsidRPr="001B53A8">
        <w:rPr>
          <w:lang w:val="sr-Latn-BA"/>
        </w:rPr>
        <w:t xml:space="preserve">, </w:t>
      </w:r>
      <w:r w:rsidRPr="001B53A8">
        <w:rPr>
          <w:lang w:val="sr-Latn-BA"/>
        </w:rPr>
        <w:t>Komisija</w:t>
      </w:r>
      <w:r w:rsidR="00434025" w:rsidRPr="001B53A8">
        <w:rPr>
          <w:lang w:val="sr-Latn-BA"/>
        </w:rPr>
        <w:t xml:space="preserve"> </w:t>
      </w:r>
      <w:r w:rsidRPr="001B53A8">
        <w:rPr>
          <w:lang w:val="sr-Latn-BA"/>
        </w:rPr>
        <w:t>izdaje</w:t>
      </w:r>
      <w:r w:rsidR="00434025" w:rsidRPr="001B53A8">
        <w:rPr>
          <w:lang w:val="sr-Latn-BA"/>
        </w:rPr>
        <w:t xml:space="preserve"> </w:t>
      </w:r>
      <w:r w:rsidRPr="001B53A8">
        <w:rPr>
          <w:lang w:val="sr-Latn-BA"/>
        </w:rPr>
        <w:t>na</w:t>
      </w:r>
      <w:r w:rsidR="00434025" w:rsidRPr="001B53A8">
        <w:rPr>
          <w:lang w:val="sr-Latn-BA"/>
        </w:rPr>
        <w:t xml:space="preserve"> </w:t>
      </w:r>
      <w:r w:rsidRPr="001B53A8">
        <w:rPr>
          <w:lang w:val="sr-Latn-BA"/>
        </w:rPr>
        <w:t>osnovu</w:t>
      </w:r>
      <w:r w:rsidR="00434025" w:rsidRPr="001B53A8">
        <w:rPr>
          <w:lang w:val="sr-Latn-BA"/>
        </w:rPr>
        <w:t xml:space="preserve"> </w:t>
      </w:r>
      <w:r w:rsidRPr="001B53A8">
        <w:rPr>
          <w:lang w:val="sr-Latn-BA"/>
        </w:rPr>
        <w:t>člana</w:t>
      </w:r>
      <w:r w:rsidR="00434025" w:rsidRPr="001B53A8">
        <w:rPr>
          <w:lang w:val="sr-Latn-BA"/>
        </w:rPr>
        <w:t xml:space="preserve"> 27. </w:t>
      </w:r>
      <w:r w:rsidRPr="001B53A8">
        <w:rPr>
          <w:lang w:val="sr-Latn-BA"/>
        </w:rPr>
        <w:t>Zakona</w:t>
      </w:r>
      <w:r w:rsidR="00434025" w:rsidRPr="001B53A8">
        <w:rPr>
          <w:lang w:val="sr-Latn-BA"/>
        </w:rPr>
        <w:t xml:space="preserve"> </w:t>
      </w:r>
      <w:r w:rsidRPr="001B53A8">
        <w:rPr>
          <w:lang w:val="sr-Latn-BA"/>
        </w:rPr>
        <w:t>o</w:t>
      </w:r>
      <w:r w:rsidR="00434025" w:rsidRPr="001B53A8">
        <w:rPr>
          <w:lang w:val="sr-Latn-BA"/>
        </w:rPr>
        <w:t xml:space="preserve"> </w:t>
      </w:r>
      <w:r w:rsidRPr="001B53A8">
        <w:rPr>
          <w:lang w:val="sr-Latn-BA"/>
        </w:rPr>
        <w:t>investicionim</w:t>
      </w:r>
      <w:r w:rsidR="00434025" w:rsidRPr="001B53A8">
        <w:rPr>
          <w:lang w:val="sr-Latn-BA"/>
        </w:rPr>
        <w:t xml:space="preserve"> </w:t>
      </w:r>
      <w:r w:rsidRPr="001B53A8">
        <w:rPr>
          <w:lang w:val="sr-Latn-BA"/>
        </w:rPr>
        <w:t>fondovima</w:t>
      </w:r>
      <w:r w:rsidR="00434025" w:rsidRPr="001B53A8">
        <w:rPr>
          <w:lang w:val="sr-Latn-BA"/>
        </w:rPr>
        <w:t xml:space="preserve">, </w:t>
      </w:r>
      <w:r w:rsidRPr="001B53A8">
        <w:rPr>
          <w:lang w:val="sr-Latn-BA"/>
        </w:rPr>
        <w:t>te</w:t>
      </w:r>
      <w:r w:rsidR="00434025" w:rsidRPr="001B53A8">
        <w:rPr>
          <w:lang w:val="sr-Latn-BA"/>
        </w:rPr>
        <w:t xml:space="preserve"> </w:t>
      </w:r>
      <w:r w:rsidRPr="001B53A8">
        <w:rPr>
          <w:lang w:val="sr-Latn-BA"/>
        </w:rPr>
        <w:t>prema</w:t>
      </w:r>
      <w:r w:rsidR="00434025" w:rsidRPr="001B53A8">
        <w:rPr>
          <w:lang w:val="sr-Latn-BA"/>
        </w:rPr>
        <w:t xml:space="preserve"> </w:t>
      </w:r>
      <w:r w:rsidRPr="001B53A8">
        <w:rPr>
          <w:lang w:val="sr-Latn-BA"/>
        </w:rPr>
        <w:t>uslovima</w:t>
      </w:r>
      <w:r w:rsidR="00434025" w:rsidRPr="001B53A8">
        <w:rPr>
          <w:lang w:val="sr-Latn-BA"/>
        </w:rPr>
        <w:t xml:space="preserve"> </w:t>
      </w:r>
      <w:r w:rsidRPr="001B53A8">
        <w:rPr>
          <w:lang w:val="sr-Latn-BA"/>
        </w:rPr>
        <w:t>i</w:t>
      </w:r>
      <w:r w:rsidR="00434025" w:rsidRPr="001B53A8">
        <w:rPr>
          <w:lang w:val="sr-Latn-BA"/>
        </w:rPr>
        <w:t xml:space="preserve"> </w:t>
      </w:r>
      <w:r w:rsidRPr="001B53A8">
        <w:rPr>
          <w:lang w:val="sr-Latn-BA"/>
        </w:rPr>
        <w:t>postupku</w:t>
      </w:r>
      <w:r w:rsidR="00434025" w:rsidRPr="001B53A8">
        <w:rPr>
          <w:lang w:val="sr-Latn-BA"/>
        </w:rPr>
        <w:t xml:space="preserve"> </w:t>
      </w:r>
      <w:r w:rsidRPr="001B53A8">
        <w:rPr>
          <w:lang w:val="sr-Latn-BA"/>
        </w:rPr>
        <w:t>predviđenim</w:t>
      </w:r>
      <w:r w:rsidR="00434025" w:rsidRPr="001B53A8">
        <w:rPr>
          <w:lang w:val="sr-Latn-BA"/>
        </w:rPr>
        <w:t xml:space="preserve"> </w:t>
      </w:r>
      <w:r w:rsidRPr="001B53A8">
        <w:rPr>
          <w:lang w:val="sr-Latn-BA"/>
        </w:rPr>
        <w:t>Pravilnikom</w:t>
      </w:r>
      <w:r w:rsidR="00434025" w:rsidRPr="001B53A8">
        <w:rPr>
          <w:lang w:val="sr-Latn-BA"/>
        </w:rPr>
        <w:t xml:space="preserve"> </w:t>
      </w:r>
      <w:r w:rsidRPr="001B53A8">
        <w:rPr>
          <w:lang w:val="sr-Latn-BA"/>
        </w:rPr>
        <w:t>o</w:t>
      </w:r>
      <w:r w:rsidR="00434025" w:rsidRPr="001B53A8">
        <w:rPr>
          <w:lang w:val="sr-Latn-BA"/>
        </w:rPr>
        <w:t xml:space="preserve"> </w:t>
      </w:r>
      <w:r w:rsidRPr="001B53A8">
        <w:rPr>
          <w:lang w:val="sr-Latn-BA"/>
        </w:rPr>
        <w:t>uslovima</w:t>
      </w:r>
      <w:r w:rsidR="00434025" w:rsidRPr="001B53A8">
        <w:rPr>
          <w:lang w:val="sr-Latn-BA"/>
        </w:rPr>
        <w:t xml:space="preserve"> </w:t>
      </w:r>
      <w:r w:rsidRPr="001B53A8">
        <w:rPr>
          <w:lang w:val="sr-Latn-BA"/>
        </w:rPr>
        <w:t>i</w:t>
      </w:r>
      <w:r w:rsidR="00434025" w:rsidRPr="001B53A8">
        <w:rPr>
          <w:lang w:val="sr-Latn-BA"/>
        </w:rPr>
        <w:t xml:space="preserve"> </w:t>
      </w:r>
      <w:r w:rsidRPr="001B53A8">
        <w:rPr>
          <w:lang w:val="sr-Latn-BA"/>
        </w:rPr>
        <w:t>postupku</w:t>
      </w:r>
      <w:r w:rsidR="00434025" w:rsidRPr="001B53A8">
        <w:rPr>
          <w:lang w:val="sr-Latn-BA"/>
        </w:rPr>
        <w:t xml:space="preserve"> </w:t>
      </w:r>
      <w:r w:rsidRPr="001B53A8">
        <w:rPr>
          <w:lang w:val="sr-Latn-BA"/>
        </w:rPr>
        <w:t>izdavanja</w:t>
      </w:r>
      <w:r w:rsidR="00434025" w:rsidRPr="001B53A8">
        <w:rPr>
          <w:lang w:val="sr-Latn-BA"/>
        </w:rPr>
        <w:t xml:space="preserve"> </w:t>
      </w:r>
      <w:r w:rsidRPr="001B53A8">
        <w:rPr>
          <w:lang w:val="sr-Latn-BA"/>
        </w:rPr>
        <w:t>dozvole</w:t>
      </w:r>
      <w:r w:rsidR="00434025" w:rsidRPr="001B53A8">
        <w:rPr>
          <w:lang w:val="sr-Latn-BA"/>
        </w:rPr>
        <w:t xml:space="preserve"> </w:t>
      </w:r>
      <w:r w:rsidRPr="001B53A8">
        <w:rPr>
          <w:lang w:val="sr-Latn-BA"/>
        </w:rPr>
        <w:t>za</w:t>
      </w:r>
      <w:r w:rsidR="00434025" w:rsidRPr="001B53A8">
        <w:rPr>
          <w:lang w:val="sr-Latn-BA"/>
        </w:rPr>
        <w:t xml:space="preserve"> </w:t>
      </w:r>
      <w:r w:rsidRPr="001B53A8">
        <w:rPr>
          <w:lang w:val="sr-Latn-BA"/>
        </w:rPr>
        <w:t>obavlјanje</w:t>
      </w:r>
      <w:r w:rsidR="00434025" w:rsidRPr="001B53A8">
        <w:rPr>
          <w:lang w:val="sr-Latn-BA"/>
        </w:rPr>
        <w:t xml:space="preserve"> </w:t>
      </w:r>
      <w:r w:rsidRPr="001B53A8">
        <w:rPr>
          <w:lang w:val="sr-Latn-BA"/>
        </w:rPr>
        <w:t>funkcije</w:t>
      </w:r>
      <w:r w:rsidR="00434025" w:rsidRPr="001B53A8">
        <w:rPr>
          <w:lang w:val="sr-Latn-BA"/>
        </w:rPr>
        <w:t xml:space="preserve"> </w:t>
      </w:r>
      <w:r w:rsidRPr="001B53A8">
        <w:rPr>
          <w:lang w:val="sr-Latn-BA"/>
        </w:rPr>
        <w:t>člana</w:t>
      </w:r>
      <w:r w:rsidR="00434025" w:rsidRPr="001B53A8">
        <w:rPr>
          <w:lang w:val="sr-Latn-BA"/>
        </w:rPr>
        <w:t xml:space="preserve"> </w:t>
      </w:r>
      <w:r w:rsidRPr="001B53A8">
        <w:rPr>
          <w:lang w:val="sr-Latn-BA"/>
        </w:rPr>
        <w:t>upravnog</w:t>
      </w:r>
      <w:r w:rsidR="00434025" w:rsidRPr="001B53A8">
        <w:rPr>
          <w:lang w:val="sr-Latn-BA"/>
        </w:rPr>
        <w:t xml:space="preserve"> </w:t>
      </w:r>
      <w:r w:rsidRPr="001B53A8">
        <w:rPr>
          <w:lang w:val="sr-Latn-BA"/>
        </w:rPr>
        <w:t>odbora</w:t>
      </w:r>
      <w:r w:rsidR="00434025" w:rsidRPr="001B53A8">
        <w:rPr>
          <w:lang w:val="sr-Latn-BA"/>
        </w:rPr>
        <w:t xml:space="preserve"> </w:t>
      </w:r>
      <w:r w:rsidRPr="001B53A8">
        <w:rPr>
          <w:lang w:val="sr-Latn-BA"/>
        </w:rPr>
        <w:t>društva</w:t>
      </w:r>
      <w:r w:rsidR="00434025" w:rsidRPr="001B53A8">
        <w:rPr>
          <w:lang w:val="sr-Latn-BA"/>
        </w:rPr>
        <w:t xml:space="preserve"> </w:t>
      </w:r>
      <w:r w:rsidRPr="001B53A8">
        <w:rPr>
          <w:lang w:val="sr-Latn-BA"/>
        </w:rPr>
        <w:t>za</w:t>
      </w:r>
      <w:r w:rsidR="00434025" w:rsidRPr="001B53A8">
        <w:rPr>
          <w:lang w:val="sr-Latn-BA"/>
        </w:rPr>
        <w:t xml:space="preserve"> </w:t>
      </w:r>
      <w:r w:rsidRPr="001B53A8">
        <w:rPr>
          <w:lang w:val="sr-Latn-BA"/>
        </w:rPr>
        <w:t>upravlјanje</w:t>
      </w:r>
      <w:r w:rsidR="00434025" w:rsidRPr="001B53A8">
        <w:rPr>
          <w:lang w:val="sr-Latn-BA"/>
        </w:rPr>
        <w:t xml:space="preserve"> </w:t>
      </w:r>
      <w:r w:rsidRPr="001B53A8">
        <w:rPr>
          <w:lang w:val="sr-Latn-BA"/>
        </w:rPr>
        <w:t>investicionim</w:t>
      </w:r>
      <w:r w:rsidR="00434025" w:rsidRPr="001B53A8">
        <w:rPr>
          <w:lang w:val="sr-Latn-BA"/>
        </w:rPr>
        <w:t xml:space="preserve"> </w:t>
      </w:r>
      <w:r w:rsidRPr="001B53A8">
        <w:rPr>
          <w:lang w:val="sr-Latn-BA"/>
        </w:rPr>
        <w:t>fondovima</w:t>
      </w:r>
      <w:r w:rsidR="00434025" w:rsidRPr="001B53A8">
        <w:rPr>
          <w:lang w:val="sr-Latn-BA"/>
        </w:rPr>
        <w:t>.</w:t>
      </w:r>
    </w:p>
    <w:p w14:paraId="546D395D" w14:textId="6C6D2509" w:rsidR="00434025" w:rsidRPr="001B53A8" w:rsidRDefault="00003F34" w:rsidP="00652230">
      <w:pPr>
        <w:spacing w:after="0" w:line="240" w:lineRule="auto"/>
        <w:ind w:firstLine="567"/>
        <w:rPr>
          <w:lang w:val="sr-Latn-BA"/>
        </w:rPr>
      </w:pPr>
      <w:r w:rsidRPr="001B53A8">
        <w:rPr>
          <w:lang w:val="sr-Latn-BA"/>
        </w:rPr>
        <w:t>U</w:t>
      </w:r>
      <w:r w:rsidR="00397706" w:rsidRPr="001B53A8">
        <w:rPr>
          <w:lang w:val="sr-Latn-BA"/>
        </w:rPr>
        <w:t xml:space="preserve"> </w:t>
      </w:r>
      <w:r w:rsidRPr="001B53A8">
        <w:rPr>
          <w:lang w:val="sr-Latn-BA"/>
        </w:rPr>
        <w:t>toku</w:t>
      </w:r>
      <w:r w:rsidR="00397706" w:rsidRPr="001B53A8">
        <w:rPr>
          <w:lang w:val="sr-Latn-BA"/>
        </w:rPr>
        <w:t xml:space="preserve"> </w:t>
      </w:r>
      <w:r w:rsidRPr="001B53A8">
        <w:rPr>
          <w:lang w:val="sr-Latn-BA"/>
        </w:rPr>
        <w:t>izvještajnog</w:t>
      </w:r>
      <w:r w:rsidR="00397706" w:rsidRPr="001B53A8">
        <w:rPr>
          <w:lang w:val="sr-Latn-BA"/>
        </w:rPr>
        <w:t xml:space="preserve"> </w:t>
      </w:r>
      <w:r w:rsidRPr="001B53A8">
        <w:rPr>
          <w:lang w:val="sr-Latn-BA"/>
        </w:rPr>
        <w:t>perioda</w:t>
      </w:r>
      <w:r w:rsidR="00397706" w:rsidRPr="001B53A8">
        <w:rPr>
          <w:lang w:val="sr-Latn-BA"/>
        </w:rPr>
        <w:t xml:space="preserve"> </w:t>
      </w:r>
      <w:r w:rsidRPr="001B53A8">
        <w:rPr>
          <w:lang w:val="sr-Latn-BA"/>
        </w:rPr>
        <w:t>Komisija</w:t>
      </w:r>
      <w:r w:rsidR="00652230" w:rsidRPr="001B53A8">
        <w:rPr>
          <w:lang w:val="sr-Latn-BA"/>
        </w:rPr>
        <w:t xml:space="preserve"> </w:t>
      </w:r>
      <w:r w:rsidRPr="001B53A8">
        <w:rPr>
          <w:lang w:val="sr-Latn-BA"/>
        </w:rPr>
        <w:t>za</w:t>
      </w:r>
      <w:r w:rsidR="00652230" w:rsidRPr="001B53A8">
        <w:rPr>
          <w:lang w:val="sr-Latn-BA"/>
        </w:rPr>
        <w:t xml:space="preserve"> </w:t>
      </w:r>
      <w:r w:rsidRPr="001B53A8">
        <w:rPr>
          <w:lang w:val="sr-Latn-BA"/>
        </w:rPr>
        <w:t>hartije</w:t>
      </w:r>
      <w:r w:rsidR="00652230" w:rsidRPr="001B53A8">
        <w:rPr>
          <w:lang w:val="sr-Latn-BA"/>
        </w:rPr>
        <w:t xml:space="preserve"> </w:t>
      </w:r>
      <w:r w:rsidRPr="001B53A8">
        <w:rPr>
          <w:lang w:val="sr-Latn-BA"/>
        </w:rPr>
        <w:t>od</w:t>
      </w:r>
      <w:r w:rsidR="00652230" w:rsidRPr="001B53A8">
        <w:rPr>
          <w:lang w:val="sr-Latn-BA"/>
        </w:rPr>
        <w:t xml:space="preserve"> </w:t>
      </w:r>
      <w:r w:rsidRPr="001B53A8">
        <w:rPr>
          <w:lang w:val="sr-Latn-BA"/>
        </w:rPr>
        <w:t>vrijednosti</w:t>
      </w:r>
      <w:r w:rsidR="00652230" w:rsidRPr="001B53A8">
        <w:rPr>
          <w:lang w:val="sr-Latn-BA"/>
        </w:rPr>
        <w:t xml:space="preserve"> </w:t>
      </w:r>
      <w:r w:rsidRPr="001B53A8">
        <w:rPr>
          <w:lang w:val="sr-Latn-BA"/>
        </w:rPr>
        <w:t>je</w:t>
      </w:r>
      <w:r w:rsidR="00652230" w:rsidRPr="001B53A8">
        <w:rPr>
          <w:lang w:val="sr-Latn-BA"/>
        </w:rPr>
        <w:t xml:space="preserve"> </w:t>
      </w:r>
      <w:r w:rsidRPr="001B53A8">
        <w:rPr>
          <w:lang w:val="sr-Latn-BA"/>
        </w:rPr>
        <w:t>izdala</w:t>
      </w:r>
      <w:r w:rsidR="00652230" w:rsidRPr="001B53A8">
        <w:rPr>
          <w:lang w:val="sr-Latn-BA"/>
        </w:rPr>
        <w:t xml:space="preserve"> </w:t>
      </w:r>
      <w:r w:rsidRPr="001B53A8">
        <w:rPr>
          <w:lang w:val="sr-Latn-BA"/>
        </w:rPr>
        <w:t>sedam</w:t>
      </w:r>
      <w:r w:rsidR="00652230" w:rsidRPr="001B53A8">
        <w:rPr>
          <w:lang w:val="sr-Latn-BA"/>
        </w:rPr>
        <w:t xml:space="preserve"> </w:t>
      </w:r>
      <w:r w:rsidRPr="001B53A8">
        <w:rPr>
          <w:lang w:val="sr-Latn-BA"/>
        </w:rPr>
        <w:t>dozvola</w:t>
      </w:r>
      <w:r w:rsidR="00652230" w:rsidRPr="001B53A8">
        <w:rPr>
          <w:lang w:val="sr-Latn-BA"/>
        </w:rPr>
        <w:t xml:space="preserve"> </w:t>
      </w:r>
      <w:r w:rsidRPr="001B53A8">
        <w:rPr>
          <w:rFonts w:eastAsia="Times New Roman"/>
          <w:lang w:val="sr-Latn-BA"/>
        </w:rPr>
        <w:t>za</w:t>
      </w:r>
      <w:r w:rsidR="00652230" w:rsidRPr="001B53A8">
        <w:rPr>
          <w:lang w:val="sr-Latn-BA"/>
        </w:rPr>
        <w:t xml:space="preserve"> </w:t>
      </w:r>
      <w:r w:rsidRPr="001B53A8">
        <w:rPr>
          <w:lang w:val="sr-Latn-BA"/>
        </w:rPr>
        <w:t>imenovanje</w:t>
      </w:r>
      <w:r w:rsidR="00652230" w:rsidRPr="001B53A8">
        <w:rPr>
          <w:lang w:val="sr-Latn-BA"/>
        </w:rPr>
        <w:t xml:space="preserve"> </w:t>
      </w:r>
      <w:r w:rsidRPr="001B53A8">
        <w:rPr>
          <w:lang w:val="sr-Latn-BA"/>
        </w:rPr>
        <w:t>člana</w:t>
      </w:r>
      <w:r w:rsidR="00652230" w:rsidRPr="001B53A8">
        <w:rPr>
          <w:lang w:val="sr-Latn-BA"/>
        </w:rPr>
        <w:t xml:space="preserve"> </w:t>
      </w:r>
      <w:r w:rsidRPr="001B53A8">
        <w:rPr>
          <w:lang w:val="sr-Latn-BA"/>
        </w:rPr>
        <w:t>upravnog</w:t>
      </w:r>
      <w:r w:rsidR="00652230" w:rsidRPr="001B53A8">
        <w:rPr>
          <w:lang w:val="sr-Latn-BA"/>
        </w:rPr>
        <w:t xml:space="preserve"> </w:t>
      </w:r>
      <w:r w:rsidRPr="001B53A8">
        <w:rPr>
          <w:lang w:val="sr-Latn-BA"/>
        </w:rPr>
        <w:t>odbora</w:t>
      </w:r>
      <w:r w:rsidR="00652230" w:rsidRPr="001B53A8">
        <w:rPr>
          <w:lang w:val="sr-Latn-BA"/>
        </w:rPr>
        <w:t xml:space="preserve"> </w:t>
      </w:r>
      <w:r w:rsidRPr="001B53A8">
        <w:rPr>
          <w:lang w:val="sr-Latn-BA"/>
        </w:rPr>
        <w:t>društva</w:t>
      </w:r>
      <w:r w:rsidR="00C547C0" w:rsidRPr="001B53A8">
        <w:rPr>
          <w:lang w:val="sr-Latn-BA"/>
        </w:rPr>
        <w:t xml:space="preserve"> </w:t>
      </w:r>
      <w:r w:rsidRPr="001B53A8">
        <w:rPr>
          <w:lang w:val="sr-Latn-BA"/>
        </w:rPr>
        <w:t>za</w:t>
      </w:r>
      <w:r w:rsidR="00C547C0" w:rsidRPr="001B53A8">
        <w:rPr>
          <w:lang w:val="sr-Latn-BA"/>
        </w:rPr>
        <w:t xml:space="preserve"> </w:t>
      </w:r>
      <w:r w:rsidRPr="001B53A8">
        <w:rPr>
          <w:lang w:val="sr-Latn-BA"/>
        </w:rPr>
        <w:t>upravlјanje</w:t>
      </w:r>
      <w:r w:rsidR="00C547C0" w:rsidRPr="001B53A8">
        <w:rPr>
          <w:lang w:val="sr-Latn-BA"/>
        </w:rPr>
        <w:t xml:space="preserve"> </w:t>
      </w:r>
      <w:r w:rsidRPr="001B53A8">
        <w:rPr>
          <w:lang w:val="sr-Latn-BA"/>
        </w:rPr>
        <w:t>investicionim</w:t>
      </w:r>
      <w:r w:rsidR="00C547C0" w:rsidRPr="001B53A8">
        <w:rPr>
          <w:lang w:val="sr-Latn-BA"/>
        </w:rPr>
        <w:t xml:space="preserve"> </w:t>
      </w:r>
      <w:r w:rsidRPr="001B53A8">
        <w:rPr>
          <w:lang w:val="sr-Latn-BA"/>
        </w:rPr>
        <w:t>fondovima</w:t>
      </w:r>
      <w:r w:rsidR="00434025" w:rsidRPr="001B53A8">
        <w:rPr>
          <w:lang w:val="sr-Latn-BA"/>
        </w:rPr>
        <w:t>.</w:t>
      </w:r>
    </w:p>
    <w:p w14:paraId="7D3E9519" w14:textId="2B19FB1E" w:rsidR="00434025" w:rsidRPr="001B53A8" w:rsidRDefault="00003F34" w:rsidP="006B6E0C">
      <w:pPr>
        <w:pStyle w:val="ListParagraph"/>
        <w:numPr>
          <w:ilvl w:val="0"/>
          <w:numId w:val="7"/>
        </w:numPr>
        <w:tabs>
          <w:tab w:val="left" w:pos="851"/>
        </w:tabs>
        <w:spacing w:after="0" w:line="240" w:lineRule="auto"/>
        <w:ind w:left="0" w:firstLine="567"/>
        <w:contextualSpacing w:val="0"/>
        <w:rPr>
          <w:b/>
          <w:lang w:val="sr-Latn-BA"/>
        </w:rPr>
      </w:pPr>
      <w:r w:rsidRPr="001B53A8">
        <w:rPr>
          <w:b/>
          <w:lang w:val="sr-Latn-BA"/>
        </w:rPr>
        <w:t>Dozvolu</w:t>
      </w:r>
      <w:r w:rsidR="00434025" w:rsidRPr="001B53A8">
        <w:rPr>
          <w:b/>
          <w:lang w:val="sr-Latn-BA"/>
        </w:rPr>
        <w:t xml:space="preserve"> </w:t>
      </w:r>
      <w:r w:rsidRPr="001B53A8">
        <w:rPr>
          <w:b/>
          <w:lang w:val="sr-Latn-BA"/>
        </w:rPr>
        <w:t>za</w:t>
      </w:r>
      <w:r w:rsidR="00434025" w:rsidRPr="001B53A8">
        <w:rPr>
          <w:b/>
          <w:lang w:val="sr-Latn-BA"/>
        </w:rPr>
        <w:t xml:space="preserve"> </w:t>
      </w:r>
      <w:r w:rsidRPr="001B53A8">
        <w:rPr>
          <w:b/>
          <w:lang w:val="sr-Latn-BA"/>
        </w:rPr>
        <w:t>statusne</w:t>
      </w:r>
      <w:r w:rsidR="00434025" w:rsidRPr="001B53A8">
        <w:rPr>
          <w:b/>
          <w:lang w:val="sr-Latn-BA"/>
        </w:rPr>
        <w:t xml:space="preserve"> </w:t>
      </w:r>
      <w:r w:rsidRPr="001B53A8">
        <w:rPr>
          <w:b/>
          <w:lang w:val="sr-Latn-BA"/>
        </w:rPr>
        <w:t>promjene</w:t>
      </w:r>
      <w:r w:rsidR="00434025" w:rsidRPr="001B53A8">
        <w:rPr>
          <w:b/>
          <w:lang w:val="sr-Latn-BA"/>
        </w:rPr>
        <w:t xml:space="preserve"> </w:t>
      </w:r>
      <w:r w:rsidRPr="001B53A8">
        <w:rPr>
          <w:b/>
          <w:lang w:val="sr-Latn-BA"/>
        </w:rPr>
        <w:t>društvima</w:t>
      </w:r>
      <w:r w:rsidR="00434025" w:rsidRPr="001B53A8">
        <w:rPr>
          <w:b/>
          <w:lang w:val="sr-Latn-BA"/>
        </w:rPr>
        <w:t xml:space="preserve"> </w:t>
      </w:r>
      <w:r w:rsidRPr="001B53A8">
        <w:rPr>
          <w:b/>
          <w:lang w:val="sr-Latn-BA"/>
        </w:rPr>
        <w:t>za</w:t>
      </w:r>
      <w:r w:rsidR="00434025" w:rsidRPr="001B53A8">
        <w:rPr>
          <w:b/>
          <w:lang w:val="sr-Latn-BA"/>
        </w:rPr>
        <w:t xml:space="preserve"> </w:t>
      </w:r>
      <w:r w:rsidRPr="001B53A8">
        <w:rPr>
          <w:b/>
          <w:lang w:val="sr-Latn-BA"/>
        </w:rPr>
        <w:t>upravlјanje</w:t>
      </w:r>
      <w:r w:rsidR="00434025" w:rsidRPr="001B53A8">
        <w:rPr>
          <w:b/>
          <w:lang w:val="sr-Latn-BA"/>
        </w:rPr>
        <w:t xml:space="preserve"> </w:t>
      </w:r>
      <w:r w:rsidRPr="001B53A8">
        <w:rPr>
          <w:b/>
          <w:lang w:val="sr-Latn-BA"/>
        </w:rPr>
        <w:t>investicionim</w:t>
      </w:r>
      <w:r w:rsidR="00434025" w:rsidRPr="001B53A8">
        <w:rPr>
          <w:b/>
          <w:lang w:val="sr-Latn-BA"/>
        </w:rPr>
        <w:t xml:space="preserve"> </w:t>
      </w:r>
      <w:r w:rsidRPr="001B53A8">
        <w:rPr>
          <w:b/>
          <w:lang w:val="sr-Latn-BA"/>
        </w:rPr>
        <w:t>fondovima</w:t>
      </w:r>
      <w:r w:rsidR="00434025" w:rsidRPr="001B53A8">
        <w:rPr>
          <w:b/>
          <w:lang w:val="sr-Latn-BA"/>
        </w:rPr>
        <w:t xml:space="preserve"> </w:t>
      </w:r>
      <w:r w:rsidRPr="001B53A8">
        <w:rPr>
          <w:b/>
          <w:lang w:val="sr-Latn-BA"/>
        </w:rPr>
        <w:t>i</w:t>
      </w:r>
      <w:r w:rsidR="00434025" w:rsidRPr="001B53A8">
        <w:rPr>
          <w:b/>
          <w:lang w:val="sr-Latn-BA"/>
        </w:rPr>
        <w:t xml:space="preserve"> </w:t>
      </w:r>
      <w:r w:rsidRPr="001B53A8">
        <w:rPr>
          <w:b/>
          <w:lang w:val="sr-Latn-BA"/>
        </w:rPr>
        <w:t>investicionim</w:t>
      </w:r>
      <w:r w:rsidR="00434025" w:rsidRPr="001B53A8">
        <w:rPr>
          <w:b/>
          <w:lang w:val="sr-Latn-BA"/>
        </w:rPr>
        <w:t xml:space="preserve"> </w:t>
      </w:r>
      <w:r w:rsidRPr="001B53A8">
        <w:rPr>
          <w:b/>
          <w:lang w:val="sr-Latn-BA"/>
        </w:rPr>
        <w:t>fondovima</w:t>
      </w:r>
      <w:r w:rsidR="00434025" w:rsidRPr="001B53A8">
        <w:rPr>
          <w:b/>
          <w:lang w:val="sr-Latn-BA"/>
        </w:rPr>
        <w:t xml:space="preserve">, </w:t>
      </w:r>
      <w:r w:rsidRPr="001B53A8">
        <w:rPr>
          <w:lang w:val="sr-Latn-BA"/>
        </w:rPr>
        <w:t>Komisija</w:t>
      </w:r>
      <w:r w:rsidR="00C547C0" w:rsidRPr="001B53A8">
        <w:rPr>
          <w:lang w:val="sr-Latn-BA"/>
        </w:rPr>
        <w:t xml:space="preserve"> </w:t>
      </w:r>
      <w:r w:rsidRPr="001B53A8">
        <w:rPr>
          <w:lang w:val="sr-Latn-BA"/>
        </w:rPr>
        <w:t>izdaje</w:t>
      </w:r>
      <w:r w:rsidR="00434025" w:rsidRPr="001B53A8">
        <w:rPr>
          <w:lang w:val="sr-Latn-BA"/>
        </w:rPr>
        <w:t xml:space="preserve"> </w:t>
      </w:r>
      <w:r w:rsidRPr="001B53A8">
        <w:rPr>
          <w:lang w:val="sr-Latn-BA"/>
        </w:rPr>
        <w:t>u</w:t>
      </w:r>
      <w:r w:rsidR="00434025" w:rsidRPr="001B53A8">
        <w:rPr>
          <w:lang w:val="sr-Latn-BA"/>
        </w:rPr>
        <w:t xml:space="preserve"> </w:t>
      </w:r>
      <w:r w:rsidRPr="001B53A8">
        <w:rPr>
          <w:lang w:val="sr-Latn-BA"/>
        </w:rPr>
        <w:t>skladu</w:t>
      </w:r>
      <w:r w:rsidR="00434025" w:rsidRPr="001B53A8">
        <w:rPr>
          <w:lang w:val="sr-Latn-BA"/>
        </w:rPr>
        <w:t xml:space="preserve"> </w:t>
      </w:r>
      <w:r w:rsidRPr="001B53A8">
        <w:rPr>
          <w:lang w:val="sr-Latn-BA"/>
        </w:rPr>
        <w:t>sa</w:t>
      </w:r>
      <w:r w:rsidR="00434025" w:rsidRPr="001B53A8">
        <w:rPr>
          <w:lang w:val="sr-Latn-BA"/>
        </w:rPr>
        <w:t xml:space="preserve"> </w:t>
      </w:r>
      <w:r w:rsidRPr="001B53A8">
        <w:rPr>
          <w:lang w:val="sr-Latn-BA"/>
        </w:rPr>
        <w:t>odredbama</w:t>
      </w:r>
      <w:r w:rsidR="00434025" w:rsidRPr="001B53A8">
        <w:rPr>
          <w:lang w:val="sr-Latn-BA"/>
        </w:rPr>
        <w:t xml:space="preserve"> </w:t>
      </w:r>
      <w:r w:rsidRPr="001B53A8">
        <w:rPr>
          <w:lang w:val="sr-Latn-BA"/>
        </w:rPr>
        <w:t>člana</w:t>
      </w:r>
      <w:r w:rsidR="00434025" w:rsidRPr="001B53A8">
        <w:rPr>
          <w:lang w:val="sr-Latn-BA"/>
        </w:rPr>
        <w:t xml:space="preserve"> 18. </w:t>
      </w:r>
      <w:r w:rsidRPr="001B53A8">
        <w:rPr>
          <w:lang w:val="sr-Latn-BA"/>
        </w:rPr>
        <w:t>Zakona</w:t>
      </w:r>
      <w:r w:rsidR="00434025" w:rsidRPr="001B53A8">
        <w:rPr>
          <w:lang w:val="sr-Latn-BA"/>
        </w:rPr>
        <w:t xml:space="preserve"> </w:t>
      </w:r>
      <w:r w:rsidRPr="001B53A8">
        <w:rPr>
          <w:lang w:val="sr-Latn-BA"/>
        </w:rPr>
        <w:t>o</w:t>
      </w:r>
      <w:r w:rsidR="00434025" w:rsidRPr="001B53A8">
        <w:rPr>
          <w:lang w:val="sr-Latn-BA"/>
        </w:rPr>
        <w:t xml:space="preserve"> </w:t>
      </w:r>
      <w:r w:rsidRPr="001B53A8">
        <w:rPr>
          <w:lang w:val="sr-Latn-BA"/>
        </w:rPr>
        <w:t>investicionim</w:t>
      </w:r>
      <w:r w:rsidR="00434025" w:rsidRPr="001B53A8">
        <w:rPr>
          <w:lang w:val="sr-Latn-BA"/>
        </w:rPr>
        <w:t xml:space="preserve"> </w:t>
      </w:r>
      <w:r w:rsidRPr="001B53A8">
        <w:rPr>
          <w:lang w:val="sr-Latn-BA"/>
        </w:rPr>
        <w:t>fondovima</w:t>
      </w:r>
      <w:r w:rsidR="00434025" w:rsidRPr="001B53A8">
        <w:rPr>
          <w:lang w:val="sr-Latn-BA"/>
        </w:rPr>
        <w:t xml:space="preserve">, </w:t>
      </w:r>
      <w:r w:rsidRPr="001B53A8">
        <w:rPr>
          <w:lang w:val="sr-Latn-BA"/>
        </w:rPr>
        <w:t>te</w:t>
      </w:r>
      <w:r w:rsidR="00434025" w:rsidRPr="001B53A8">
        <w:rPr>
          <w:lang w:val="sr-Latn-BA"/>
        </w:rPr>
        <w:t xml:space="preserve"> </w:t>
      </w:r>
      <w:r w:rsidRPr="001B53A8">
        <w:rPr>
          <w:lang w:val="sr-Latn-BA"/>
        </w:rPr>
        <w:t>Pravilnikom</w:t>
      </w:r>
      <w:r w:rsidR="00434025" w:rsidRPr="001B53A8">
        <w:rPr>
          <w:lang w:val="sr-Latn-BA"/>
        </w:rPr>
        <w:t xml:space="preserve"> </w:t>
      </w:r>
      <w:r w:rsidRPr="001B53A8">
        <w:rPr>
          <w:lang w:val="sr-Latn-BA"/>
        </w:rPr>
        <w:t>o</w:t>
      </w:r>
      <w:r w:rsidR="00434025" w:rsidRPr="001B53A8">
        <w:rPr>
          <w:lang w:val="sr-Latn-BA"/>
        </w:rPr>
        <w:t xml:space="preserve"> </w:t>
      </w:r>
      <w:r w:rsidRPr="001B53A8">
        <w:rPr>
          <w:lang w:val="sr-Latn-BA"/>
        </w:rPr>
        <w:t>izdavanju</w:t>
      </w:r>
      <w:r w:rsidR="00434025" w:rsidRPr="001B53A8">
        <w:rPr>
          <w:lang w:val="sr-Latn-BA"/>
        </w:rPr>
        <w:t xml:space="preserve"> </w:t>
      </w:r>
      <w:r w:rsidRPr="001B53A8">
        <w:rPr>
          <w:lang w:val="sr-Latn-BA"/>
        </w:rPr>
        <w:t>dozvole</w:t>
      </w:r>
      <w:r w:rsidR="00434025" w:rsidRPr="001B53A8">
        <w:rPr>
          <w:lang w:val="sr-Latn-BA"/>
        </w:rPr>
        <w:t xml:space="preserve"> </w:t>
      </w:r>
      <w:r w:rsidRPr="001B53A8">
        <w:rPr>
          <w:lang w:val="sr-Latn-BA"/>
        </w:rPr>
        <w:t>za</w:t>
      </w:r>
      <w:r w:rsidR="00434025" w:rsidRPr="001B53A8">
        <w:rPr>
          <w:lang w:val="sr-Latn-BA"/>
        </w:rPr>
        <w:t xml:space="preserve"> </w:t>
      </w:r>
      <w:r w:rsidRPr="001B53A8">
        <w:rPr>
          <w:lang w:val="sr-Latn-BA"/>
        </w:rPr>
        <w:t>poslovanje</w:t>
      </w:r>
      <w:r w:rsidR="00434025" w:rsidRPr="001B53A8">
        <w:rPr>
          <w:lang w:val="sr-Latn-BA"/>
        </w:rPr>
        <w:t xml:space="preserve"> </w:t>
      </w:r>
      <w:r w:rsidRPr="001B53A8">
        <w:rPr>
          <w:lang w:val="sr-Latn-BA"/>
        </w:rPr>
        <w:t>i</w:t>
      </w:r>
      <w:r w:rsidR="00434025" w:rsidRPr="001B53A8">
        <w:rPr>
          <w:lang w:val="sr-Latn-BA"/>
        </w:rPr>
        <w:t xml:space="preserve"> </w:t>
      </w:r>
      <w:r w:rsidRPr="001B53A8">
        <w:rPr>
          <w:lang w:val="sr-Latn-BA"/>
        </w:rPr>
        <w:t>statusne</w:t>
      </w:r>
      <w:r w:rsidR="00434025" w:rsidRPr="001B53A8">
        <w:rPr>
          <w:lang w:val="sr-Latn-BA"/>
        </w:rPr>
        <w:t xml:space="preserve"> </w:t>
      </w:r>
      <w:r w:rsidRPr="001B53A8">
        <w:rPr>
          <w:lang w:val="sr-Latn-BA"/>
        </w:rPr>
        <w:t>promjene</w:t>
      </w:r>
      <w:r w:rsidR="00434025" w:rsidRPr="001B53A8">
        <w:rPr>
          <w:lang w:val="sr-Latn-BA"/>
        </w:rPr>
        <w:t xml:space="preserve"> </w:t>
      </w:r>
      <w:r w:rsidRPr="001B53A8">
        <w:rPr>
          <w:lang w:val="sr-Latn-BA"/>
        </w:rPr>
        <w:t>društva</w:t>
      </w:r>
      <w:r w:rsidR="00434025" w:rsidRPr="001B53A8">
        <w:rPr>
          <w:lang w:val="sr-Latn-BA"/>
        </w:rPr>
        <w:t xml:space="preserve"> </w:t>
      </w:r>
      <w:r w:rsidRPr="001B53A8">
        <w:rPr>
          <w:lang w:val="sr-Latn-BA"/>
        </w:rPr>
        <w:t>za</w:t>
      </w:r>
      <w:r w:rsidR="00434025" w:rsidRPr="001B53A8">
        <w:rPr>
          <w:lang w:val="sr-Latn-BA"/>
        </w:rPr>
        <w:t xml:space="preserve"> </w:t>
      </w:r>
      <w:r w:rsidRPr="001B53A8">
        <w:rPr>
          <w:lang w:val="sr-Latn-BA"/>
        </w:rPr>
        <w:t>upravlјanje</w:t>
      </w:r>
      <w:r w:rsidR="00434025" w:rsidRPr="001B53A8">
        <w:rPr>
          <w:lang w:val="sr-Latn-BA"/>
        </w:rPr>
        <w:t xml:space="preserve"> </w:t>
      </w:r>
      <w:r w:rsidRPr="001B53A8">
        <w:rPr>
          <w:lang w:val="sr-Latn-BA"/>
        </w:rPr>
        <w:t>investicionim</w:t>
      </w:r>
      <w:r w:rsidR="00434025" w:rsidRPr="001B53A8">
        <w:rPr>
          <w:lang w:val="sr-Latn-BA"/>
        </w:rPr>
        <w:t xml:space="preserve"> </w:t>
      </w:r>
      <w:r w:rsidRPr="001B53A8">
        <w:rPr>
          <w:lang w:val="sr-Latn-BA"/>
        </w:rPr>
        <w:t>fondovima</w:t>
      </w:r>
      <w:r w:rsidR="00434025" w:rsidRPr="001B53A8">
        <w:rPr>
          <w:lang w:val="sr-Latn-BA"/>
        </w:rPr>
        <w:t xml:space="preserve">, </w:t>
      </w:r>
      <w:r w:rsidRPr="001B53A8">
        <w:rPr>
          <w:lang w:val="sr-Latn-BA"/>
        </w:rPr>
        <w:t>koji</w:t>
      </w:r>
      <w:r w:rsidR="00434025" w:rsidRPr="001B53A8">
        <w:rPr>
          <w:lang w:val="sr-Latn-BA"/>
        </w:rPr>
        <w:t xml:space="preserve"> </w:t>
      </w:r>
      <w:r w:rsidRPr="001B53A8">
        <w:rPr>
          <w:lang w:val="sr-Latn-BA"/>
        </w:rPr>
        <w:t>je</w:t>
      </w:r>
      <w:r w:rsidR="00434025" w:rsidRPr="001B53A8">
        <w:rPr>
          <w:lang w:val="sr-Latn-BA"/>
        </w:rPr>
        <w:t xml:space="preserve"> </w:t>
      </w:r>
      <w:r w:rsidRPr="001B53A8">
        <w:rPr>
          <w:lang w:val="sr-Latn-BA"/>
        </w:rPr>
        <w:t>novi</w:t>
      </w:r>
      <w:r w:rsidR="00434025" w:rsidRPr="001B53A8">
        <w:rPr>
          <w:lang w:val="sr-Latn-BA"/>
        </w:rPr>
        <w:t xml:space="preserve"> </w:t>
      </w:r>
      <w:r w:rsidRPr="001B53A8">
        <w:rPr>
          <w:lang w:val="sr-Latn-BA"/>
        </w:rPr>
        <w:t>podzakonski</w:t>
      </w:r>
      <w:r w:rsidR="00434025" w:rsidRPr="001B53A8">
        <w:rPr>
          <w:lang w:val="sr-Latn-BA"/>
        </w:rPr>
        <w:t xml:space="preserve"> </w:t>
      </w:r>
      <w:r w:rsidRPr="001B53A8">
        <w:rPr>
          <w:lang w:val="sr-Latn-BA"/>
        </w:rPr>
        <w:t>akt</w:t>
      </w:r>
      <w:r w:rsidR="00434025" w:rsidRPr="001B53A8">
        <w:rPr>
          <w:lang w:val="sr-Latn-BA"/>
        </w:rPr>
        <w:t xml:space="preserve"> </w:t>
      </w:r>
      <w:r w:rsidRPr="001B53A8">
        <w:rPr>
          <w:lang w:val="sr-Latn-BA"/>
        </w:rPr>
        <w:t>u</w:t>
      </w:r>
      <w:r w:rsidR="00434025" w:rsidRPr="001B53A8">
        <w:rPr>
          <w:lang w:val="sr-Latn-BA"/>
        </w:rPr>
        <w:t xml:space="preserve"> </w:t>
      </w:r>
      <w:r w:rsidRPr="001B53A8">
        <w:rPr>
          <w:lang w:val="sr-Latn-BA"/>
        </w:rPr>
        <w:t>primjeni</w:t>
      </w:r>
      <w:r w:rsidR="00434025" w:rsidRPr="001B53A8">
        <w:rPr>
          <w:lang w:val="sr-Latn-BA"/>
        </w:rPr>
        <w:t>.</w:t>
      </w:r>
    </w:p>
    <w:p w14:paraId="64EAEAFF" w14:textId="4AEB357C" w:rsidR="00434025" w:rsidRPr="001B53A8" w:rsidRDefault="00003F34" w:rsidP="006B6E0C">
      <w:pPr>
        <w:spacing w:after="0" w:line="240" w:lineRule="auto"/>
        <w:ind w:firstLine="567"/>
        <w:rPr>
          <w:lang w:val="sr-Latn-BA"/>
        </w:rPr>
      </w:pPr>
      <w:r w:rsidRPr="001B53A8">
        <w:rPr>
          <w:lang w:val="sr-Latn-BA"/>
        </w:rPr>
        <w:t>U</w:t>
      </w:r>
      <w:r w:rsidR="00397706" w:rsidRPr="001B53A8">
        <w:rPr>
          <w:lang w:val="sr-Latn-BA"/>
        </w:rPr>
        <w:t xml:space="preserve"> </w:t>
      </w:r>
      <w:r w:rsidRPr="001B53A8">
        <w:rPr>
          <w:lang w:val="sr-Latn-BA"/>
        </w:rPr>
        <w:t>toku</w:t>
      </w:r>
      <w:r w:rsidR="00397706" w:rsidRPr="001B53A8">
        <w:rPr>
          <w:lang w:val="sr-Latn-BA"/>
        </w:rPr>
        <w:t xml:space="preserve"> </w:t>
      </w:r>
      <w:r w:rsidRPr="001B53A8">
        <w:rPr>
          <w:lang w:val="sr-Latn-BA"/>
        </w:rPr>
        <w:t>izvještajnog</w:t>
      </w:r>
      <w:r w:rsidR="00397706" w:rsidRPr="001B53A8">
        <w:rPr>
          <w:lang w:val="sr-Latn-BA"/>
        </w:rPr>
        <w:t xml:space="preserve"> </w:t>
      </w:r>
      <w:r w:rsidRPr="001B53A8">
        <w:rPr>
          <w:lang w:val="sr-Latn-BA"/>
        </w:rPr>
        <w:t>perioda</w:t>
      </w:r>
      <w:r w:rsidR="00397706" w:rsidRPr="001B53A8">
        <w:rPr>
          <w:lang w:val="sr-Latn-BA"/>
        </w:rPr>
        <w:t xml:space="preserve"> </w:t>
      </w:r>
      <w:r w:rsidRPr="001B53A8">
        <w:rPr>
          <w:rFonts w:eastAsia="Times New Roman"/>
          <w:lang w:val="sr-Latn-BA"/>
        </w:rPr>
        <w:t>nije</w:t>
      </w:r>
      <w:r w:rsidR="00652230" w:rsidRPr="001B53A8">
        <w:rPr>
          <w:rFonts w:eastAsia="Times New Roman"/>
          <w:lang w:val="sr-Latn-BA"/>
        </w:rPr>
        <w:t xml:space="preserve"> </w:t>
      </w:r>
      <w:r w:rsidRPr="001B53A8">
        <w:rPr>
          <w:rFonts w:eastAsia="Times New Roman"/>
          <w:lang w:val="sr-Latn-BA"/>
        </w:rPr>
        <w:t>bilo</w:t>
      </w:r>
      <w:r w:rsidR="00652230" w:rsidRPr="001B53A8">
        <w:rPr>
          <w:rFonts w:eastAsia="Times New Roman"/>
          <w:lang w:val="sr-Latn-BA"/>
        </w:rPr>
        <w:t xml:space="preserve"> </w:t>
      </w:r>
      <w:r w:rsidRPr="001B53A8">
        <w:rPr>
          <w:rFonts w:eastAsia="Times New Roman"/>
          <w:lang w:val="sr-Latn-BA"/>
        </w:rPr>
        <w:t>postupaka</w:t>
      </w:r>
      <w:r w:rsidR="00652230" w:rsidRPr="001B53A8">
        <w:rPr>
          <w:rFonts w:eastAsia="Times New Roman"/>
          <w:lang w:val="sr-Latn-BA"/>
        </w:rPr>
        <w:t xml:space="preserve"> </w:t>
      </w:r>
      <w:r w:rsidRPr="001B53A8">
        <w:rPr>
          <w:rFonts w:eastAsia="Times New Roman"/>
          <w:lang w:val="sr-Latn-BA"/>
        </w:rPr>
        <w:t>pred</w:t>
      </w:r>
      <w:r w:rsidR="00652230" w:rsidRPr="001B53A8">
        <w:rPr>
          <w:rFonts w:eastAsia="Times New Roman"/>
          <w:lang w:val="sr-Latn-BA"/>
        </w:rPr>
        <w:t xml:space="preserve"> </w:t>
      </w:r>
      <w:r w:rsidRPr="001B53A8">
        <w:rPr>
          <w:rFonts w:eastAsia="Times New Roman"/>
          <w:lang w:val="sr-Latn-BA"/>
        </w:rPr>
        <w:t>Komisijom</w:t>
      </w:r>
      <w:r w:rsidR="00652230" w:rsidRPr="001B53A8">
        <w:rPr>
          <w:rFonts w:eastAsia="Times New Roman"/>
          <w:lang w:val="sr-Latn-BA"/>
        </w:rPr>
        <w:t xml:space="preserve"> </w:t>
      </w:r>
      <w:r w:rsidRPr="001B53A8">
        <w:rPr>
          <w:rFonts w:eastAsia="Times New Roman"/>
          <w:lang w:val="sr-Latn-BA"/>
        </w:rPr>
        <w:t>po</w:t>
      </w:r>
      <w:r w:rsidR="00652230" w:rsidRPr="001B53A8">
        <w:rPr>
          <w:rFonts w:eastAsia="Times New Roman"/>
          <w:lang w:val="sr-Latn-BA"/>
        </w:rPr>
        <w:t xml:space="preserve"> </w:t>
      </w:r>
      <w:r w:rsidRPr="001B53A8">
        <w:rPr>
          <w:rFonts w:eastAsia="Times New Roman"/>
          <w:lang w:val="sr-Latn-BA"/>
        </w:rPr>
        <w:t>ovom</w:t>
      </w:r>
      <w:r w:rsidR="00652230" w:rsidRPr="001B53A8">
        <w:rPr>
          <w:rFonts w:eastAsia="Times New Roman"/>
          <w:lang w:val="sr-Latn-BA"/>
        </w:rPr>
        <w:t xml:space="preserve"> </w:t>
      </w:r>
      <w:r w:rsidRPr="001B53A8">
        <w:rPr>
          <w:rFonts w:eastAsia="Times New Roman"/>
          <w:lang w:val="sr-Latn-BA"/>
        </w:rPr>
        <w:t>osnovu</w:t>
      </w:r>
      <w:r w:rsidR="00434025" w:rsidRPr="001B53A8">
        <w:rPr>
          <w:lang w:val="sr-Latn-BA"/>
        </w:rPr>
        <w:t>.</w:t>
      </w:r>
    </w:p>
    <w:p w14:paraId="23462FB3" w14:textId="41AE5194" w:rsidR="00434025" w:rsidRPr="001B53A8" w:rsidRDefault="00003F34" w:rsidP="006B6E0C">
      <w:pPr>
        <w:pStyle w:val="ListParagraph"/>
        <w:numPr>
          <w:ilvl w:val="0"/>
          <w:numId w:val="7"/>
        </w:numPr>
        <w:tabs>
          <w:tab w:val="left" w:pos="851"/>
        </w:tabs>
        <w:spacing w:after="0" w:line="240" w:lineRule="auto"/>
        <w:ind w:left="0" w:firstLine="567"/>
        <w:contextualSpacing w:val="0"/>
        <w:rPr>
          <w:lang w:val="sr-Latn-BA"/>
        </w:rPr>
      </w:pPr>
      <w:r w:rsidRPr="001B53A8">
        <w:rPr>
          <w:b/>
          <w:lang w:val="sr-Latn-BA"/>
        </w:rPr>
        <w:lastRenderedPageBreak/>
        <w:t>Odobrenje</w:t>
      </w:r>
      <w:r w:rsidR="00434025" w:rsidRPr="001B53A8">
        <w:rPr>
          <w:b/>
          <w:lang w:val="sr-Latn-BA"/>
        </w:rPr>
        <w:t xml:space="preserve"> </w:t>
      </w:r>
      <w:r w:rsidRPr="001B53A8">
        <w:rPr>
          <w:b/>
          <w:lang w:val="sr-Latn-BA"/>
        </w:rPr>
        <w:t>na</w:t>
      </w:r>
      <w:r w:rsidR="00434025" w:rsidRPr="001B53A8">
        <w:rPr>
          <w:b/>
          <w:lang w:val="sr-Latn-BA"/>
        </w:rPr>
        <w:t xml:space="preserve"> </w:t>
      </w:r>
      <w:r w:rsidRPr="001B53A8">
        <w:rPr>
          <w:b/>
          <w:lang w:val="sr-Latn-BA"/>
        </w:rPr>
        <w:t>prenos</w:t>
      </w:r>
      <w:r w:rsidR="00434025" w:rsidRPr="001B53A8">
        <w:rPr>
          <w:b/>
          <w:lang w:val="sr-Latn-BA"/>
        </w:rPr>
        <w:t xml:space="preserve"> </w:t>
      </w:r>
      <w:r w:rsidRPr="001B53A8">
        <w:rPr>
          <w:b/>
          <w:lang w:val="sr-Latn-BA"/>
        </w:rPr>
        <w:t>administrativnih</w:t>
      </w:r>
      <w:r w:rsidR="00434025" w:rsidRPr="001B53A8">
        <w:rPr>
          <w:b/>
          <w:lang w:val="sr-Latn-BA"/>
        </w:rPr>
        <w:t xml:space="preserve"> </w:t>
      </w:r>
      <w:r w:rsidRPr="001B53A8">
        <w:rPr>
          <w:b/>
          <w:lang w:val="sr-Latn-BA"/>
        </w:rPr>
        <w:t>poslova</w:t>
      </w:r>
      <w:r w:rsidR="00434025" w:rsidRPr="001B53A8">
        <w:rPr>
          <w:b/>
          <w:lang w:val="sr-Latn-BA"/>
        </w:rPr>
        <w:t xml:space="preserve"> </w:t>
      </w:r>
      <w:r w:rsidRPr="001B53A8">
        <w:rPr>
          <w:b/>
          <w:lang w:val="sr-Latn-BA"/>
        </w:rPr>
        <w:t>iz</w:t>
      </w:r>
      <w:r w:rsidR="00434025" w:rsidRPr="001B53A8">
        <w:rPr>
          <w:b/>
          <w:lang w:val="sr-Latn-BA"/>
        </w:rPr>
        <w:t xml:space="preserve"> </w:t>
      </w:r>
      <w:r w:rsidRPr="001B53A8">
        <w:rPr>
          <w:b/>
          <w:lang w:val="sr-Latn-BA"/>
        </w:rPr>
        <w:t>člana</w:t>
      </w:r>
      <w:r w:rsidR="00434025" w:rsidRPr="001B53A8">
        <w:rPr>
          <w:b/>
          <w:lang w:val="sr-Latn-BA"/>
        </w:rPr>
        <w:t xml:space="preserve"> 23. </w:t>
      </w:r>
      <w:r w:rsidRPr="001B53A8">
        <w:rPr>
          <w:b/>
          <w:lang w:val="sr-Latn-BA"/>
        </w:rPr>
        <w:t>Zakona</w:t>
      </w:r>
      <w:r w:rsidR="00434025" w:rsidRPr="001B53A8">
        <w:rPr>
          <w:b/>
          <w:lang w:val="sr-Latn-BA"/>
        </w:rPr>
        <w:t xml:space="preserve"> </w:t>
      </w:r>
      <w:r w:rsidRPr="001B53A8">
        <w:rPr>
          <w:b/>
          <w:lang w:val="sr-Latn-BA"/>
        </w:rPr>
        <w:t>o</w:t>
      </w:r>
      <w:r w:rsidR="00434025" w:rsidRPr="001B53A8">
        <w:rPr>
          <w:b/>
          <w:lang w:val="sr-Latn-BA"/>
        </w:rPr>
        <w:t xml:space="preserve"> </w:t>
      </w:r>
      <w:r w:rsidRPr="001B53A8">
        <w:rPr>
          <w:b/>
          <w:lang w:val="sr-Latn-BA"/>
        </w:rPr>
        <w:t>investicionim</w:t>
      </w:r>
      <w:r w:rsidR="00434025" w:rsidRPr="001B53A8">
        <w:rPr>
          <w:b/>
          <w:lang w:val="sr-Latn-BA"/>
        </w:rPr>
        <w:t xml:space="preserve"> </w:t>
      </w:r>
      <w:r w:rsidRPr="001B53A8">
        <w:rPr>
          <w:b/>
          <w:lang w:val="sr-Latn-BA"/>
        </w:rPr>
        <w:t>poslovima</w:t>
      </w:r>
      <w:r w:rsidR="00434025" w:rsidRPr="001B53A8">
        <w:rPr>
          <w:b/>
          <w:lang w:val="sr-Latn-BA"/>
        </w:rPr>
        <w:t xml:space="preserve"> </w:t>
      </w:r>
      <w:r w:rsidRPr="001B53A8">
        <w:rPr>
          <w:b/>
          <w:lang w:val="sr-Latn-BA"/>
        </w:rPr>
        <w:t>na</w:t>
      </w:r>
      <w:r w:rsidR="00434025" w:rsidRPr="001B53A8">
        <w:rPr>
          <w:b/>
          <w:lang w:val="sr-Latn-BA"/>
        </w:rPr>
        <w:t xml:space="preserve"> </w:t>
      </w:r>
      <w:r w:rsidRPr="001B53A8">
        <w:rPr>
          <w:b/>
          <w:lang w:val="sr-Latn-BA"/>
        </w:rPr>
        <w:t>treća</w:t>
      </w:r>
      <w:r w:rsidR="00434025" w:rsidRPr="001B53A8">
        <w:rPr>
          <w:b/>
          <w:lang w:val="sr-Latn-BA"/>
        </w:rPr>
        <w:t xml:space="preserve"> </w:t>
      </w:r>
      <w:r w:rsidRPr="001B53A8">
        <w:rPr>
          <w:b/>
          <w:lang w:val="sr-Latn-BA"/>
        </w:rPr>
        <w:t>lica</w:t>
      </w:r>
      <w:r w:rsidR="00434025" w:rsidRPr="001B53A8">
        <w:rPr>
          <w:lang w:val="sr-Latn-BA"/>
        </w:rPr>
        <w:t xml:space="preserve">, </w:t>
      </w:r>
      <w:r w:rsidRPr="001B53A8">
        <w:rPr>
          <w:lang w:val="sr-Latn-BA"/>
        </w:rPr>
        <w:t>Komisija</w:t>
      </w:r>
      <w:r w:rsidR="00434025" w:rsidRPr="001B53A8">
        <w:rPr>
          <w:lang w:val="sr-Latn-BA"/>
        </w:rPr>
        <w:t xml:space="preserve"> </w:t>
      </w:r>
      <w:r w:rsidRPr="001B53A8">
        <w:rPr>
          <w:lang w:val="sr-Latn-BA"/>
        </w:rPr>
        <w:t>izdaje</w:t>
      </w:r>
      <w:r w:rsidR="00434025" w:rsidRPr="001B53A8">
        <w:rPr>
          <w:lang w:val="sr-Latn-BA"/>
        </w:rPr>
        <w:t xml:space="preserve"> </w:t>
      </w:r>
      <w:r w:rsidRPr="001B53A8">
        <w:rPr>
          <w:lang w:val="sr-Latn-BA"/>
        </w:rPr>
        <w:t>u</w:t>
      </w:r>
      <w:r w:rsidR="00434025" w:rsidRPr="001B53A8">
        <w:rPr>
          <w:lang w:val="sr-Latn-BA"/>
        </w:rPr>
        <w:t xml:space="preserve"> </w:t>
      </w:r>
      <w:r w:rsidRPr="001B53A8">
        <w:rPr>
          <w:lang w:val="sr-Latn-BA"/>
        </w:rPr>
        <w:t>skladu</w:t>
      </w:r>
      <w:r w:rsidR="00434025" w:rsidRPr="001B53A8">
        <w:rPr>
          <w:lang w:val="sr-Latn-BA"/>
        </w:rPr>
        <w:t xml:space="preserve"> </w:t>
      </w:r>
      <w:r w:rsidRPr="001B53A8">
        <w:rPr>
          <w:lang w:val="sr-Latn-BA"/>
        </w:rPr>
        <w:t>sa</w:t>
      </w:r>
      <w:r w:rsidR="00434025" w:rsidRPr="001B53A8">
        <w:rPr>
          <w:lang w:val="sr-Latn-BA"/>
        </w:rPr>
        <w:t xml:space="preserve"> </w:t>
      </w:r>
      <w:r w:rsidRPr="001B53A8">
        <w:rPr>
          <w:lang w:val="sr-Latn-BA"/>
        </w:rPr>
        <w:t>članom</w:t>
      </w:r>
      <w:r w:rsidR="00434025" w:rsidRPr="001B53A8">
        <w:rPr>
          <w:lang w:val="sr-Latn-BA"/>
        </w:rPr>
        <w:t xml:space="preserve"> 24. </w:t>
      </w:r>
      <w:r w:rsidRPr="001B53A8">
        <w:rPr>
          <w:lang w:val="sr-Latn-BA"/>
        </w:rPr>
        <w:t>Zakona</w:t>
      </w:r>
      <w:r w:rsidR="00434025" w:rsidRPr="001B53A8">
        <w:rPr>
          <w:lang w:val="sr-Latn-BA"/>
        </w:rPr>
        <w:t xml:space="preserve"> </w:t>
      </w:r>
      <w:r w:rsidRPr="001B53A8">
        <w:rPr>
          <w:lang w:val="sr-Latn-BA"/>
        </w:rPr>
        <w:t>o</w:t>
      </w:r>
      <w:r w:rsidR="00434025" w:rsidRPr="001B53A8">
        <w:rPr>
          <w:lang w:val="sr-Latn-BA"/>
        </w:rPr>
        <w:t xml:space="preserve"> </w:t>
      </w:r>
      <w:r w:rsidRPr="001B53A8">
        <w:rPr>
          <w:lang w:val="sr-Latn-BA"/>
        </w:rPr>
        <w:t>investicionim</w:t>
      </w:r>
      <w:r w:rsidR="00434025" w:rsidRPr="001B53A8">
        <w:rPr>
          <w:lang w:val="sr-Latn-BA"/>
        </w:rPr>
        <w:t xml:space="preserve"> </w:t>
      </w:r>
      <w:r w:rsidRPr="001B53A8">
        <w:rPr>
          <w:lang w:val="sr-Latn-BA"/>
        </w:rPr>
        <w:t>fondovima</w:t>
      </w:r>
      <w:r w:rsidR="00434025" w:rsidRPr="001B53A8">
        <w:rPr>
          <w:lang w:val="sr-Latn-BA"/>
        </w:rPr>
        <w:t xml:space="preserve">, </w:t>
      </w:r>
      <w:r w:rsidRPr="001B53A8">
        <w:rPr>
          <w:lang w:val="sr-Latn-BA"/>
        </w:rPr>
        <w:t>a</w:t>
      </w:r>
      <w:r w:rsidR="00434025" w:rsidRPr="001B53A8">
        <w:rPr>
          <w:lang w:val="sr-Latn-BA"/>
        </w:rPr>
        <w:t xml:space="preserve"> </w:t>
      </w:r>
      <w:r w:rsidRPr="001B53A8">
        <w:rPr>
          <w:lang w:val="sr-Latn-BA"/>
        </w:rPr>
        <w:t>prema</w:t>
      </w:r>
      <w:r w:rsidR="00434025" w:rsidRPr="001B53A8">
        <w:rPr>
          <w:lang w:val="sr-Latn-BA"/>
        </w:rPr>
        <w:t xml:space="preserve"> </w:t>
      </w:r>
      <w:r w:rsidRPr="001B53A8">
        <w:rPr>
          <w:lang w:val="sr-Latn-BA"/>
        </w:rPr>
        <w:t>postupku</w:t>
      </w:r>
      <w:r w:rsidR="00434025" w:rsidRPr="001B53A8">
        <w:rPr>
          <w:lang w:val="sr-Latn-BA"/>
        </w:rPr>
        <w:t xml:space="preserve"> </w:t>
      </w:r>
      <w:r w:rsidRPr="001B53A8">
        <w:rPr>
          <w:lang w:val="sr-Latn-BA"/>
        </w:rPr>
        <w:t>propisanom</w:t>
      </w:r>
      <w:r w:rsidR="00434025" w:rsidRPr="001B53A8">
        <w:rPr>
          <w:lang w:val="sr-Latn-BA"/>
        </w:rPr>
        <w:t xml:space="preserve"> </w:t>
      </w:r>
      <w:r w:rsidRPr="001B53A8">
        <w:rPr>
          <w:lang w:val="sr-Latn-BA"/>
        </w:rPr>
        <w:t>Pravilnikom</w:t>
      </w:r>
      <w:r w:rsidR="00434025" w:rsidRPr="001B53A8">
        <w:rPr>
          <w:lang w:val="sr-Latn-BA"/>
        </w:rPr>
        <w:t xml:space="preserve"> </w:t>
      </w:r>
      <w:r w:rsidRPr="001B53A8">
        <w:rPr>
          <w:lang w:val="sr-Latn-BA"/>
        </w:rPr>
        <w:t>o</w:t>
      </w:r>
      <w:r w:rsidR="00434025" w:rsidRPr="001B53A8">
        <w:rPr>
          <w:lang w:val="sr-Latn-BA"/>
        </w:rPr>
        <w:t xml:space="preserve"> </w:t>
      </w:r>
      <w:r w:rsidRPr="001B53A8">
        <w:rPr>
          <w:lang w:val="sr-Latn-BA"/>
        </w:rPr>
        <w:t>postupku</w:t>
      </w:r>
      <w:r w:rsidR="00434025" w:rsidRPr="001B53A8">
        <w:rPr>
          <w:lang w:val="sr-Latn-BA"/>
        </w:rPr>
        <w:t xml:space="preserve"> </w:t>
      </w:r>
      <w:r w:rsidRPr="001B53A8">
        <w:rPr>
          <w:lang w:val="sr-Latn-BA"/>
        </w:rPr>
        <w:t>i</w:t>
      </w:r>
      <w:r w:rsidR="00434025" w:rsidRPr="001B53A8">
        <w:rPr>
          <w:lang w:val="sr-Latn-BA"/>
        </w:rPr>
        <w:t xml:space="preserve"> </w:t>
      </w:r>
      <w:r w:rsidRPr="001B53A8">
        <w:rPr>
          <w:lang w:val="sr-Latn-BA"/>
        </w:rPr>
        <w:t>vrsti</w:t>
      </w:r>
      <w:r w:rsidR="00434025" w:rsidRPr="001B53A8">
        <w:rPr>
          <w:lang w:val="sr-Latn-BA"/>
        </w:rPr>
        <w:t xml:space="preserve"> </w:t>
      </w:r>
      <w:r w:rsidRPr="001B53A8">
        <w:rPr>
          <w:lang w:val="sr-Latn-BA"/>
        </w:rPr>
        <w:t>poslova</w:t>
      </w:r>
      <w:r w:rsidR="00434025" w:rsidRPr="001B53A8">
        <w:rPr>
          <w:lang w:val="sr-Latn-BA"/>
        </w:rPr>
        <w:t xml:space="preserve"> </w:t>
      </w:r>
      <w:r w:rsidRPr="001B53A8">
        <w:rPr>
          <w:lang w:val="sr-Latn-BA"/>
        </w:rPr>
        <w:t>koje</w:t>
      </w:r>
      <w:r w:rsidR="00434025" w:rsidRPr="001B53A8">
        <w:rPr>
          <w:lang w:val="sr-Latn-BA"/>
        </w:rPr>
        <w:t xml:space="preserve"> </w:t>
      </w:r>
      <w:r w:rsidRPr="001B53A8">
        <w:rPr>
          <w:lang w:val="sr-Latn-BA"/>
        </w:rPr>
        <w:t>društvo</w:t>
      </w:r>
      <w:r w:rsidR="00434025" w:rsidRPr="001B53A8">
        <w:rPr>
          <w:lang w:val="sr-Latn-BA"/>
        </w:rPr>
        <w:t xml:space="preserve"> </w:t>
      </w:r>
      <w:r w:rsidRPr="001B53A8">
        <w:rPr>
          <w:lang w:val="sr-Latn-BA"/>
        </w:rPr>
        <w:t>za</w:t>
      </w:r>
      <w:r w:rsidR="00434025" w:rsidRPr="001B53A8">
        <w:rPr>
          <w:lang w:val="sr-Latn-BA"/>
        </w:rPr>
        <w:t xml:space="preserve"> </w:t>
      </w:r>
      <w:r w:rsidRPr="001B53A8">
        <w:rPr>
          <w:lang w:val="sr-Latn-BA"/>
        </w:rPr>
        <w:t>upravlјanje</w:t>
      </w:r>
      <w:r w:rsidR="00434025" w:rsidRPr="001B53A8">
        <w:rPr>
          <w:lang w:val="sr-Latn-BA"/>
        </w:rPr>
        <w:t xml:space="preserve"> </w:t>
      </w:r>
      <w:r w:rsidRPr="001B53A8">
        <w:rPr>
          <w:lang w:val="sr-Latn-BA"/>
        </w:rPr>
        <w:t>može</w:t>
      </w:r>
      <w:r w:rsidR="00434025" w:rsidRPr="001B53A8">
        <w:rPr>
          <w:lang w:val="sr-Latn-BA"/>
        </w:rPr>
        <w:t xml:space="preserve"> </w:t>
      </w:r>
      <w:r w:rsidRPr="001B53A8">
        <w:rPr>
          <w:lang w:val="sr-Latn-BA"/>
        </w:rPr>
        <w:t>prenijeti</w:t>
      </w:r>
      <w:r w:rsidR="00434025" w:rsidRPr="001B53A8">
        <w:rPr>
          <w:lang w:val="sr-Latn-BA"/>
        </w:rPr>
        <w:t xml:space="preserve"> </w:t>
      </w:r>
      <w:r w:rsidRPr="001B53A8">
        <w:rPr>
          <w:lang w:val="sr-Latn-BA"/>
        </w:rPr>
        <w:t>na</w:t>
      </w:r>
      <w:r w:rsidR="00434025" w:rsidRPr="001B53A8">
        <w:rPr>
          <w:lang w:val="sr-Latn-BA"/>
        </w:rPr>
        <w:t xml:space="preserve"> </w:t>
      </w:r>
      <w:r w:rsidRPr="001B53A8">
        <w:rPr>
          <w:lang w:val="sr-Latn-BA"/>
        </w:rPr>
        <w:t>treće</w:t>
      </w:r>
      <w:r w:rsidR="00434025" w:rsidRPr="001B53A8">
        <w:rPr>
          <w:lang w:val="sr-Latn-BA"/>
        </w:rPr>
        <w:t xml:space="preserve"> </w:t>
      </w:r>
      <w:r w:rsidRPr="001B53A8">
        <w:rPr>
          <w:lang w:val="sr-Latn-BA"/>
        </w:rPr>
        <w:t>lice</w:t>
      </w:r>
      <w:r w:rsidR="00434025" w:rsidRPr="001B53A8">
        <w:rPr>
          <w:lang w:val="sr-Latn-BA"/>
        </w:rPr>
        <w:t xml:space="preserve"> </w:t>
      </w:r>
      <w:r w:rsidRPr="001B53A8">
        <w:rPr>
          <w:lang w:val="sr-Latn-BA"/>
        </w:rPr>
        <w:t>i</w:t>
      </w:r>
      <w:r w:rsidR="00434025" w:rsidRPr="001B53A8">
        <w:rPr>
          <w:lang w:val="sr-Latn-BA"/>
        </w:rPr>
        <w:t xml:space="preserve"> </w:t>
      </w:r>
      <w:r w:rsidRPr="001B53A8">
        <w:rPr>
          <w:lang w:val="sr-Latn-BA"/>
        </w:rPr>
        <w:t>načinu</w:t>
      </w:r>
      <w:r w:rsidR="00434025" w:rsidRPr="001B53A8">
        <w:rPr>
          <w:lang w:val="sr-Latn-BA"/>
        </w:rPr>
        <w:t xml:space="preserve"> </w:t>
      </w:r>
      <w:r w:rsidRPr="001B53A8">
        <w:rPr>
          <w:lang w:val="sr-Latn-BA"/>
        </w:rPr>
        <w:t>prenosa</w:t>
      </w:r>
      <w:r w:rsidR="00434025" w:rsidRPr="001B53A8">
        <w:rPr>
          <w:lang w:val="sr-Latn-BA"/>
        </w:rPr>
        <w:t xml:space="preserve"> </w:t>
      </w:r>
      <w:r w:rsidRPr="001B53A8">
        <w:rPr>
          <w:lang w:val="sr-Latn-BA"/>
        </w:rPr>
        <w:t>poslova</w:t>
      </w:r>
      <w:r w:rsidR="00434025" w:rsidRPr="001B53A8">
        <w:rPr>
          <w:lang w:val="sr-Latn-BA"/>
        </w:rPr>
        <w:t xml:space="preserve"> </w:t>
      </w:r>
      <w:r w:rsidRPr="001B53A8">
        <w:rPr>
          <w:lang w:val="sr-Latn-BA"/>
        </w:rPr>
        <w:t>upravlјanja</w:t>
      </w:r>
      <w:r w:rsidR="00434025" w:rsidRPr="001B53A8">
        <w:rPr>
          <w:lang w:val="sr-Latn-BA"/>
        </w:rPr>
        <w:t xml:space="preserve"> </w:t>
      </w:r>
      <w:r w:rsidRPr="001B53A8">
        <w:rPr>
          <w:lang w:val="sr-Latn-BA"/>
        </w:rPr>
        <w:t>investicionim</w:t>
      </w:r>
      <w:r w:rsidR="00434025" w:rsidRPr="001B53A8">
        <w:rPr>
          <w:lang w:val="sr-Latn-BA"/>
        </w:rPr>
        <w:t xml:space="preserve"> </w:t>
      </w:r>
      <w:r w:rsidRPr="001B53A8">
        <w:rPr>
          <w:lang w:val="sr-Latn-BA"/>
        </w:rPr>
        <w:t>fondom</w:t>
      </w:r>
      <w:r w:rsidR="00434025" w:rsidRPr="001B53A8">
        <w:rPr>
          <w:lang w:val="sr-Latn-BA"/>
        </w:rPr>
        <w:t xml:space="preserve"> </w:t>
      </w:r>
      <w:r w:rsidRPr="001B53A8">
        <w:rPr>
          <w:lang w:val="sr-Latn-BA"/>
        </w:rPr>
        <w:t>na</w:t>
      </w:r>
      <w:r w:rsidR="00434025" w:rsidRPr="001B53A8">
        <w:rPr>
          <w:lang w:val="sr-Latn-BA"/>
        </w:rPr>
        <w:t xml:space="preserve"> </w:t>
      </w:r>
      <w:r w:rsidRPr="001B53A8">
        <w:rPr>
          <w:lang w:val="sr-Latn-BA"/>
        </w:rPr>
        <w:t>drugo</w:t>
      </w:r>
      <w:r w:rsidR="00434025" w:rsidRPr="001B53A8">
        <w:rPr>
          <w:lang w:val="sr-Latn-BA"/>
        </w:rPr>
        <w:t xml:space="preserve"> </w:t>
      </w:r>
      <w:r w:rsidRPr="001B53A8">
        <w:rPr>
          <w:lang w:val="sr-Latn-BA"/>
        </w:rPr>
        <w:t>društvo</w:t>
      </w:r>
      <w:r w:rsidR="00434025" w:rsidRPr="001B53A8">
        <w:rPr>
          <w:lang w:val="sr-Latn-BA"/>
        </w:rPr>
        <w:t xml:space="preserve"> </w:t>
      </w:r>
      <w:r w:rsidRPr="001B53A8">
        <w:rPr>
          <w:lang w:val="sr-Latn-BA"/>
        </w:rPr>
        <w:t>za</w:t>
      </w:r>
      <w:r w:rsidR="00434025" w:rsidRPr="001B53A8">
        <w:rPr>
          <w:lang w:val="sr-Latn-BA"/>
        </w:rPr>
        <w:t xml:space="preserve"> </w:t>
      </w:r>
      <w:r w:rsidRPr="001B53A8">
        <w:rPr>
          <w:lang w:val="sr-Latn-BA"/>
        </w:rPr>
        <w:t>upravlјanje</w:t>
      </w:r>
      <w:r w:rsidR="00434025" w:rsidRPr="001B53A8">
        <w:rPr>
          <w:lang w:val="sr-Latn-BA"/>
        </w:rPr>
        <w:t>.</w:t>
      </w:r>
    </w:p>
    <w:p w14:paraId="56A0B18E" w14:textId="6DB63ECF" w:rsidR="00434025" w:rsidRPr="001B53A8" w:rsidRDefault="00003F34" w:rsidP="006B6E0C">
      <w:pPr>
        <w:spacing w:after="0" w:line="240" w:lineRule="auto"/>
        <w:ind w:firstLine="567"/>
        <w:rPr>
          <w:lang w:val="sr-Latn-BA"/>
        </w:rPr>
      </w:pPr>
      <w:r w:rsidRPr="001B53A8">
        <w:rPr>
          <w:lang w:val="sr-Latn-BA"/>
        </w:rPr>
        <w:t>U</w:t>
      </w:r>
      <w:r w:rsidR="00652230" w:rsidRPr="001B53A8">
        <w:rPr>
          <w:lang w:val="sr-Latn-BA"/>
        </w:rPr>
        <w:t xml:space="preserve"> </w:t>
      </w:r>
      <w:r w:rsidRPr="001B53A8">
        <w:rPr>
          <w:lang w:val="sr-Latn-BA"/>
        </w:rPr>
        <w:t>dosadašnjem</w:t>
      </w:r>
      <w:r w:rsidR="00652230" w:rsidRPr="001B53A8">
        <w:rPr>
          <w:lang w:val="sr-Latn-BA"/>
        </w:rPr>
        <w:t xml:space="preserve"> </w:t>
      </w:r>
      <w:r w:rsidRPr="001B53A8">
        <w:rPr>
          <w:lang w:val="sr-Latn-BA"/>
        </w:rPr>
        <w:t>periodu</w:t>
      </w:r>
      <w:r w:rsidR="00652230" w:rsidRPr="001B53A8">
        <w:rPr>
          <w:lang w:val="sr-Latn-BA"/>
        </w:rPr>
        <w:t xml:space="preserve">, </w:t>
      </w:r>
      <w:r w:rsidRPr="001B53A8">
        <w:rPr>
          <w:lang w:val="sr-Latn-BA"/>
        </w:rPr>
        <w:t>društva</w:t>
      </w:r>
      <w:r w:rsidR="00652230" w:rsidRPr="001B53A8">
        <w:rPr>
          <w:lang w:val="sr-Latn-BA"/>
        </w:rPr>
        <w:t xml:space="preserve"> </w:t>
      </w:r>
      <w:r w:rsidRPr="001B53A8">
        <w:rPr>
          <w:lang w:val="sr-Latn-BA"/>
        </w:rPr>
        <w:t>za</w:t>
      </w:r>
      <w:r w:rsidR="00652230" w:rsidRPr="001B53A8">
        <w:rPr>
          <w:lang w:val="sr-Latn-BA"/>
        </w:rPr>
        <w:t xml:space="preserve"> </w:t>
      </w:r>
      <w:r w:rsidRPr="001B53A8">
        <w:rPr>
          <w:lang w:val="sr-Latn-BA"/>
        </w:rPr>
        <w:t>upravlјanje</w:t>
      </w:r>
      <w:r w:rsidR="00652230" w:rsidRPr="001B53A8">
        <w:rPr>
          <w:lang w:val="sr-Latn-BA"/>
        </w:rPr>
        <w:t xml:space="preserve"> </w:t>
      </w:r>
      <w:r w:rsidRPr="001B53A8">
        <w:rPr>
          <w:lang w:val="sr-Latn-BA"/>
        </w:rPr>
        <w:t>su</w:t>
      </w:r>
      <w:r w:rsidR="00652230" w:rsidRPr="001B53A8">
        <w:rPr>
          <w:lang w:val="sr-Latn-BA"/>
        </w:rPr>
        <w:t xml:space="preserve"> </w:t>
      </w:r>
      <w:r w:rsidRPr="001B53A8">
        <w:rPr>
          <w:lang w:val="sr-Latn-BA"/>
        </w:rPr>
        <w:t>na</w:t>
      </w:r>
      <w:r w:rsidR="00652230" w:rsidRPr="001B53A8">
        <w:rPr>
          <w:lang w:val="sr-Latn-BA"/>
        </w:rPr>
        <w:t xml:space="preserve"> </w:t>
      </w:r>
      <w:r w:rsidRPr="001B53A8">
        <w:rPr>
          <w:lang w:val="sr-Latn-BA"/>
        </w:rPr>
        <w:t>treća</w:t>
      </w:r>
      <w:r w:rsidR="00652230" w:rsidRPr="001B53A8">
        <w:rPr>
          <w:lang w:val="sr-Latn-BA"/>
        </w:rPr>
        <w:t xml:space="preserve"> </w:t>
      </w:r>
      <w:r w:rsidRPr="001B53A8">
        <w:rPr>
          <w:lang w:val="sr-Latn-BA"/>
        </w:rPr>
        <w:t>lica</w:t>
      </w:r>
      <w:r w:rsidR="00652230" w:rsidRPr="001B53A8">
        <w:rPr>
          <w:lang w:val="sr-Latn-BA"/>
        </w:rPr>
        <w:t xml:space="preserve"> </w:t>
      </w:r>
      <w:r w:rsidRPr="001B53A8">
        <w:rPr>
          <w:lang w:val="sr-Latn-BA"/>
        </w:rPr>
        <w:t>uglavnom</w:t>
      </w:r>
      <w:r w:rsidR="00652230" w:rsidRPr="001B53A8">
        <w:rPr>
          <w:lang w:val="sr-Latn-BA"/>
        </w:rPr>
        <w:t xml:space="preserve"> </w:t>
      </w:r>
      <w:r w:rsidRPr="001B53A8">
        <w:rPr>
          <w:lang w:val="sr-Latn-BA"/>
        </w:rPr>
        <w:t>prenosila</w:t>
      </w:r>
      <w:r w:rsidR="00652230" w:rsidRPr="001B53A8">
        <w:rPr>
          <w:lang w:val="sr-Latn-BA"/>
        </w:rPr>
        <w:t xml:space="preserve"> </w:t>
      </w:r>
      <w:r w:rsidRPr="001B53A8">
        <w:rPr>
          <w:lang w:val="sr-Latn-BA"/>
        </w:rPr>
        <w:t>poslove</w:t>
      </w:r>
      <w:r w:rsidR="00652230" w:rsidRPr="001B53A8">
        <w:rPr>
          <w:lang w:val="sr-Latn-BA"/>
        </w:rPr>
        <w:t xml:space="preserve"> </w:t>
      </w:r>
      <w:r w:rsidRPr="001B53A8">
        <w:rPr>
          <w:lang w:val="sr-Latn-BA"/>
        </w:rPr>
        <w:t>vođenja</w:t>
      </w:r>
      <w:r w:rsidR="00652230" w:rsidRPr="001B53A8">
        <w:rPr>
          <w:lang w:val="sr-Latn-BA"/>
        </w:rPr>
        <w:t xml:space="preserve"> </w:t>
      </w:r>
      <w:r w:rsidRPr="001B53A8">
        <w:rPr>
          <w:lang w:val="sr-Latn-BA"/>
        </w:rPr>
        <w:t>poslovnih</w:t>
      </w:r>
      <w:r w:rsidR="00652230" w:rsidRPr="001B53A8">
        <w:rPr>
          <w:lang w:val="sr-Latn-BA"/>
        </w:rPr>
        <w:t xml:space="preserve"> </w:t>
      </w:r>
      <w:r w:rsidRPr="001B53A8">
        <w:rPr>
          <w:lang w:val="sr-Latn-BA"/>
        </w:rPr>
        <w:t>knjiga</w:t>
      </w:r>
      <w:r w:rsidR="00652230" w:rsidRPr="001B53A8">
        <w:rPr>
          <w:lang w:val="sr-Latn-BA"/>
        </w:rPr>
        <w:t xml:space="preserve"> </w:t>
      </w:r>
      <w:r w:rsidRPr="001B53A8">
        <w:rPr>
          <w:lang w:val="sr-Latn-BA"/>
        </w:rPr>
        <w:t>i</w:t>
      </w:r>
      <w:r w:rsidR="00652230" w:rsidRPr="001B53A8">
        <w:rPr>
          <w:lang w:val="sr-Latn-BA"/>
        </w:rPr>
        <w:t xml:space="preserve"> </w:t>
      </w:r>
      <w:r w:rsidRPr="001B53A8">
        <w:rPr>
          <w:lang w:val="sr-Latn-BA"/>
        </w:rPr>
        <w:t>sastavlјanja</w:t>
      </w:r>
      <w:r w:rsidR="00652230" w:rsidRPr="001B53A8">
        <w:rPr>
          <w:lang w:val="sr-Latn-BA"/>
        </w:rPr>
        <w:t xml:space="preserve"> </w:t>
      </w:r>
      <w:r w:rsidRPr="001B53A8">
        <w:rPr>
          <w:lang w:val="sr-Latn-BA"/>
        </w:rPr>
        <w:t>finansijskih</w:t>
      </w:r>
      <w:r w:rsidR="00652230" w:rsidRPr="001B53A8">
        <w:rPr>
          <w:lang w:val="sr-Latn-BA"/>
        </w:rPr>
        <w:t xml:space="preserve"> </w:t>
      </w:r>
      <w:r w:rsidRPr="001B53A8">
        <w:rPr>
          <w:lang w:val="sr-Latn-BA"/>
        </w:rPr>
        <w:t>izvještaja</w:t>
      </w:r>
      <w:r w:rsidR="00652230" w:rsidRPr="001B53A8">
        <w:rPr>
          <w:lang w:val="sr-Latn-BA"/>
        </w:rPr>
        <w:t xml:space="preserve">. </w:t>
      </w:r>
      <w:r w:rsidRPr="001B53A8">
        <w:rPr>
          <w:lang w:val="sr-Latn-BA"/>
        </w:rPr>
        <w:t>U</w:t>
      </w:r>
      <w:r w:rsidR="00652230" w:rsidRPr="001B53A8">
        <w:rPr>
          <w:lang w:val="sr-Latn-BA"/>
        </w:rPr>
        <w:t xml:space="preserve"> </w:t>
      </w:r>
      <w:r w:rsidRPr="001B53A8">
        <w:rPr>
          <w:lang w:val="sr-Latn-BA"/>
        </w:rPr>
        <w:t>toku</w:t>
      </w:r>
      <w:r w:rsidR="00652230" w:rsidRPr="001B53A8">
        <w:rPr>
          <w:lang w:val="sr-Latn-BA"/>
        </w:rPr>
        <w:t xml:space="preserve"> </w:t>
      </w:r>
      <w:r w:rsidRPr="001B53A8">
        <w:rPr>
          <w:lang w:val="sr-Latn-BA"/>
        </w:rPr>
        <w:t>izvještajnog</w:t>
      </w:r>
      <w:r w:rsidR="00652230" w:rsidRPr="001B53A8">
        <w:rPr>
          <w:lang w:val="sr-Latn-BA"/>
        </w:rPr>
        <w:t xml:space="preserve"> </w:t>
      </w:r>
      <w:r w:rsidRPr="001B53A8">
        <w:rPr>
          <w:lang w:val="sr-Latn-BA"/>
        </w:rPr>
        <w:t>perioda</w:t>
      </w:r>
      <w:r w:rsidR="00652230" w:rsidRPr="001B53A8">
        <w:rPr>
          <w:lang w:val="sr-Latn-BA"/>
        </w:rPr>
        <w:t xml:space="preserve"> </w:t>
      </w:r>
      <w:r w:rsidRPr="001B53A8">
        <w:rPr>
          <w:lang w:val="sr-Latn-BA"/>
        </w:rPr>
        <w:t>nije</w:t>
      </w:r>
      <w:r w:rsidR="00652230" w:rsidRPr="001B53A8">
        <w:rPr>
          <w:lang w:val="sr-Latn-BA"/>
        </w:rPr>
        <w:t xml:space="preserve"> </w:t>
      </w:r>
      <w:r w:rsidRPr="001B53A8">
        <w:rPr>
          <w:lang w:val="sr-Latn-BA"/>
        </w:rPr>
        <w:t>bilo</w:t>
      </w:r>
      <w:r w:rsidR="00652230" w:rsidRPr="001B53A8">
        <w:rPr>
          <w:lang w:val="sr-Latn-BA"/>
        </w:rPr>
        <w:t xml:space="preserve"> </w:t>
      </w:r>
      <w:r w:rsidRPr="001B53A8">
        <w:rPr>
          <w:lang w:val="sr-Latn-BA"/>
        </w:rPr>
        <w:t>takvih</w:t>
      </w:r>
      <w:r w:rsidR="00652230" w:rsidRPr="001B53A8">
        <w:rPr>
          <w:lang w:val="sr-Latn-BA"/>
        </w:rPr>
        <w:t xml:space="preserve"> </w:t>
      </w:r>
      <w:r w:rsidRPr="001B53A8">
        <w:rPr>
          <w:lang w:val="sr-Latn-BA"/>
        </w:rPr>
        <w:t>zahtjeva</w:t>
      </w:r>
      <w:r w:rsidR="00434025" w:rsidRPr="001B53A8">
        <w:rPr>
          <w:lang w:val="sr-Latn-BA"/>
        </w:rPr>
        <w:t>.</w:t>
      </w:r>
    </w:p>
    <w:p w14:paraId="6DC87205" w14:textId="535535D8" w:rsidR="00434025" w:rsidRPr="001B53A8" w:rsidRDefault="00003F34" w:rsidP="006B6E0C">
      <w:pPr>
        <w:pStyle w:val="ListParagraph"/>
        <w:numPr>
          <w:ilvl w:val="0"/>
          <w:numId w:val="7"/>
        </w:numPr>
        <w:tabs>
          <w:tab w:val="left" w:pos="851"/>
        </w:tabs>
        <w:spacing w:after="0" w:line="240" w:lineRule="auto"/>
        <w:ind w:left="0" w:firstLine="567"/>
        <w:contextualSpacing w:val="0"/>
        <w:rPr>
          <w:lang w:val="sr-Latn-BA"/>
        </w:rPr>
      </w:pPr>
      <w:r w:rsidRPr="001B53A8">
        <w:rPr>
          <w:b/>
          <w:lang w:val="sr-Latn-BA"/>
        </w:rPr>
        <w:t>Saglasnosti</w:t>
      </w:r>
      <w:r w:rsidR="00434025" w:rsidRPr="001B53A8">
        <w:rPr>
          <w:b/>
          <w:lang w:val="sr-Latn-BA"/>
        </w:rPr>
        <w:t xml:space="preserve"> </w:t>
      </w:r>
      <w:r w:rsidRPr="001B53A8">
        <w:rPr>
          <w:b/>
          <w:lang w:val="sr-Latn-BA"/>
        </w:rPr>
        <w:t>investicionim</w:t>
      </w:r>
      <w:r w:rsidR="00434025" w:rsidRPr="001B53A8">
        <w:rPr>
          <w:b/>
          <w:lang w:val="sr-Latn-BA"/>
        </w:rPr>
        <w:t xml:space="preserve"> </w:t>
      </w:r>
      <w:r w:rsidRPr="001B53A8">
        <w:rPr>
          <w:b/>
          <w:lang w:val="sr-Latn-BA"/>
        </w:rPr>
        <w:t>fondovima</w:t>
      </w:r>
      <w:r w:rsidR="00434025" w:rsidRPr="001B53A8">
        <w:rPr>
          <w:b/>
          <w:lang w:val="sr-Latn-BA"/>
        </w:rPr>
        <w:t xml:space="preserve"> </w:t>
      </w:r>
      <w:r w:rsidRPr="001B53A8">
        <w:rPr>
          <w:b/>
          <w:lang w:val="sr-Latn-BA"/>
        </w:rPr>
        <w:t>na</w:t>
      </w:r>
      <w:r w:rsidR="00434025" w:rsidRPr="001B53A8">
        <w:rPr>
          <w:b/>
          <w:lang w:val="sr-Latn-BA"/>
        </w:rPr>
        <w:t xml:space="preserve"> </w:t>
      </w:r>
      <w:r w:rsidRPr="001B53A8">
        <w:rPr>
          <w:b/>
          <w:lang w:val="sr-Latn-BA"/>
        </w:rPr>
        <w:t>prospekt</w:t>
      </w:r>
      <w:r w:rsidR="00434025" w:rsidRPr="001B53A8">
        <w:rPr>
          <w:b/>
          <w:lang w:val="sr-Latn-BA"/>
        </w:rPr>
        <w:t xml:space="preserve"> </w:t>
      </w:r>
      <w:r w:rsidRPr="001B53A8">
        <w:rPr>
          <w:b/>
          <w:lang w:val="sr-Latn-BA"/>
        </w:rPr>
        <w:t>i</w:t>
      </w:r>
      <w:r w:rsidR="00434025" w:rsidRPr="001B53A8">
        <w:rPr>
          <w:b/>
          <w:lang w:val="sr-Latn-BA"/>
        </w:rPr>
        <w:t xml:space="preserve"> </w:t>
      </w:r>
      <w:r w:rsidRPr="001B53A8">
        <w:rPr>
          <w:b/>
          <w:lang w:val="sr-Latn-BA"/>
        </w:rPr>
        <w:t>statut</w:t>
      </w:r>
      <w:r w:rsidR="00434025" w:rsidRPr="001B53A8">
        <w:rPr>
          <w:lang w:val="sr-Latn-BA"/>
        </w:rPr>
        <w:t xml:space="preserve">, </w:t>
      </w:r>
      <w:r w:rsidRPr="001B53A8">
        <w:rPr>
          <w:lang w:val="sr-Latn-BA"/>
        </w:rPr>
        <w:t>kao</w:t>
      </w:r>
      <w:r w:rsidR="00434025" w:rsidRPr="001B53A8">
        <w:rPr>
          <w:lang w:val="sr-Latn-BA"/>
        </w:rPr>
        <w:t xml:space="preserve"> </w:t>
      </w:r>
      <w:r w:rsidRPr="001B53A8">
        <w:rPr>
          <w:lang w:val="sr-Latn-BA"/>
        </w:rPr>
        <w:t>i</w:t>
      </w:r>
      <w:r w:rsidR="00434025" w:rsidRPr="001B53A8">
        <w:rPr>
          <w:lang w:val="sr-Latn-BA"/>
        </w:rPr>
        <w:t xml:space="preserve"> </w:t>
      </w:r>
      <w:r w:rsidRPr="001B53A8">
        <w:rPr>
          <w:lang w:val="sr-Latn-BA"/>
        </w:rPr>
        <w:t>na</w:t>
      </w:r>
      <w:r w:rsidR="00434025" w:rsidRPr="001B53A8">
        <w:rPr>
          <w:lang w:val="sr-Latn-BA"/>
        </w:rPr>
        <w:t xml:space="preserve"> </w:t>
      </w:r>
      <w:r w:rsidRPr="001B53A8">
        <w:rPr>
          <w:lang w:val="sr-Latn-BA"/>
        </w:rPr>
        <w:t>naknadne</w:t>
      </w:r>
      <w:r w:rsidR="00434025" w:rsidRPr="001B53A8">
        <w:rPr>
          <w:lang w:val="sr-Latn-BA"/>
        </w:rPr>
        <w:t xml:space="preserve"> </w:t>
      </w:r>
      <w:r w:rsidRPr="001B53A8">
        <w:rPr>
          <w:lang w:val="sr-Latn-BA"/>
        </w:rPr>
        <w:t>izmjene</w:t>
      </w:r>
      <w:r w:rsidR="00434025" w:rsidRPr="001B53A8">
        <w:rPr>
          <w:lang w:val="sr-Latn-BA"/>
        </w:rPr>
        <w:t xml:space="preserve"> </w:t>
      </w:r>
      <w:r w:rsidRPr="001B53A8">
        <w:rPr>
          <w:lang w:val="sr-Latn-BA"/>
        </w:rPr>
        <w:t>tih</w:t>
      </w:r>
      <w:r w:rsidR="00434025" w:rsidRPr="001B53A8">
        <w:rPr>
          <w:lang w:val="sr-Latn-BA"/>
        </w:rPr>
        <w:t xml:space="preserve"> </w:t>
      </w:r>
      <w:r w:rsidRPr="001B53A8">
        <w:rPr>
          <w:lang w:val="sr-Latn-BA"/>
        </w:rPr>
        <w:t>akata</w:t>
      </w:r>
      <w:r w:rsidR="00434025" w:rsidRPr="001B53A8">
        <w:rPr>
          <w:lang w:val="sr-Latn-BA"/>
        </w:rPr>
        <w:t xml:space="preserve">, </w:t>
      </w:r>
      <w:r w:rsidRPr="001B53A8">
        <w:rPr>
          <w:lang w:val="sr-Latn-BA"/>
        </w:rPr>
        <w:t>Komisija</w:t>
      </w:r>
      <w:r w:rsidR="00434025" w:rsidRPr="001B53A8">
        <w:rPr>
          <w:lang w:val="sr-Latn-BA"/>
        </w:rPr>
        <w:t xml:space="preserve"> </w:t>
      </w:r>
      <w:r w:rsidRPr="001B53A8">
        <w:rPr>
          <w:lang w:val="sr-Latn-BA"/>
        </w:rPr>
        <w:t>izdaje</w:t>
      </w:r>
      <w:r w:rsidR="00434025" w:rsidRPr="001B53A8">
        <w:rPr>
          <w:lang w:val="sr-Latn-BA"/>
        </w:rPr>
        <w:t xml:space="preserve"> </w:t>
      </w:r>
      <w:r w:rsidRPr="001B53A8">
        <w:rPr>
          <w:lang w:val="sr-Latn-BA"/>
        </w:rPr>
        <w:t>u</w:t>
      </w:r>
      <w:r w:rsidR="00434025" w:rsidRPr="001B53A8">
        <w:rPr>
          <w:lang w:val="sr-Latn-BA"/>
        </w:rPr>
        <w:t xml:space="preserve"> </w:t>
      </w:r>
      <w:r w:rsidRPr="001B53A8">
        <w:rPr>
          <w:lang w:val="sr-Latn-BA"/>
        </w:rPr>
        <w:t>skladu</w:t>
      </w:r>
      <w:r w:rsidR="00434025" w:rsidRPr="001B53A8">
        <w:rPr>
          <w:lang w:val="sr-Latn-BA"/>
        </w:rPr>
        <w:t xml:space="preserve"> </w:t>
      </w:r>
      <w:r w:rsidRPr="001B53A8">
        <w:rPr>
          <w:lang w:val="sr-Latn-BA"/>
        </w:rPr>
        <w:t>sa</w:t>
      </w:r>
      <w:r w:rsidR="00434025" w:rsidRPr="001B53A8">
        <w:rPr>
          <w:lang w:val="sr-Latn-BA"/>
        </w:rPr>
        <w:t xml:space="preserve"> </w:t>
      </w:r>
      <w:r w:rsidRPr="001B53A8">
        <w:rPr>
          <w:lang w:val="sr-Latn-BA"/>
        </w:rPr>
        <w:t>odredbama</w:t>
      </w:r>
      <w:r w:rsidR="00434025" w:rsidRPr="001B53A8">
        <w:rPr>
          <w:lang w:val="sr-Latn-BA"/>
        </w:rPr>
        <w:t xml:space="preserve"> </w:t>
      </w:r>
      <w:r w:rsidRPr="001B53A8">
        <w:rPr>
          <w:lang w:val="sr-Latn-BA"/>
        </w:rPr>
        <w:t>članova</w:t>
      </w:r>
      <w:r w:rsidR="00434025" w:rsidRPr="001B53A8">
        <w:rPr>
          <w:lang w:val="sr-Latn-BA"/>
        </w:rPr>
        <w:t xml:space="preserve"> 61, 91, 105, 142. </w:t>
      </w:r>
      <w:r w:rsidRPr="001B53A8">
        <w:rPr>
          <w:lang w:val="sr-Latn-BA"/>
        </w:rPr>
        <w:t>i</w:t>
      </w:r>
      <w:r w:rsidR="00434025" w:rsidRPr="001B53A8">
        <w:rPr>
          <w:lang w:val="sr-Latn-BA"/>
        </w:rPr>
        <w:t xml:space="preserve"> 217. </w:t>
      </w:r>
      <w:r w:rsidRPr="001B53A8">
        <w:rPr>
          <w:lang w:val="sr-Latn-BA"/>
        </w:rPr>
        <w:t>Zakona</w:t>
      </w:r>
      <w:r w:rsidR="00434025" w:rsidRPr="001B53A8">
        <w:rPr>
          <w:lang w:val="sr-Latn-BA"/>
        </w:rPr>
        <w:t xml:space="preserve"> </w:t>
      </w:r>
      <w:r w:rsidRPr="001B53A8">
        <w:rPr>
          <w:lang w:val="sr-Latn-BA"/>
        </w:rPr>
        <w:t>o</w:t>
      </w:r>
      <w:r w:rsidR="00434025" w:rsidRPr="001B53A8">
        <w:rPr>
          <w:lang w:val="sr-Latn-BA"/>
        </w:rPr>
        <w:t xml:space="preserve"> </w:t>
      </w:r>
      <w:r w:rsidRPr="001B53A8">
        <w:rPr>
          <w:lang w:val="sr-Latn-BA"/>
        </w:rPr>
        <w:t>investicionim</w:t>
      </w:r>
      <w:r w:rsidR="00434025" w:rsidRPr="001B53A8">
        <w:rPr>
          <w:lang w:val="sr-Latn-BA"/>
        </w:rPr>
        <w:t xml:space="preserve"> </w:t>
      </w:r>
      <w:r w:rsidRPr="001B53A8">
        <w:rPr>
          <w:lang w:val="sr-Latn-BA"/>
        </w:rPr>
        <w:t>fondovima</w:t>
      </w:r>
      <w:r w:rsidR="00434025" w:rsidRPr="001B53A8">
        <w:rPr>
          <w:lang w:val="sr-Latn-BA"/>
        </w:rPr>
        <w:t xml:space="preserve">, </w:t>
      </w:r>
      <w:r w:rsidRPr="001B53A8">
        <w:rPr>
          <w:lang w:val="sr-Latn-BA"/>
        </w:rPr>
        <w:t>te</w:t>
      </w:r>
      <w:r w:rsidR="00434025" w:rsidRPr="001B53A8">
        <w:rPr>
          <w:lang w:val="sr-Latn-BA"/>
        </w:rPr>
        <w:t xml:space="preserve">  </w:t>
      </w:r>
      <w:r w:rsidRPr="001B53A8">
        <w:rPr>
          <w:lang w:val="sr-Latn-BA"/>
        </w:rPr>
        <w:t>Pravilnika</w:t>
      </w:r>
      <w:r w:rsidR="00434025" w:rsidRPr="001B53A8">
        <w:rPr>
          <w:lang w:val="sr-Latn-BA"/>
        </w:rPr>
        <w:t xml:space="preserve"> </w:t>
      </w:r>
      <w:r w:rsidRPr="001B53A8">
        <w:rPr>
          <w:lang w:val="sr-Latn-BA"/>
        </w:rPr>
        <w:t>o</w:t>
      </w:r>
      <w:r w:rsidR="00434025" w:rsidRPr="001B53A8">
        <w:rPr>
          <w:lang w:val="sr-Latn-BA"/>
        </w:rPr>
        <w:t xml:space="preserve"> </w:t>
      </w:r>
      <w:r w:rsidRPr="001B53A8">
        <w:rPr>
          <w:lang w:val="sr-Latn-BA"/>
        </w:rPr>
        <w:t>uslovima</w:t>
      </w:r>
      <w:r w:rsidR="00434025" w:rsidRPr="001B53A8">
        <w:rPr>
          <w:lang w:val="sr-Latn-BA"/>
        </w:rPr>
        <w:t xml:space="preserve"> </w:t>
      </w:r>
      <w:r w:rsidRPr="001B53A8">
        <w:rPr>
          <w:lang w:val="sr-Latn-BA"/>
        </w:rPr>
        <w:t>i</w:t>
      </w:r>
      <w:r w:rsidR="00434025" w:rsidRPr="001B53A8">
        <w:rPr>
          <w:lang w:val="sr-Latn-BA"/>
        </w:rPr>
        <w:t xml:space="preserve"> </w:t>
      </w:r>
      <w:r w:rsidRPr="001B53A8">
        <w:rPr>
          <w:lang w:val="sr-Latn-BA"/>
        </w:rPr>
        <w:t>postupku</w:t>
      </w:r>
      <w:r w:rsidR="00434025" w:rsidRPr="001B53A8">
        <w:rPr>
          <w:lang w:val="sr-Latn-BA"/>
        </w:rPr>
        <w:t xml:space="preserve"> </w:t>
      </w:r>
      <w:r w:rsidRPr="001B53A8">
        <w:rPr>
          <w:lang w:val="sr-Latn-BA"/>
        </w:rPr>
        <w:t>emisije</w:t>
      </w:r>
      <w:r w:rsidR="00434025" w:rsidRPr="001B53A8">
        <w:rPr>
          <w:lang w:val="sr-Latn-BA"/>
        </w:rPr>
        <w:t xml:space="preserve"> </w:t>
      </w:r>
      <w:r w:rsidRPr="001B53A8">
        <w:rPr>
          <w:lang w:val="sr-Latn-BA"/>
        </w:rPr>
        <w:t>hartija</w:t>
      </w:r>
      <w:r w:rsidR="00434025" w:rsidRPr="001B53A8">
        <w:rPr>
          <w:lang w:val="sr-Latn-BA"/>
        </w:rPr>
        <w:t xml:space="preserve"> </w:t>
      </w:r>
      <w:r w:rsidRPr="001B53A8">
        <w:rPr>
          <w:lang w:val="sr-Latn-BA"/>
        </w:rPr>
        <w:t>od</w:t>
      </w:r>
      <w:r w:rsidR="00434025" w:rsidRPr="001B53A8">
        <w:rPr>
          <w:lang w:val="sr-Latn-BA"/>
        </w:rPr>
        <w:t xml:space="preserve"> </w:t>
      </w:r>
      <w:r w:rsidRPr="001B53A8">
        <w:rPr>
          <w:lang w:val="sr-Latn-BA"/>
        </w:rPr>
        <w:t>vrijednosti</w:t>
      </w:r>
      <w:r w:rsidR="00434025" w:rsidRPr="001B53A8">
        <w:rPr>
          <w:lang w:val="sr-Latn-BA"/>
        </w:rPr>
        <w:t>.</w:t>
      </w:r>
    </w:p>
    <w:p w14:paraId="5546CB99" w14:textId="71030AC9" w:rsidR="007232BF" w:rsidRPr="001B53A8" w:rsidRDefault="00003F34" w:rsidP="00652230">
      <w:pPr>
        <w:spacing w:after="0" w:line="240" w:lineRule="auto"/>
        <w:ind w:firstLine="567"/>
        <w:rPr>
          <w:lang w:val="sr-Latn-BA"/>
        </w:rPr>
      </w:pPr>
      <w:r w:rsidRPr="001B53A8">
        <w:rPr>
          <w:lang w:val="sr-Latn-BA"/>
        </w:rPr>
        <w:t>U</w:t>
      </w:r>
      <w:r w:rsidR="00397706" w:rsidRPr="001B53A8">
        <w:rPr>
          <w:lang w:val="sr-Latn-BA"/>
        </w:rPr>
        <w:t xml:space="preserve"> </w:t>
      </w:r>
      <w:r w:rsidR="00652230" w:rsidRPr="001B53A8">
        <w:rPr>
          <w:lang w:val="sr-Latn-BA"/>
        </w:rPr>
        <w:t xml:space="preserve">2023. </w:t>
      </w:r>
      <w:r w:rsidRPr="001B53A8">
        <w:rPr>
          <w:lang w:val="sr-Latn-BA"/>
        </w:rPr>
        <w:t>godini</w:t>
      </w:r>
      <w:r w:rsidR="00652230" w:rsidRPr="001B53A8">
        <w:rPr>
          <w:lang w:val="sr-Latn-BA"/>
        </w:rPr>
        <w:t xml:space="preserve"> </w:t>
      </w:r>
      <w:r w:rsidRPr="001B53A8">
        <w:rPr>
          <w:lang w:val="sr-Latn-BA"/>
        </w:rPr>
        <w:t>donesena</w:t>
      </w:r>
      <w:r w:rsidR="00652230" w:rsidRPr="001B53A8">
        <w:rPr>
          <w:lang w:val="sr-Latn-BA"/>
        </w:rPr>
        <w:t xml:space="preserve"> </w:t>
      </w:r>
      <w:r w:rsidRPr="001B53A8">
        <w:rPr>
          <w:lang w:val="sr-Latn-BA"/>
        </w:rPr>
        <w:t>su</w:t>
      </w:r>
      <w:r w:rsidR="00652230" w:rsidRPr="001B53A8">
        <w:rPr>
          <w:lang w:val="sr-Latn-BA"/>
        </w:rPr>
        <w:t xml:space="preserve"> </w:t>
      </w:r>
      <w:r w:rsidRPr="001B53A8">
        <w:rPr>
          <w:lang w:val="sr-Latn-BA"/>
        </w:rPr>
        <w:t>dva</w:t>
      </w:r>
      <w:r w:rsidR="00652230" w:rsidRPr="001B53A8">
        <w:rPr>
          <w:lang w:val="sr-Latn-BA"/>
        </w:rPr>
        <w:t xml:space="preserve"> </w:t>
      </w:r>
      <w:r w:rsidRPr="001B53A8">
        <w:rPr>
          <w:lang w:val="sr-Latn-BA"/>
        </w:rPr>
        <w:t>rješenja</w:t>
      </w:r>
      <w:r w:rsidR="00652230" w:rsidRPr="001B53A8">
        <w:rPr>
          <w:lang w:val="sr-Latn-BA"/>
        </w:rPr>
        <w:t xml:space="preserve"> </w:t>
      </w:r>
      <w:r w:rsidRPr="001B53A8">
        <w:rPr>
          <w:lang w:val="sr-Latn-BA"/>
        </w:rPr>
        <w:t>kojima</w:t>
      </w:r>
      <w:r w:rsidR="00652230" w:rsidRPr="001B53A8">
        <w:rPr>
          <w:lang w:val="sr-Latn-BA"/>
        </w:rPr>
        <w:t xml:space="preserve"> </w:t>
      </w:r>
      <w:r w:rsidRPr="001B53A8">
        <w:rPr>
          <w:lang w:val="sr-Latn-BA"/>
        </w:rPr>
        <w:t>se</w:t>
      </w:r>
      <w:r w:rsidR="00652230" w:rsidRPr="001B53A8">
        <w:rPr>
          <w:lang w:val="sr-Latn-BA"/>
        </w:rPr>
        <w:t xml:space="preserve"> </w:t>
      </w:r>
      <w:r w:rsidRPr="001B53A8">
        <w:rPr>
          <w:lang w:val="sr-Latn-BA"/>
        </w:rPr>
        <w:t>DUIF</w:t>
      </w:r>
      <w:r w:rsidR="00652230" w:rsidRPr="001B53A8">
        <w:rPr>
          <w:lang w:val="sr-Latn-BA"/>
        </w:rPr>
        <w:t xml:space="preserve"> „Management Solutions“ </w:t>
      </w:r>
      <w:r w:rsidRPr="001B53A8">
        <w:rPr>
          <w:lang w:val="sr-Latn-BA"/>
        </w:rPr>
        <w:t>d</w:t>
      </w:r>
      <w:r w:rsidR="00652230" w:rsidRPr="001B53A8">
        <w:rPr>
          <w:lang w:val="sr-Latn-BA"/>
        </w:rPr>
        <w:t>.</w:t>
      </w:r>
      <w:r w:rsidRPr="001B53A8">
        <w:rPr>
          <w:lang w:val="sr-Latn-BA"/>
        </w:rPr>
        <w:t>o</w:t>
      </w:r>
      <w:r w:rsidR="00652230" w:rsidRPr="001B53A8">
        <w:rPr>
          <w:lang w:val="sr-Latn-BA"/>
        </w:rPr>
        <w:t>.</w:t>
      </w:r>
      <w:r w:rsidRPr="001B53A8">
        <w:rPr>
          <w:lang w:val="sr-Latn-BA"/>
        </w:rPr>
        <w:t>o</w:t>
      </w:r>
      <w:r w:rsidR="00652230" w:rsidRPr="001B53A8">
        <w:rPr>
          <w:lang w:val="sr-Latn-BA"/>
        </w:rPr>
        <w:t xml:space="preserve">. </w:t>
      </w:r>
      <w:r w:rsidRPr="001B53A8">
        <w:rPr>
          <w:lang w:val="sr-Latn-BA"/>
        </w:rPr>
        <w:t>Banja</w:t>
      </w:r>
      <w:r w:rsidR="00652230" w:rsidRPr="001B53A8">
        <w:rPr>
          <w:lang w:val="sr-Latn-BA"/>
        </w:rPr>
        <w:t xml:space="preserve"> </w:t>
      </w:r>
      <w:r w:rsidRPr="001B53A8">
        <w:rPr>
          <w:lang w:val="sr-Latn-BA"/>
        </w:rPr>
        <w:t>Luka</w:t>
      </w:r>
      <w:r w:rsidR="00652230" w:rsidRPr="001B53A8">
        <w:rPr>
          <w:lang w:val="sr-Latn-BA"/>
        </w:rPr>
        <w:t xml:space="preserve"> </w:t>
      </w:r>
      <w:r w:rsidRPr="001B53A8">
        <w:rPr>
          <w:lang w:val="sr-Latn-BA"/>
        </w:rPr>
        <w:t>daje</w:t>
      </w:r>
      <w:r w:rsidR="00652230" w:rsidRPr="001B53A8">
        <w:rPr>
          <w:lang w:val="sr-Latn-BA"/>
        </w:rPr>
        <w:t xml:space="preserve"> </w:t>
      </w:r>
      <w:r w:rsidRPr="001B53A8">
        <w:rPr>
          <w:lang w:val="sr-Latn-BA"/>
        </w:rPr>
        <w:t>saglasnost</w:t>
      </w:r>
      <w:r w:rsidR="00652230" w:rsidRPr="001B53A8">
        <w:rPr>
          <w:lang w:val="sr-Latn-BA"/>
        </w:rPr>
        <w:t xml:space="preserve"> </w:t>
      </w:r>
      <w:r w:rsidRPr="001B53A8">
        <w:rPr>
          <w:lang w:val="sr-Latn-BA"/>
        </w:rPr>
        <w:t>na</w:t>
      </w:r>
      <w:r w:rsidR="00652230" w:rsidRPr="001B53A8">
        <w:rPr>
          <w:lang w:val="sr-Latn-BA"/>
        </w:rPr>
        <w:t xml:space="preserve"> </w:t>
      </w:r>
      <w:r w:rsidRPr="001B53A8">
        <w:rPr>
          <w:lang w:val="sr-Latn-BA"/>
        </w:rPr>
        <w:t>izmjene</w:t>
      </w:r>
      <w:r w:rsidR="00652230" w:rsidRPr="001B53A8">
        <w:rPr>
          <w:lang w:val="sr-Latn-BA"/>
        </w:rPr>
        <w:t xml:space="preserve"> </w:t>
      </w:r>
      <w:r w:rsidRPr="001B53A8">
        <w:rPr>
          <w:lang w:val="sr-Latn-BA"/>
        </w:rPr>
        <w:t>i</w:t>
      </w:r>
      <w:r w:rsidR="00652230" w:rsidRPr="001B53A8">
        <w:rPr>
          <w:lang w:val="sr-Latn-BA"/>
        </w:rPr>
        <w:t xml:space="preserve"> </w:t>
      </w:r>
      <w:r w:rsidRPr="001B53A8">
        <w:rPr>
          <w:lang w:val="sr-Latn-BA"/>
        </w:rPr>
        <w:t>dopune</w:t>
      </w:r>
      <w:r w:rsidR="00652230" w:rsidRPr="001B53A8">
        <w:rPr>
          <w:lang w:val="sr-Latn-BA"/>
        </w:rPr>
        <w:t xml:space="preserve"> </w:t>
      </w:r>
      <w:r w:rsidRPr="001B53A8">
        <w:rPr>
          <w:lang w:val="sr-Latn-BA"/>
        </w:rPr>
        <w:t>prospekta</w:t>
      </w:r>
      <w:r w:rsidR="00652230" w:rsidRPr="001B53A8">
        <w:rPr>
          <w:lang w:val="sr-Latn-BA"/>
        </w:rPr>
        <w:t xml:space="preserve"> </w:t>
      </w:r>
      <w:r w:rsidRPr="001B53A8">
        <w:rPr>
          <w:lang w:val="sr-Latn-BA"/>
        </w:rPr>
        <w:t>i</w:t>
      </w:r>
      <w:r w:rsidR="00652230" w:rsidRPr="001B53A8">
        <w:rPr>
          <w:lang w:val="sr-Latn-BA"/>
        </w:rPr>
        <w:t xml:space="preserve"> </w:t>
      </w:r>
      <w:r w:rsidRPr="001B53A8">
        <w:rPr>
          <w:lang w:val="sr-Latn-BA"/>
        </w:rPr>
        <w:t>statuta</w:t>
      </w:r>
      <w:r w:rsidR="00652230" w:rsidRPr="001B53A8">
        <w:rPr>
          <w:lang w:val="sr-Latn-BA"/>
        </w:rPr>
        <w:t xml:space="preserve"> </w:t>
      </w:r>
      <w:r w:rsidRPr="001B53A8">
        <w:rPr>
          <w:lang w:val="sr-Latn-BA"/>
        </w:rPr>
        <w:t>otvorenog</w:t>
      </w:r>
      <w:r w:rsidR="00652230" w:rsidRPr="001B53A8">
        <w:rPr>
          <w:lang w:val="sr-Latn-BA"/>
        </w:rPr>
        <w:t xml:space="preserve"> </w:t>
      </w:r>
      <w:r w:rsidRPr="001B53A8">
        <w:rPr>
          <w:lang w:val="sr-Latn-BA"/>
        </w:rPr>
        <w:t>akcijskog</w:t>
      </w:r>
      <w:r w:rsidR="00652230" w:rsidRPr="001B53A8">
        <w:rPr>
          <w:lang w:val="sr-Latn-BA"/>
        </w:rPr>
        <w:t xml:space="preserve"> </w:t>
      </w:r>
      <w:r w:rsidRPr="001B53A8">
        <w:rPr>
          <w:lang w:val="sr-Latn-BA"/>
        </w:rPr>
        <w:t>investicionog</w:t>
      </w:r>
      <w:r w:rsidR="00652230" w:rsidRPr="001B53A8">
        <w:rPr>
          <w:lang w:val="sr-Latn-BA"/>
        </w:rPr>
        <w:t xml:space="preserve"> </w:t>
      </w:r>
      <w:r w:rsidRPr="001B53A8">
        <w:rPr>
          <w:lang w:val="sr-Latn-BA"/>
        </w:rPr>
        <w:t>fonda</w:t>
      </w:r>
      <w:r w:rsidR="00652230" w:rsidRPr="001B53A8">
        <w:rPr>
          <w:lang w:val="sr-Latn-BA"/>
        </w:rPr>
        <w:t xml:space="preserve"> </w:t>
      </w:r>
      <w:r w:rsidRPr="001B53A8">
        <w:rPr>
          <w:lang w:val="sr-Latn-BA"/>
        </w:rPr>
        <w:t>sa</w:t>
      </w:r>
      <w:r w:rsidR="00652230" w:rsidRPr="001B53A8">
        <w:rPr>
          <w:lang w:val="sr-Latn-BA"/>
        </w:rPr>
        <w:t xml:space="preserve"> </w:t>
      </w:r>
      <w:r w:rsidRPr="001B53A8">
        <w:rPr>
          <w:lang w:val="sr-Latn-BA"/>
        </w:rPr>
        <w:t>javnom</w:t>
      </w:r>
      <w:r w:rsidR="00652230" w:rsidRPr="001B53A8">
        <w:rPr>
          <w:lang w:val="sr-Latn-BA"/>
        </w:rPr>
        <w:t xml:space="preserve"> </w:t>
      </w:r>
      <w:r w:rsidRPr="001B53A8">
        <w:rPr>
          <w:lang w:val="sr-Latn-BA"/>
        </w:rPr>
        <w:t>ponudom</w:t>
      </w:r>
      <w:r w:rsidR="00652230" w:rsidRPr="001B53A8">
        <w:rPr>
          <w:lang w:val="sr-Latn-BA"/>
        </w:rPr>
        <w:t xml:space="preserve"> „</w:t>
      </w:r>
      <w:r w:rsidRPr="001B53A8">
        <w:rPr>
          <w:lang w:val="sr-Latn-BA"/>
        </w:rPr>
        <w:t>BORS</w:t>
      </w:r>
      <w:r w:rsidR="00652230" w:rsidRPr="001B53A8">
        <w:rPr>
          <w:lang w:val="sr-Latn-BA"/>
        </w:rPr>
        <w:t xml:space="preserve"> </w:t>
      </w:r>
      <w:r w:rsidRPr="001B53A8">
        <w:rPr>
          <w:lang w:val="sr-Latn-BA"/>
        </w:rPr>
        <w:t>INVEST</w:t>
      </w:r>
      <w:r w:rsidR="00652230" w:rsidRPr="001B53A8">
        <w:rPr>
          <w:lang w:val="sr-Latn-BA"/>
        </w:rPr>
        <w:t xml:space="preserve"> </w:t>
      </w:r>
      <w:r w:rsidRPr="001B53A8">
        <w:rPr>
          <w:lang w:val="sr-Latn-BA"/>
        </w:rPr>
        <w:t>FOND</w:t>
      </w:r>
      <w:r w:rsidR="00652230" w:rsidRPr="001B53A8">
        <w:rPr>
          <w:lang w:val="sr-Latn-BA"/>
        </w:rPr>
        <w:t xml:space="preserve">“ </w:t>
      </w:r>
      <w:r w:rsidRPr="001B53A8">
        <w:rPr>
          <w:lang w:val="sr-Latn-BA"/>
        </w:rPr>
        <w:t>i</w:t>
      </w:r>
      <w:r w:rsidR="00652230" w:rsidRPr="001B53A8">
        <w:rPr>
          <w:lang w:val="sr-Latn-BA"/>
        </w:rPr>
        <w:t xml:space="preserve"> </w:t>
      </w:r>
      <w:r w:rsidRPr="001B53A8">
        <w:rPr>
          <w:lang w:val="sr-Latn-BA"/>
        </w:rPr>
        <w:t>otvorenog</w:t>
      </w:r>
      <w:r w:rsidR="00652230" w:rsidRPr="001B53A8">
        <w:rPr>
          <w:lang w:val="sr-Latn-BA"/>
        </w:rPr>
        <w:t xml:space="preserve"> </w:t>
      </w:r>
      <w:r w:rsidRPr="001B53A8">
        <w:rPr>
          <w:lang w:val="sr-Latn-BA"/>
        </w:rPr>
        <w:t>akcijskog</w:t>
      </w:r>
      <w:r w:rsidR="00652230" w:rsidRPr="001B53A8">
        <w:rPr>
          <w:lang w:val="sr-Latn-BA"/>
        </w:rPr>
        <w:t xml:space="preserve"> </w:t>
      </w:r>
      <w:r w:rsidRPr="001B53A8">
        <w:rPr>
          <w:lang w:val="sr-Latn-BA"/>
        </w:rPr>
        <w:t>fonda</w:t>
      </w:r>
      <w:r w:rsidR="00652230" w:rsidRPr="001B53A8">
        <w:rPr>
          <w:lang w:val="sr-Latn-BA"/>
        </w:rPr>
        <w:t xml:space="preserve"> </w:t>
      </w:r>
      <w:r w:rsidRPr="001B53A8">
        <w:rPr>
          <w:lang w:val="sr-Latn-BA"/>
        </w:rPr>
        <w:t>sa</w:t>
      </w:r>
      <w:r w:rsidR="00652230" w:rsidRPr="001B53A8">
        <w:rPr>
          <w:lang w:val="sr-Latn-BA"/>
        </w:rPr>
        <w:t xml:space="preserve"> </w:t>
      </w:r>
      <w:r w:rsidRPr="001B53A8">
        <w:rPr>
          <w:lang w:val="sr-Latn-BA"/>
        </w:rPr>
        <w:t>javnom</w:t>
      </w:r>
      <w:r w:rsidR="00652230" w:rsidRPr="001B53A8">
        <w:rPr>
          <w:lang w:val="sr-Latn-BA"/>
        </w:rPr>
        <w:t xml:space="preserve"> </w:t>
      </w:r>
      <w:r w:rsidRPr="001B53A8">
        <w:rPr>
          <w:lang w:val="sr-Latn-BA"/>
        </w:rPr>
        <w:t>ponudom</w:t>
      </w:r>
      <w:r w:rsidR="00652230" w:rsidRPr="001B53A8">
        <w:rPr>
          <w:lang w:val="sr-Latn-BA"/>
        </w:rPr>
        <w:t xml:space="preserve"> „</w:t>
      </w:r>
      <w:r w:rsidRPr="001B53A8">
        <w:rPr>
          <w:lang w:val="sr-Latn-BA"/>
        </w:rPr>
        <w:t>VIB</w:t>
      </w:r>
      <w:r w:rsidR="00652230" w:rsidRPr="001B53A8">
        <w:rPr>
          <w:lang w:val="sr-Latn-BA"/>
        </w:rPr>
        <w:t xml:space="preserve"> </w:t>
      </w:r>
      <w:r w:rsidRPr="001B53A8">
        <w:rPr>
          <w:lang w:val="sr-Latn-BA"/>
        </w:rPr>
        <w:t>FOND</w:t>
      </w:r>
      <w:r w:rsidR="00652230" w:rsidRPr="001B53A8">
        <w:rPr>
          <w:lang w:val="sr-Latn-BA"/>
        </w:rPr>
        <w:t>“</w:t>
      </w:r>
      <w:r w:rsidR="007232BF" w:rsidRPr="001B53A8">
        <w:rPr>
          <w:lang w:val="sr-Latn-BA"/>
        </w:rPr>
        <w:t>.</w:t>
      </w:r>
    </w:p>
    <w:p w14:paraId="4F829576" w14:textId="1140B766" w:rsidR="00434025" w:rsidRPr="001B53A8" w:rsidRDefault="00003F34" w:rsidP="006B6E0C">
      <w:pPr>
        <w:pStyle w:val="ListParagraph"/>
        <w:numPr>
          <w:ilvl w:val="0"/>
          <w:numId w:val="7"/>
        </w:numPr>
        <w:tabs>
          <w:tab w:val="left" w:pos="851"/>
        </w:tabs>
        <w:spacing w:after="0" w:line="240" w:lineRule="auto"/>
        <w:ind w:left="0" w:firstLine="567"/>
        <w:contextualSpacing w:val="0"/>
        <w:rPr>
          <w:lang w:val="sr-Latn-BA"/>
        </w:rPr>
      </w:pPr>
      <w:r w:rsidRPr="001B53A8">
        <w:rPr>
          <w:b/>
          <w:lang w:val="sr-Latn-BA"/>
        </w:rPr>
        <w:t>Saglasnost</w:t>
      </w:r>
      <w:r w:rsidR="00434025" w:rsidRPr="001B53A8">
        <w:rPr>
          <w:b/>
          <w:lang w:val="sr-Latn-BA"/>
        </w:rPr>
        <w:t xml:space="preserve"> </w:t>
      </w:r>
      <w:r w:rsidRPr="001B53A8">
        <w:rPr>
          <w:b/>
          <w:lang w:val="sr-Latn-BA"/>
        </w:rPr>
        <w:t>na</w:t>
      </w:r>
      <w:r w:rsidR="00434025" w:rsidRPr="001B53A8">
        <w:rPr>
          <w:b/>
          <w:lang w:val="sr-Latn-BA"/>
        </w:rPr>
        <w:t xml:space="preserve"> </w:t>
      </w:r>
      <w:r w:rsidRPr="001B53A8">
        <w:rPr>
          <w:b/>
          <w:lang w:val="sr-Latn-BA"/>
        </w:rPr>
        <w:t>imenovanje</w:t>
      </w:r>
      <w:r w:rsidR="00434025" w:rsidRPr="001B53A8">
        <w:rPr>
          <w:b/>
          <w:lang w:val="sr-Latn-BA"/>
        </w:rPr>
        <w:t xml:space="preserve"> </w:t>
      </w:r>
      <w:r w:rsidRPr="001B53A8">
        <w:rPr>
          <w:b/>
          <w:lang w:val="sr-Latn-BA"/>
        </w:rPr>
        <w:t>članova</w:t>
      </w:r>
      <w:r w:rsidR="00434025" w:rsidRPr="001B53A8">
        <w:rPr>
          <w:b/>
          <w:lang w:val="sr-Latn-BA"/>
        </w:rPr>
        <w:t xml:space="preserve"> </w:t>
      </w:r>
      <w:r w:rsidRPr="001B53A8">
        <w:rPr>
          <w:b/>
          <w:lang w:val="sr-Latn-BA"/>
        </w:rPr>
        <w:t>nadzornog</w:t>
      </w:r>
      <w:r w:rsidR="00434025" w:rsidRPr="001B53A8">
        <w:rPr>
          <w:b/>
          <w:lang w:val="sr-Latn-BA"/>
        </w:rPr>
        <w:t xml:space="preserve"> </w:t>
      </w:r>
      <w:r w:rsidRPr="001B53A8">
        <w:rPr>
          <w:b/>
          <w:lang w:val="sr-Latn-BA"/>
        </w:rPr>
        <w:t>odbora</w:t>
      </w:r>
      <w:r w:rsidR="00434025" w:rsidRPr="001B53A8">
        <w:rPr>
          <w:b/>
          <w:lang w:val="sr-Latn-BA"/>
        </w:rPr>
        <w:t xml:space="preserve"> </w:t>
      </w:r>
      <w:r w:rsidRPr="001B53A8">
        <w:rPr>
          <w:b/>
          <w:lang w:val="sr-Latn-BA"/>
        </w:rPr>
        <w:t>investicionog</w:t>
      </w:r>
      <w:r w:rsidR="00434025" w:rsidRPr="001B53A8">
        <w:rPr>
          <w:b/>
          <w:lang w:val="sr-Latn-BA"/>
        </w:rPr>
        <w:t xml:space="preserve"> </w:t>
      </w:r>
      <w:r w:rsidRPr="001B53A8">
        <w:rPr>
          <w:b/>
          <w:lang w:val="sr-Latn-BA"/>
        </w:rPr>
        <w:t>fonda</w:t>
      </w:r>
      <w:r w:rsidR="00434025" w:rsidRPr="001B53A8">
        <w:rPr>
          <w:lang w:val="sr-Latn-BA"/>
        </w:rPr>
        <w:t xml:space="preserve">, </w:t>
      </w:r>
      <w:r w:rsidRPr="001B53A8">
        <w:rPr>
          <w:lang w:val="sr-Latn-BA"/>
        </w:rPr>
        <w:t>Komisija</w:t>
      </w:r>
      <w:r w:rsidR="00434025" w:rsidRPr="001B53A8">
        <w:rPr>
          <w:lang w:val="sr-Latn-BA"/>
        </w:rPr>
        <w:t xml:space="preserve"> </w:t>
      </w:r>
      <w:r w:rsidRPr="001B53A8">
        <w:rPr>
          <w:lang w:val="sr-Latn-BA"/>
        </w:rPr>
        <w:t>za</w:t>
      </w:r>
      <w:r w:rsidR="00434025" w:rsidRPr="001B53A8">
        <w:rPr>
          <w:lang w:val="sr-Latn-BA"/>
        </w:rPr>
        <w:t xml:space="preserve"> </w:t>
      </w:r>
      <w:r w:rsidRPr="001B53A8">
        <w:rPr>
          <w:lang w:val="sr-Latn-BA"/>
        </w:rPr>
        <w:t>hartije</w:t>
      </w:r>
      <w:r w:rsidR="00434025" w:rsidRPr="001B53A8">
        <w:rPr>
          <w:lang w:val="sr-Latn-BA"/>
        </w:rPr>
        <w:t xml:space="preserve"> </w:t>
      </w:r>
      <w:r w:rsidRPr="001B53A8">
        <w:rPr>
          <w:lang w:val="sr-Latn-BA"/>
        </w:rPr>
        <w:t>od</w:t>
      </w:r>
      <w:r w:rsidR="00434025" w:rsidRPr="001B53A8">
        <w:rPr>
          <w:lang w:val="sr-Latn-BA"/>
        </w:rPr>
        <w:t xml:space="preserve"> </w:t>
      </w:r>
      <w:r w:rsidRPr="001B53A8">
        <w:rPr>
          <w:lang w:val="sr-Latn-BA"/>
        </w:rPr>
        <w:t>vrijednosti</w:t>
      </w:r>
      <w:r w:rsidR="00434025" w:rsidRPr="001B53A8">
        <w:rPr>
          <w:lang w:val="sr-Latn-BA"/>
        </w:rPr>
        <w:t xml:space="preserve"> </w:t>
      </w:r>
      <w:r w:rsidRPr="001B53A8">
        <w:rPr>
          <w:lang w:val="sr-Latn-BA"/>
        </w:rPr>
        <w:t>izdaje</w:t>
      </w:r>
      <w:r w:rsidR="00434025" w:rsidRPr="001B53A8">
        <w:rPr>
          <w:lang w:val="sr-Latn-BA"/>
        </w:rPr>
        <w:t xml:space="preserve"> </w:t>
      </w:r>
      <w:r w:rsidRPr="001B53A8">
        <w:rPr>
          <w:lang w:val="sr-Latn-BA"/>
        </w:rPr>
        <w:t>u</w:t>
      </w:r>
      <w:r w:rsidR="00434025" w:rsidRPr="001B53A8">
        <w:rPr>
          <w:lang w:val="sr-Latn-BA"/>
        </w:rPr>
        <w:t xml:space="preserve"> </w:t>
      </w:r>
      <w:r w:rsidRPr="001B53A8">
        <w:rPr>
          <w:lang w:val="sr-Latn-BA"/>
        </w:rPr>
        <w:t>skladu</w:t>
      </w:r>
      <w:r w:rsidR="00434025" w:rsidRPr="001B53A8">
        <w:rPr>
          <w:lang w:val="sr-Latn-BA"/>
        </w:rPr>
        <w:t xml:space="preserve"> </w:t>
      </w:r>
      <w:r w:rsidRPr="001B53A8">
        <w:rPr>
          <w:lang w:val="sr-Latn-BA"/>
        </w:rPr>
        <w:t>sa</w:t>
      </w:r>
      <w:r w:rsidR="00434025" w:rsidRPr="001B53A8">
        <w:rPr>
          <w:lang w:val="sr-Latn-BA"/>
        </w:rPr>
        <w:t xml:space="preserve"> </w:t>
      </w:r>
      <w:r w:rsidRPr="001B53A8">
        <w:rPr>
          <w:lang w:val="sr-Latn-BA"/>
        </w:rPr>
        <w:t>članom</w:t>
      </w:r>
      <w:r w:rsidR="00434025" w:rsidRPr="001B53A8">
        <w:rPr>
          <w:lang w:val="sr-Latn-BA"/>
        </w:rPr>
        <w:t xml:space="preserve"> 69. </w:t>
      </w:r>
      <w:r w:rsidRPr="001B53A8">
        <w:rPr>
          <w:lang w:val="sr-Latn-BA"/>
        </w:rPr>
        <w:t>Zakona</w:t>
      </w:r>
      <w:r w:rsidR="00434025" w:rsidRPr="001B53A8">
        <w:rPr>
          <w:lang w:val="sr-Latn-BA"/>
        </w:rPr>
        <w:t xml:space="preserve"> </w:t>
      </w:r>
      <w:r w:rsidRPr="001B53A8">
        <w:rPr>
          <w:lang w:val="sr-Latn-BA"/>
        </w:rPr>
        <w:t>o</w:t>
      </w:r>
      <w:r w:rsidR="00434025" w:rsidRPr="001B53A8">
        <w:rPr>
          <w:lang w:val="sr-Latn-BA"/>
        </w:rPr>
        <w:t xml:space="preserve"> </w:t>
      </w:r>
      <w:r w:rsidRPr="001B53A8">
        <w:rPr>
          <w:lang w:val="sr-Latn-BA"/>
        </w:rPr>
        <w:t>investicionim</w:t>
      </w:r>
      <w:r w:rsidR="00434025" w:rsidRPr="001B53A8">
        <w:rPr>
          <w:lang w:val="sr-Latn-BA"/>
        </w:rPr>
        <w:t xml:space="preserve"> </w:t>
      </w:r>
      <w:r w:rsidRPr="001B53A8">
        <w:rPr>
          <w:lang w:val="sr-Latn-BA"/>
        </w:rPr>
        <w:t>fondovima</w:t>
      </w:r>
      <w:r w:rsidR="00434025" w:rsidRPr="001B53A8">
        <w:rPr>
          <w:lang w:val="sr-Latn-BA"/>
        </w:rPr>
        <w:t xml:space="preserve">. </w:t>
      </w:r>
    </w:p>
    <w:p w14:paraId="5FACB265" w14:textId="4E5B2DD5" w:rsidR="00434025" w:rsidRPr="001B53A8" w:rsidRDefault="00003F34" w:rsidP="006B6E0C">
      <w:pPr>
        <w:spacing w:after="0" w:line="240" w:lineRule="auto"/>
        <w:ind w:firstLine="567"/>
        <w:rPr>
          <w:lang w:val="sr-Latn-BA"/>
        </w:rPr>
      </w:pPr>
      <w:r w:rsidRPr="001B53A8">
        <w:rPr>
          <w:lang w:val="sr-Latn-BA"/>
        </w:rPr>
        <w:t>U</w:t>
      </w:r>
      <w:r w:rsidR="00397706" w:rsidRPr="001B53A8">
        <w:rPr>
          <w:lang w:val="sr-Latn-BA"/>
        </w:rPr>
        <w:t xml:space="preserve"> </w:t>
      </w:r>
      <w:r w:rsidR="00652230" w:rsidRPr="001B53A8">
        <w:rPr>
          <w:lang w:val="sr-Latn-BA"/>
        </w:rPr>
        <w:t xml:space="preserve">2023. </w:t>
      </w:r>
      <w:r w:rsidRPr="001B53A8">
        <w:rPr>
          <w:lang w:val="sr-Latn-BA"/>
        </w:rPr>
        <w:t>godini</w:t>
      </w:r>
      <w:r w:rsidR="00652230" w:rsidRPr="001B53A8">
        <w:rPr>
          <w:lang w:val="sr-Latn-BA"/>
        </w:rPr>
        <w:t xml:space="preserve"> </w:t>
      </w:r>
      <w:r w:rsidRPr="001B53A8">
        <w:rPr>
          <w:lang w:val="sr-Latn-BA"/>
        </w:rPr>
        <w:t>ovakvih</w:t>
      </w:r>
      <w:r w:rsidR="00652230" w:rsidRPr="001B53A8">
        <w:rPr>
          <w:lang w:val="sr-Latn-BA"/>
        </w:rPr>
        <w:t xml:space="preserve"> </w:t>
      </w:r>
      <w:r w:rsidRPr="001B53A8">
        <w:rPr>
          <w:lang w:val="sr-Latn-BA"/>
        </w:rPr>
        <w:t>postupaka</w:t>
      </w:r>
      <w:r w:rsidR="00652230" w:rsidRPr="001B53A8">
        <w:rPr>
          <w:lang w:val="sr-Latn-BA"/>
        </w:rPr>
        <w:t xml:space="preserve"> </w:t>
      </w:r>
      <w:r w:rsidRPr="001B53A8">
        <w:rPr>
          <w:lang w:val="sr-Latn-BA"/>
        </w:rPr>
        <w:t>nije</w:t>
      </w:r>
      <w:r w:rsidR="00652230" w:rsidRPr="001B53A8">
        <w:rPr>
          <w:lang w:val="sr-Latn-BA"/>
        </w:rPr>
        <w:t xml:space="preserve"> </w:t>
      </w:r>
      <w:r w:rsidRPr="001B53A8">
        <w:rPr>
          <w:lang w:val="sr-Latn-BA"/>
        </w:rPr>
        <w:t>bilo</w:t>
      </w:r>
      <w:r w:rsidR="00652230" w:rsidRPr="001B53A8">
        <w:rPr>
          <w:lang w:val="sr-Latn-BA"/>
        </w:rPr>
        <w:t xml:space="preserve">, </w:t>
      </w:r>
      <w:r w:rsidRPr="001B53A8">
        <w:rPr>
          <w:lang w:val="sr-Latn-BA"/>
        </w:rPr>
        <w:t>jer</w:t>
      </w:r>
      <w:r w:rsidR="00652230" w:rsidRPr="001B53A8">
        <w:rPr>
          <w:lang w:val="sr-Latn-BA"/>
        </w:rPr>
        <w:t xml:space="preserve"> </w:t>
      </w:r>
      <w:r w:rsidRPr="001B53A8">
        <w:rPr>
          <w:lang w:val="sr-Latn-BA"/>
        </w:rPr>
        <w:t>su</w:t>
      </w:r>
      <w:r w:rsidR="00652230" w:rsidRPr="001B53A8">
        <w:rPr>
          <w:lang w:val="sr-Latn-BA"/>
        </w:rPr>
        <w:t xml:space="preserve"> </w:t>
      </w:r>
      <w:r w:rsidRPr="001B53A8">
        <w:rPr>
          <w:lang w:val="sr-Latn-BA"/>
        </w:rPr>
        <w:t>zatvoreni</w:t>
      </w:r>
      <w:r w:rsidR="00652230" w:rsidRPr="001B53A8">
        <w:rPr>
          <w:lang w:val="sr-Latn-BA"/>
        </w:rPr>
        <w:t xml:space="preserve"> </w:t>
      </w:r>
      <w:r w:rsidRPr="001B53A8">
        <w:rPr>
          <w:lang w:val="sr-Latn-BA"/>
        </w:rPr>
        <w:t>investicioni</w:t>
      </w:r>
      <w:r w:rsidR="00652230" w:rsidRPr="001B53A8">
        <w:rPr>
          <w:lang w:val="sr-Latn-BA"/>
        </w:rPr>
        <w:t xml:space="preserve"> </w:t>
      </w:r>
      <w:r w:rsidRPr="001B53A8">
        <w:rPr>
          <w:lang w:val="sr-Latn-BA"/>
        </w:rPr>
        <w:t>fondovi</w:t>
      </w:r>
      <w:r w:rsidR="00652230" w:rsidRPr="001B53A8">
        <w:rPr>
          <w:lang w:val="sr-Latn-BA"/>
        </w:rPr>
        <w:t xml:space="preserve"> </w:t>
      </w:r>
      <w:r w:rsidRPr="001B53A8">
        <w:rPr>
          <w:lang w:val="sr-Latn-BA"/>
        </w:rPr>
        <w:t>završili</w:t>
      </w:r>
      <w:r w:rsidR="00652230" w:rsidRPr="001B53A8">
        <w:rPr>
          <w:lang w:val="sr-Latn-BA"/>
        </w:rPr>
        <w:t xml:space="preserve"> </w:t>
      </w:r>
      <w:r w:rsidRPr="001B53A8">
        <w:rPr>
          <w:lang w:val="sr-Latn-BA"/>
        </w:rPr>
        <w:t>proces</w:t>
      </w:r>
      <w:r w:rsidR="00652230" w:rsidRPr="001B53A8">
        <w:rPr>
          <w:lang w:val="sr-Latn-BA"/>
        </w:rPr>
        <w:t xml:space="preserve"> </w:t>
      </w:r>
      <w:r w:rsidRPr="001B53A8">
        <w:rPr>
          <w:lang w:val="sr-Latn-BA"/>
        </w:rPr>
        <w:t>preoblikovanja</w:t>
      </w:r>
      <w:r w:rsidR="00652230" w:rsidRPr="001B53A8">
        <w:rPr>
          <w:lang w:val="sr-Latn-BA"/>
        </w:rPr>
        <w:t xml:space="preserve"> </w:t>
      </w:r>
      <w:r w:rsidRPr="001B53A8">
        <w:rPr>
          <w:lang w:val="sr-Latn-BA"/>
        </w:rPr>
        <w:t>te</w:t>
      </w:r>
      <w:r w:rsidR="00652230" w:rsidRPr="001B53A8">
        <w:rPr>
          <w:lang w:val="sr-Latn-BA"/>
        </w:rPr>
        <w:t xml:space="preserve"> </w:t>
      </w:r>
      <w:r w:rsidRPr="001B53A8">
        <w:rPr>
          <w:lang w:val="sr-Latn-BA"/>
        </w:rPr>
        <w:t>posluju</w:t>
      </w:r>
      <w:r w:rsidR="00652230" w:rsidRPr="001B53A8">
        <w:rPr>
          <w:lang w:val="sr-Latn-BA"/>
        </w:rPr>
        <w:t xml:space="preserve"> </w:t>
      </w:r>
      <w:r w:rsidRPr="001B53A8">
        <w:rPr>
          <w:lang w:val="sr-Latn-BA"/>
        </w:rPr>
        <w:t>u</w:t>
      </w:r>
      <w:r w:rsidR="00652230" w:rsidRPr="001B53A8">
        <w:rPr>
          <w:lang w:val="sr-Latn-BA"/>
        </w:rPr>
        <w:t xml:space="preserve"> </w:t>
      </w:r>
      <w:r w:rsidRPr="001B53A8">
        <w:rPr>
          <w:lang w:val="sr-Latn-BA"/>
        </w:rPr>
        <w:t>formi</w:t>
      </w:r>
      <w:r w:rsidR="00652230" w:rsidRPr="001B53A8">
        <w:rPr>
          <w:lang w:val="sr-Latn-BA"/>
        </w:rPr>
        <w:t xml:space="preserve"> </w:t>
      </w:r>
      <w:r w:rsidRPr="001B53A8">
        <w:rPr>
          <w:lang w:val="sr-Latn-BA"/>
        </w:rPr>
        <w:t>otvorenog</w:t>
      </w:r>
      <w:r w:rsidR="00652230" w:rsidRPr="001B53A8">
        <w:rPr>
          <w:lang w:val="sr-Latn-BA"/>
        </w:rPr>
        <w:t xml:space="preserve"> </w:t>
      </w:r>
      <w:r w:rsidRPr="001B53A8">
        <w:rPr>
          <w:lang w:val="sr-Latn-BA"/>
        </w:rPr>
        <w:t>investicionog</w:t>
      </w:r>
      <w:r w:rsidR="00652230" w:rsidRPr="001B53A8">
        <w:rPr>
          <w:lang w:val="sr-Latn-BA"/>
        </w:rPr>
        <w:t xml:space="preserve"> </w:t>
      </w:r>
      <w:r w:rsidRPr="001B53A8">
        <w:rPr>
          <w:lang w:val="sr-Latn-BA"/>
        </w:rPr>
        <w:t>fonda</w:t>
      </w:r>
      <w:r w:rsidR="00652230" w:rsidRPr="001B53A8">
        <w:rPr>
          <w:lang w:val="sr-Latn-BA"/>
        </w:rPr>
        <w:t xml:space="preserve"> </w:t>
      </w:r>
      <w:r w:rsidRPr="001B53A8">
        <w:rPr>
          <w:lang w:val="sr-Latn-BA"/>
        </w:rPr>
        <w:t>koji</w:t>
      </w:r>
      <w:r w:rsidR="00652230" w:rsidRPr="001B53A8">
        <w:rPr>
          <w:lang w:val="sr-Latn-BA"/>
        </w:rPr>
        <w:t xml:space="preserve"> </w:t>
      </w:r>
      <w:r w:rsidRPr="001B53A8">
        <w:rPr>
          <w:lang w:val="sr-Latn-BA"/>
        </w:rPr>
        <w:t>nema</w:t>
      </w:r>
      <w:r w:rsidR="00652230" w:rsidRPr="001B53A8">
        <w:rPr>
          <w:lang w:val="sr-Latn-BA"/>
        </w:rPr>
        <w:t xml:space="preserve"> </w:t>
      </w:r>
      <w:r w:rsidRPr="001B53A8">
        <w:rPr>
          <w:lang w:val="sr-Latn-BA"/>
        </w:rPr>
        <w:t>nadzorni</w:t>
      </w:r>
      <w:r w:rsidR="00652230" w:rsidRPr="001B53A8">
        <w:rPr>
          <w:lang w:val="sr-Latn-BA"/>
        </w:rPr>
        <w:t xml:space="preserve"> </w:t>
      </w:r>
      <w:r w:rsidRPr="001B53A8">
        <w:rPr>
          <w:lang w:val="sr-Latn-BA"/>
        </w:rPr>
        <w:t>odbor</w:t>
      </w:r>
      <w:r w:rsidR="00434025" w:rsidRPr="001B53A8">
        <w:rPr>
          <w:lang w:val="sr-Latn-BA"/>
        </w:rPr>
        <w:t>.</w:t>
      </w:r>
    </w:p>
    <w:p w14:paraId="7F44C76C" w14:textId="09A52DAA" w:rsidR="00434025" w:rsidRPr="001B53A8" w:rsidRDefault="00003F34" w:rsidP="006B6E0C">
      <w:pPr>
        <w:pStyle w:val="ListParagraph"/>
        <w:numPr>
          <w:ilvl w:val="0"/>
          <w:numId w:val="7"/>
        </w:numPr>
        <w:tabs>
          <w:tab w:val="left" w:pos="851"/>
        </w:tabs>
        <w:spacing w:after="0" w:line="240" w:lineRule="auto"/>
        <w:ind w:left="0" w:firstLine="567"/>
        <w:contextualSpacing w:val="0"/>
        <w:rPr>
          <w:lang w:val="sr-Latn-BA"/>
        </w:rPr>
      </w:pPr>
      <w:r w:rsidRPr="001B53A8">
        <w:rPr>
          <w:b/>
          <w:lang w:val="sr-Latn-BA"/>
        </w:rPr>
        <w:t>Dozvole</w:t>
      </w:r>
      <w:r w:rsidR="00397706" w:rsidRPr="001B53A8">
        <w:rPr>
          <w:b/>
          <w:lang w:val="sr-Latn-BA"/>
        </w:rPr>
        <w:t xml:space="preserve"> </w:t>
      </w:r>
      <w:r w:rsidRPr="001B53A8">
        <w:rPr>
          <w:b/>
          <w:lang w:val="sr-Latn-BA"/>
        </w:rPr>
        <w:t>društvima</w:t>
      </w:r>
      <w:r w:rsidR="00397706" w:rsidRPr="001B53A8">
        <w:rPr>
          <w:b/>
          <w:lang w:val="sr-Latn-BA"/>
        </w:rPr>
        <w:t xml:space="preserve"> </w:t>
      </w:r>
      <w:r w:rsidRPr="001B53A8">
        <w:rPr>
          <w:b/>
          <w:lang w:val="sr-Latn-BA"/>
        </w:rPr>
        <w:t>za</w:t>
      </w:r>
      <w:r w:rsidR="00397706" w:rsidRPr="001B53A8">
        <w:rPr>
          <w:b/>
          <w:lang w:val="sr-Latn-BA"/>
        </w:rPr>
        <w:t xml:space="preserve"> </w:t>
      </w:r>
      <w:r w:rsidRPr="001B53A8">
        <w:rPr>
          <w:b/>
          <w:lang w:val="sr-Latn-BA"/>
        </w:rPr>
        <w:t>upravlјanje</w:t>
      </w:r>
      <w:r w:rsidR="00397706" w:rsidRPr="001B53A8">
        <w:rPr>
          <w:b/>
          <w:lang w:val="sr-Latn-BA"/>
        </w:rPr>
        <w:t xml:space="preserve"> </w:t>
      </w:r>
      <w:r w:rsidRPr="001B53A8">
        <w:rPr>
          <w:b/>
          <w:lang w:val="sr-Latn-BA"/>
        </w:rPr>
        <w:t>investicionim</w:t>
      </w:r>
      <w:r w:rsidR="00397706" w:rsidRPr="001B53A8">
        <w:rPr>
          <w:b/>
          <w:lang w:val="sr-Latn-BA"/>
        </w:rPr>
        <w:t xml:space="preserve"> </w:t>
      </w:r>
      <w:r w:rsidRPr="001B53A8">
        <w:rPr>
          <w:b/>
          <w:lang w:val="sr-Latn-BA"/>
        </w:rPr>
        <w:t>fondovima</w:t>
      </w:r>
      <w:r w:rsidR="00397706" w:rsidRPr="001B53A8">
        <w:rPr>
          <w:b/>
          <w:lang w:val="sr-Latn-BA"/>
        </w:rPr>
        <w:t xml:space="preserve"> </w:t>
      </w:r>
      <w:r w:rsidRPr="001B53A8">
        <w:rPr>
          <w:b/>
          <w:lang w:val="sr-Latn-BA"/>
        </w:rPr>
        <w:t>za</w:t>
      </w:r>
      <w:r w:rsidR="00397706" w:rsidRPr="001B53A8">
        <w:rPr>
          <w:b/>
          <w:lang w:val="sr-Latn-BA"/>
        </w:rPr>
        <w:t xml:space="preserve"> </w:t>
      </w:r>
      <w:r w:rsidRPr="001B53A8">
        <w:rPr>
          <w:b/>
          <w:lang w:val="sr-Latn-BA"/>
        </w:rPr>
        <w:t>zaklјučenje</w:t>
      </w:r>
      <w:r w:rsidR="00397706" w:rsidRPr="001B53A8">
        <w:rPr>
          <w:b/>
          <w:lang w:val="sr-Latn-BA"/>
        </w:rPr>
        <w:t xml:space="preserve"> </w:t>
      </w:r>
      <w:r w:rsidRPr="001B53A8">
        <w:rPr>
          <w:b/>
          <w:lang w:val="sr-Latn-BA"/>
        </w:rPr>
        <w:t>ugovora</w:t>
      </w:r>
      <w:r w:rsidR="00397706" w:rsidRPr="001B53A8">
        <w:rPr>
          <w:b/>
          <w:lang w:val="sr-Latn-BA"/>
        </w:rPr>
        <w:t xml:space="preserve"> </w:t>
      </w:r>
      <w:r w:rsidRPr="001B53A8">
        <w:rPr>
          <w:b/>
          <w:lang w:val="sr-Latn-BA"/>
        </w:rPr>
        <w:t>o</w:t>
      </w:r>
      <w:r w:rsidR="00397706" w:rsidRPr="001B53A8">
        <w:rPr>
          <w:b/>
          <w:lang w:val="sr-Latn-BA"/>
        </w:rPr>
        <w:t xml:space="preserve"> </w:t>
      </w:r>
      <w:r w:rsidRPr="001B53A8">
        <w:rPr>
          <w:b/>
          <w:lang w:val="sr-Latn-BA"/>
        </w:rPr>
        <w:t>obavlјanju</w:t>
      </w:r>
      <w:r w:rsidR="00397706" w:rsidRPr="001B53A8">
        <w:rPr>
          <w:b/>
          <w:lang w:val="sr-Latn-BA"/>
        </w:rPr>
        <w:t xml:space="preserve"> </w:t>
      </w:r>
      <w:r w:rsidRPr="001B53A8">
        <w:rPr>
          <w:b/>
          <w:lang w:val="sr-Latn-BA"/>
        </w:rPr>
        <w:t>depozitarnih</w:t>
      </w:r>
      <w:r w:rsidR="00397706" w:rsidRPr="001B53A8">
        <w:rPr>
          <w:b/>
          <w:lang w:val="sr-Latn-BA"/>
        </w:rPr>
        <w:t xml:space="preserve"> </w:t>
      </w:r>
      <w:r w:rsidRPr="001B53A8">
        <w:rPr>
          <w:b/>
          <w:lang w:val="sr-Latn-BA"/>
        </w:rPr>
        <w:t>poslova</w:t>
      </w:r>
      <w:r w:rsidR="00397706" w:rsidRPr="001B53A8">
        <w:rPr>
          <w:b/>
          <w:lang w:val="sr-Latn-BA"/>
        </w:rPr>
        <w:t xml:space="preserve">, </w:t>
      </w:r>
      <w:r w:rsidRPr="001B53A8">
        <w:rPr>
          <w:lang w:val="sr-Latn-BA"/>
        </w:rPr>
        <w:t>Komisija</w:t>
      </w:r>
      <w:r w:rsidR="00397706" w:rsidRPr="001B53A8">
        <w:rPr>
          <w:lang w:val="sr-Latn-BA"/>
        </w:rPr>
        <w:t xml:space="preserve"> </w:t>
      </w:r>
      <w:r w:rsidRPr="001B53A8">
        <w:rPr>
          <w:lang w:val="sr-Latn-BA"/>
        </w:rPr>
        <w:t>izdaje</w:t>
      </w:r>
      <w:r w:rsidR="00397706" w:rsidRPr="001B53A8">
        <w:rPr>
          <w:lang w:val="sr-Latn-BA"/>
        </w:rPr>
        <w:t xml:space="preserve"> </w:t>
      </w:r>
      <w:r w:rsidRPr="001B53A8">
        <w:rPr>
          <w:lang w:val="sr-Latn-BA"/>
        </w:rPr>
        <w:t>prema</w:t>
      </w:r>
      <w:r w:rsidR="00397706" w:rsidRPr="001B53A8">
        <w:rPr>
          <w:lang w:val="sr-Latn-BA"/>
        </w:rPr>
        <w:t xml:space="preserve"> </w:t>
      </w:r>
      <w:r w:rsidRPr="001B53A8">
        <w:rPr>
          <w:lang w:val="sr-Latn-BA"/>
        </w:rPr>
        <w:t>odredbama</w:t>
      </w:r>
      <w:r w:rsidR="00397706" w:rsidRPr="001B53A8">
        <w:rPr>
          <w:lang w:val="sr-Latn-BA"/>
        </w:rPr>
        <w:t xml:space="preserve"> </w:t>
      </w:r>
      <w:r w:rsidRPr="001B53A8">
        <w:rPr>
          <w:lang w:val="sr-Latn-BA"/>
        </w:rPr>
        <w:t>člana</w:t>
      </w:r>
      <w:r w:rsidR="00397706" w:rsidRPr="001B53A8">
        <w:rPr>
          <w:lang w:val="sr-Latn-BA"/>
        </w:rPr>
        <w:t xml:space="preserve"> 50. </w:t>
      </w:r>
      <w:r w:rsidRPr="001B53A8">
        <w:rPr>
          <w:lang w:val="sr-Latn-BA"/>
        </w:rPr>
        <w:t>Zakona</w:t>
      </w:r>
      <w:r w:rsidR="00397706" w:rsidRPr="001B53A8">
        <w:rPr>
          <w:lang w:val="sr-Latn-BA"/>
        </w:rPr>
        <w:t xml:space="preserve"> </w:t>
      </w:r>
      <w:r w:rsidRPr="001B53A8">
        <w:rPr>
          <w:lang w:val="sr-Latn-BA"/>
        </w:rPr>
        <w:t>o</w:t>
      </w:r>
      <w:r w:rsidR="00397706" w:rsidRPr="001B53A8">
        <w:rPr>
          <w:lang w:val="sr-Latn-BA"/>
        </w:rPr>
        <w:t xml:space="preserve"> </w:t>
      </w:r>
      <w:r w:rsidRPr="001B53A8">
        <w:rPr>
          <w:lang w:val="sr-Latn-BA"/>
        </w:rPr>
        <w:t>investicionim</w:t>
      </w:r>
      <w:r w:rsidR="00397706" w:rsidRPr="001B53A8">
        <w:rPr>
          <w:lang w:val="sr-Latn-BA"/>
        </w:rPr>
        <w:t xml:space="preserve"> </w:t>
      </w:r>
      <w:r w:rsidRPr="001B53A8">
        <w:rPr>
          <w:lang w:val="sr-Latn-BA"/>
        </w:rPr>
        <w:t>fondovima</w:t>
      </w:r>
      <w:r w:rsidR="00397706" w:rsidRPr="001B53A8">
        <w:rPr>
          <w:lang w:val="sr-Latn-BA"/>
        </w:rPr>
        <w:t xml:space="preserve">, </w:t>
      </w:r>
      <w:r w:rsidRPr="001B53A8">
        <w:rPr>
          <w:lang w:val="sr-Latn-BA"/>
        </w:rPr>
        <w:t>dok</w:t>
      </w:r>
      <w:r w:rsidR="00397706" w:rsidRPr="001B53A8">
        <w:rPr>
          <w:lang w:val="sr-Latn-BA"/>
        </w:rPr>
        <w:t xml:space="preserve"> </w:t>
      </w:r>
      <w:r w:rsidRPr="001B53A8">
        <w:rPr>
          <w:lang w:val="sr-Latn-BA"/>
        </w:rPr>
        <w:t>se</w:t>
      </w:r>
      <w:r w:rsidR="00397706" w:rsidRPr="001B53A8">
        <w:rPr>
          <w:lang w:val="sr-Latn-BA"/>
        </w:rPr>
        <w:t xml:space="preserve"> </w:t>
      </w:r>
      <w:r w:rsidRPr="001B53A8">
        <w:rPr>
          <w:b/>
          <w:lang w:val="sr-Latn-BA"/>
        </w:rPr>
        <w:t>dozvola</w:t>
      </w:r>
      <w:r w:rsidR="00397706" w:rsidRPr="001B53A8">
        <w:rPr>
          <w:lang w:val="sr-Latn-BA"/>
        </w:rPr>
        <w:t xml:space="preserve"> </w:t>
      </w:r>
      <w:r w:rsidRPr="001B53A8">
        <w:rPr>
          <w:b/>
          <w:lang w:val="sr-Latn-BA"/>
        </w:rPr>
        <w:t>za</w:t>
      </w:r>
      <w:r w:rsidR="00397706" w:rsidRPr="001B53A8">
        <w:rPr>
          <w:b/>
          <w:lang w:val="sr-Latn-BA"/>
        </w:rPr>
        <w:t xml:space="preserve"> </w:t>
      </w:r>
      <w:r w:rsidRPr="001B53A8">
        <w:rPr>
          <w:b/>
          <w:lang w:val="sr-Latn-BA"/>
        </w:rPr>
        <w:t>promjenu</w:t>
      </w:r>
      <w:r w:rsidR="00397706" w:rsidRPr="001B53A8">
        <w:rPr>
          <w:b/>
          <w:lang w:val="sr-Latn-BA"/>
        </w:rPr>
        <w:t xml:space="preserve"> </w:t>
      </w:r>
      <w:r w:rsidRPr="001B53A8">
        <w:rPr>
          <w:b/>
          <w:lang w:val="sr-Latn-BA"/>
        </w:rPr>
        <w:t>banke</w:t>
      </w:r>
      <w:r w:rsidR="00397706" w:rsidRPr="001B53A8">
        <w:rPr>
          <w:b/>
          <w:lang w:val="sr-Latn-BA"/>
        </w:rPr>
        <w:t xml:space="preserve"> </w:t>
      </w:r>
      <w:r w:rsidRPr="001B53A8">
        <w:rPr>
          <w:b/>
          <w:lang w:val="sr-Latn-BA"/>
        </w:rPr>
        <w:t>depozitara</w:t>
      </w:r>
      <w:r w:rsidR="00397706" w:rsidRPr="001B53A8">
        <w:rPr>
          <w:lang w:val="sr-Latn-BA"/>
        </w:rPr>
        <w:t xml:space="preserve"> </w:t>
      </w:r>
      <w:r w:rsidRPr="001B53A8">
        <w:rPr>
          <w:lang w:val="sr-Latn-BA"/>
        </w:rPr>
        <w:t>izdaje</w:t>
      </w:r>
      <w:r w:rsidR="00397706" w:rsidRPr="001B53A8">
        <w:rPr>
          <w:lang w:val="sr-Latn-BA"/>
        </w:rPr>
        <w:t xml:space="preserve"> </w:t>
      </w:r>
      <w:r w:rsidRPr="001B53A8">
        <w:rPr>
          <w:lang w:val="sr-Latn-BA"/>
        </w:rPr>
        <w:t>prema</w:t>
      </w:r>
      <w:r w:rsidR="00397706" w:rsidRPr="001B53A8">
        <w:rPr>
          <w:lang w:val="sr-Latn-BA"/>
        </w:rPr>
        <w:t xml:space="preserve"> </w:t>
      </w:r>
      <w:r w:rsidRPr="001B53A8">
        <w:rPr>
          <w:lang w:val="sr-Latn-BA"/>
        </w:rPr>
        <w:t>odredbama</w:t>
      </w:r>
      <w:r w:rsidR="00397706" w:rsidRPr="001B53A8">
        <w:rPr>
          <w:lang w:val="sr-Latn-BA"/>
        </w:rPr>
        <w:t xml:space="preserve"> </w:t>
      </w:r>
      <w:r w:rsidRPr="001B53A8">
        <w:rPr>
          <w:lang w:val="sr-Latn-BA"/>
        </w:rPr>
        <w:t>člana</w:t>
      </w:r>
      <w:r w:rsidR="00397706" w:rsidRPr="001B53A8">
        <w:rPr>
          <w:lang w:val="sr-Latn-BA"/>
        </w:rPr>
        <w:t xml:space="preserve"> 56. </w:t>
      </w:r>
      <w:r w:rsidRPr="001B53A8">
        <w:rPr>
          <w:lang w:val="sr-Latn-BA"/>
        </w:rPr>
        <w:t>Zakona</w:t>
      </w:r>
      <w:r w:rsidR="00397706" w:rsidRPr="001B53A8">
        <w:rPr>
          <w:lang w:val="sr-Latn-BA"/>
        </w:rPr>
        <w:t xml:space="preserve"> </w:t>
      </w:r>
      <w:r w:rsidRPr="001B53A8">
        <w:rPr>
          <w:lang w:val="sr-Latn-BA"/>
        </w:rPr>
        <w:t>o</w:t>
      </w:r>
      <w:r w:rsidR="00397706" w:rsidRPr="001B53A8">
        <w:rPr>
          <w:lang w:val="sr-Latn-BA"/>
        </w:rPr>
        <w:t xml:space="preserve"> </w:t>
      </w:r>
      <w:r w:rsidRPr="001B53A8">
        <w:rPr>
          <w:lang w:val="sr-Latn-BA"/>
        </w:rPr>
        <w:t>investicionim</w:t>
      </w:r>
      <w:r w:rsidR="00397706" w:rsidRPr="001B53A8">
        <w:rPr>
          <w:lang w:val="sr-Latn-BA"/>
        </w:rPr>
        <w:t xml:space="preserve"> </w:t>
      </w:r>
      <w:r w:rsidRPr="001B53A8">
        <w:rPr>
          <w:lang w:val="sr-Latn-BA"/>
        </w:rPr>
        <w:t>fondovima</w:t>
      </w:r>
      <w:r w:rsidR="00434025" w:rsidRPr="001B53A8">
        <w:rPr>
          <w:lang w:val="sr-Latn-BA"/>
        </w:rPr>
        <w:t>.</w:t>
      </w:r>
    </w:p>
    <w:p w14:paraId="0CA3684F" w14:textId="5D57CFD9" w:rsidR="00434025" w:rsidRPr="001B53A8" w:rsidRDefault="00003F34" w:rsidP="006B6E0C">
      <w:pPr>
        <w:spacing w:after="0" w:line="240" w:lineRule="auto"/>
        <w:ind w:firstLine="567"/>
        <w:rPr>
          <w:lang w:val="sr-Latn-BA"/>
        </w:rPr>
      </w:pPr>
      <w:r w:rsidRPr="001B53A8">
        <w:rPr>
          <w:lang w:val="sr-Latn-BA"/>
        </w:rPr>
        <w:t>U</w:t>
      </w:r>
      <w:r w:rsidR="00652230" w:rsidRPr="001B53A8">
        <w:rPr>
          <w:lang w:val="sr-Latn-BA"/>
        </w:rPr>
        <w:t xml:space="preserve"> 2023. </w:t>
      </w:r>
      <w:r w:rsidRPr="001B53A8">
        <w:rPr>
          <w:lang w:val="sr-Latn-BA"/>
        </w:rPr>
        <w:t>godini</w:t>
      </w:r>
      <w:r w:rsidR="00652230" w:rsidRPr="001B53A8">
        <w:rPr>
          <w:lang w:val="sr-Latn-BA"/>
        </w:rPr>
        <w:t xml:space="preserve"> </w:t>
      </w:r>
      <w:r w:rsidRPr="001B53A8">
        <w:rPr>
          <w:lang w:val="sr-Latn-BA"/>
        </w:rPr>
        <w:t>ovakvih</w:t>
      </w:r>
      <w:r w:rsidR="00652230" w:rsidRPr="001B53A8">
        <w:rPr>
          <w:lang w:val="sr-Latn-BA"/>
        </w:rPr>
        <w:t xml:space="preserve"> </w:t>
      </w:r>
      <w:r w:rsidRPr="001B53A8">
        <w:rPr>
          <w:lang w:val="sr-Latn-BA"/>
        </w:rPr>
        <w:t>postupaka</w:t>
      </w:r>
      <w:r w:rsidR="00652230" w:rsidRPr="001B53A8">
        <w:rPr>
          <w:lang w:val="sr-Latn-BA"/>
        </w:rPr>
        <w:t xml:space="preserve"> </w:t>
      </w:r>
      <w:r w:rsidRPr="001B53A8">
        <w:rPr>
          <w:lang w:val="sr-Latn-BA"/>
        </w:rPr>
        <w:t>nije</w:t>
      </w:r>
      <w:r w:rsidR="00652230" w:rsidRPr="001B53A8">
        <w:rPr>
          <w:lang w:val="sr-Latn-BA"/>
        </w:rPr>
        <w:t xml:space="preserve"> </w:t>
      </w:r>
      <w:r w:rsidRPr="001B53A8">
        <w:rPr>
          <w:lang w:val="sr-Latn-BA"/>
        </w:rPr>
        <w:t>bilo</w:t>
      </w:r>
      <w:r w:rsidR="00434025" w:rsidRPr="001B53A8">
        <w:rPr>
          <w:lang w:val="sr-Latn-BA"/>
        </w:rPr>
        <w:t>.</w:t>
      </w:r>
    </w:p>
    <w:p w14:paraId="73E54BBA" w14:textId="2B821177" w:rsidR="00434025" w:rsidRPr="001B53A8" w:rsidRDefault="00003F34" w:rsidP="006B6E0C">
      <w:pPr>
        <w:pStyle w:val="ListParagraph"/>
        <w:numPr>
          <w:ilvl w:val="0"/>
          <w:numId w:val="7"/>
        </w:numPr>
        <w:tabs>
          <w:tab w:val="left" w:pos="851"/>
        </w:tabs>
        <w:spacing w:after="0" w:line="240" w:lineRule="auto"/>
        <w:ind w:left="0" w:firstLine="567"/>
        <w:contextualSpacing w:val="0"/>
        <w:rPr>
          <w:lang w:val="sr-Latn-BA"/>
        </w:rPr>
      </w:pPr>
      <w:r w:rsidRPr="001B53A8">
        <w:rPr>
          <w:b/>
          <w:lang w:val="sr-Latn-BA"/>
        </w:rPr>
        <w:t>Odobrenja</w:t>
      </w:r>
      <w:r w:rsidR="00434025" w:rsidRPr="001B53A8">
        <w:rPr>
          <w:b/>
          <w:lang w:val="sr-Latn-BA"/>
        </w:rPr>
        <w:t xml:space="preserve"> </w:t>
      </w:r>
      <w:r w:rsidRPr="001B53A8">
        <w:rPr>
          <w:b/>
          <w:lang w:val="sr-Latn-BA"/>
        </w:rPr>
        <w:t>promotivnih</w:t>
      </w:r>
      <w:r w:rsidR="00434025" w:rsidRPr="001B53A8">
        <w:rPr>
          <w:b/>
          <w:lang w:val="sr-Latn-BA"/>
        </w:rPr>
        <w:t xml:space="preserve"> </w:t>
      </w:r>
      <w:r w:rsidRPr="001B53A8">
        <w:rPr>
          <w:b/>
          <w:lang w:val="sr-Latn-BA"/>
        </w:rPr>
        <w:t>informacija</w:t>
      </w:r>
      <w:r w:rsidR="00434025" w:rsidRPr="001B53A8">
        <w:rPr>
          <w:b/>
          <w:lang w:val="sr-Latn-BA"/>
        </w:rPr>
        <w:t xml:space="preserve"> </w:t>
      </w:r>
      <w:r w:rsidRPr="001B53A8">
        <w:rPr>
          <w:b/>
          <w:lang w:val="sr-Latn-BA"/>
        </w:rPr>
        <w:t>o</w:t>
      </w:r>
      <w:r w:rsidR="00434025" w:rsidRPr="001B53A8">
        <w:rPr>
          <w:b/>
          <w:lang w:val="sr-Latn-BA"/>
        </w:rPr>
        <w:t xml:space="preserve"> </w:t>
      </w:r>
      <w:r w:rsidRPr="001B53A8">
        <w:rPr>
          <w:b/>
          <w:lang w:val="sr-Latn-BA"/>
        </w:rPr>
        <w:t>investicionim</w:t>
      </w:r>
      <w:r w:rsidR="00434025" w:rsidRPr="001B53A8">
        <w:rPr>
          <w:b/>
          <w:lang w:val="sr-Latn-BA"/>
        </w:rPr>
        <w:t xml:space="preserve"> </w:t>
      </w:r>
      <w:r w:rsidRPr="001B53A8">
        <w:rPr>
          <w:b/>
          <w:lang w:val="sr-Latn-BA"/>
        </w:rPr>
        <w:t>fondovima</w:t>
      </w:r>
      <w:r w:rsidR="00434025" w:rsidRPr="001B53A8">
        <w:rPr>
          <w:b/>
          <w:lang w:val="sr-Latn-BA"/>
        </w:rPr>
        <w:t xml:space="preserve"> </w:t>
      </w:r>
      <w:r w:rsidRPr="001B53A8">
        <w:rPr>
          <w:b/>
          <w:lang w:val="sr-Latn-BA"/>
        </w:rPr>
        <w:t>i</w:t>
      </w:r>
      <w:r w:rsidR="00434025" w:rsidRPr="001B53A8">
        <w:rPr>
          <w:b/>
          <w:lang w:val="sr-Latn-BA"/>
        </w:rPr>
        <w:t xml:space="preserve"> </w:t>
      </w:r>
      <w:r w:rsidRPr="001B53A8">
        <w:rPr>
          <w:b/>
          <w:lang w:val="sr-Latn-BA"/>
        </w:rPr>
        <w:t>društvima</w:t>
      </w:r>
      <w:r w:rsidR="00434025" w:rsidRPr="001B53A8">
        <w:rPr>
          <w:b/>
          <w:lang w:val="sr-Latn-BA"/>
        </w:rPr>
        <w:t xml:space="preserve"> </w:t>
      </w:r>
      <w:r w:rsidRPr="001B53A8">
        <w:rPr>
          <w:b/>
          <w:lang w:val="sr-Latn-BA"/>
        </w:rPr>
        <w:t>koja</w:t>
      </w:r>
      <w:r w:rsidR="00434025" w:rsidRPr="001B53A8">
        <w:rPr>
          <w:b/>
          <w:lang w:val="sr-Latn-BA"/>
        </w:rPr>
        <w:t xml:space="preserve"> </w:t>
      </w:r>
      <w:r w:rsidRPr="001B53A8">
        <w:rPr>
          <w:b/>
          <w:lang w:val="sr-Latn-BA"/>
        </w:rPr>
        <w:t>njima</w:t>
      </w:r>
      <w:r w:rsidR="00434025" w:rsidRPr="001B53A8">
        <w:rPr>
          <w:b/>
          <w:lang w:val="sr-Latn-BA"/>
        </w:rPr>
        <w:t xml:space="preserve"> </w:t>
      </w:r>
      <w:r w:rsidRPr="001B53A8">
        <w:rPr>
          <w:b/>
          <w:lang w:val="sr-Latn-BA"/>
        </w:rPr>
        <w:t>upravlјaju</w:t>
      </w:r>
      <w:r w:rsidR="00434025" w:rsidRPr="001B53A8">
        <w:rPr>
          <w:lang w:val="sr-Latn-BA"/>
        </w:rPr>
        <w:t xml:space="preserve">, </w:t>
      </w:r>
      <w:r w:rsidRPr="001B53A8">
        <w:rPr>
          <w:lang w:val="sr-Latn-BA"/>
        </w:rPr>
        <w:t>Komisija</w:t>
      </w:r>
      <w:r w:rsidR="00434025" w:rsidRPr="001B53A8">
        <w:rPr>
          <w:lang w:val="sr-Latn-BA"/>
        </w:rPr>
        <w:t xml:space="preserve"> </w:t>
      </w:r>
      <w:r w:rsidRPr="001B53A8">
        <w:rPr>
          <w:lang w:val="sr-Latn-BA"/>
        </w:rPr>
        <w:t>za</w:t>
      </w:r>
      <w:r w:rsidR="00434025" w:rsidRPr="001B53A8">
        <w:rPr>
          <w:lang w:val="sr-Latn-BA"/>
        </w:rPr>
        <w:t xml:space="preserve"> </w:t>
      </w:r>
      <w:r w:rsidRPr="001B53A8">
        <w:rPr>
          <w:lang w:val="sr-Latn-BA"/>
        </w:rPr>
        <w:t>hartije</w:t>
      </w:r>
      <w:r w:rsidR="00434025" w:rsidRPr="001B53A8">
        <w:rPr>
          <w:lang w:val="sr-Latn-BA"/>
        </w:rPr>
        <w:t xml:space="preserve"> </w:t>
      </w:r>
      <w:r w:rsidRPr="001B53A8">
        <w:rPr>
          <w:lang w:val="sr-Latn-BA"/>
        </w:rPr>
        <w:t>od</w:t>
      </w:r>
      <w:r w:rsidR="00434025" w:rsidRPr="001B53A8">
        <w:rPr>
          <w:lang w:val="sr-Latn-BA"/>
        </w:rPr>
        <w:t xml:space="preserve"> </w:t>
      </w:r>
      <w:r w:rsidRPr="001B53A8">
        <w:rPr>
          <w:lang w:val="sr-Latn-BA"/>
        </w:rPr>
        <w:t>vrijednosti</w:t>
      </w:r>
      <w:r w:rsidR="00434025" w:rsidRPr="001B53A8">
        <w:rPr>
          <w:lang w:val="sr-Latn-BA"/>
        </w:rPr>
        <w:t xml:space="preserve"> </w:t>
      </w:r>
      <w:r w:rsidRPr="001B53A8">
        <w:rPr>
          <w:lang w:val="sr-Latn-BA"/>
        </w:rPr>
        <w:t>izdaje</w:t>
      </w:r>
      <w:r w:rsidR="00434025" w:rsidRPr="001B53A8">
        <w:rPr>
          <w:lang w:val="sr-Latn-BA"/>
        </w:rPr>
        <w:t xml:space="preserve"> </w:t>
      </w:r>
      <w:r w:rsidRPr="001B53A8">
        <w:rPr>
          <w:lang w:val="sr-Latn-BA"/>
        </w:rPr>
        <w:t>na</w:t>
      </w:r>
      <w:r w:rsidR="00434025" w:rsidRPr="001B53A8">
        <w:rPr>
          <w:lang w:val="sr-Latn-BA"/>
        </w:rPr>
        <w:t xml:space="preserve"> </w:t>
      </w:r>
      <w:r w:rsidRPr="001B53A8">
        <w:rPr>
          <w:lang w:val="sr-Latn-BA"/>
        </w:rPr>
        <w:t>osnovu</w:t>
      </w:r>
      <w:r w:rsidR="00434025" w:rsidRPr="001B53A8">
        <w:rPr>
          <w:lang w:val="sr-Latn-BA"/>
        </w:rPr>
        <w:t xml:space="preserve"> </w:t>
      </w:r>
      <w:r w:rsidRPr="001B53A8">
        <w:rPr>
          <w:lang w:val="sr-Latn-BA"/>
        </w:rPr>
        <w:t>ovlašćenja</w:t>
      </w:r>
      <w:r w:rsidR="00434025" w:rsidRPr="001B53A8">
        <w:rPr>
          <w:lang w:val="sr-Latn-BA"/>
        </w:rPr>
        <w:t xml:space="preserve"> </w:t>
      </w:r>
      <w:r w:rsidRPr="001B53A8">
        <w:rPr>
          <w:lang w:val="sr-Latn-BA"/>
        </w:rPr>
        <w:t>iz</w:t>
      </w:r>
      <w:r w:rsidR="00434025" w:rsidRPr="001B53A8">
        <w:rPr>
          <w:lang w:val="sr-Latn-BA"/>
        </w:rPr>
        <w:t xml:space="preserve"> </w:t>
      </w:r>
      <w:r w:rsidRPr="001B53A8">
        <w:rPr>
          <w:lang w:val="sr-Latn-BA"/>
        </w:rPr>
        <w:t>člana</w:t>
      </w:r>
      <w:r w:rsidR="00434025" w:rsidRPr="001B53A8">
        <w:rPr>
          <w:lang w:val="sr-Latn-BA"/>
        </w:rPr>
        <w:t xml:space="preserve"> 115. </w:t>
      </w:r>
      <w:r w:rsidRPr="001B53A8">
        <w:rPr>
          <w:lang w:val="sr-Latn-BA"/>
        </w:rPr>
        <w:t>Zakona</w:t>
      </w:r>
      <w:r w:rsidR="00434025" w:rsidRPr="001B53A8">
        <w:rPr>
          <w:lang w:val="sr-Latn-BA"/>
        </w:rPr>
        <w:t xml:space="preserve"> </w:t>
      </w:r>
      <w:r w:rsidRPr="001B53A8">
        <w:rPr>
          <w:lang w:val="sr-Latn-BA"/>
        </w:rPr>
        <w:t>o</w:t>
      </w:r>
      <w:r w:rsidR="00434025" w:rsidRPr="001B53A8">
        <w:rPr>
          <w:lang w:val="sr-Latn-BA"/>
        </w:rPr>
        <w:t xml:space="preserve"> </w:t>
      </w:r>
      <w:r w:rsidRPr="001B53A8">
        <w:rPr>
          <w:lang w:val="sr-Latn-BA"/>
        </w:rPr>
        <w:t>investicionim</w:t>
      </w:r>
      <w:r w:rsidR="00434025" w:rsidRPr="001B53A8">
        <w:rPr>
          <w:lang w:val="sr-Latn-BA"/>
        </w:rPr>
        <w:t xml:space="preserve"> </w:t>
      </w:r>
      <w:r w:rsidRPr="001B53A8">
        <w:rPr>
          <w:lang w:val="sr-Latn-BA"/>
        </w:rPr>
        <w:t>fondovima</w:t>
      </w:r>
      <w:r w:rsidR="00434025" w:rsidRPr="001B53A8">
        <w:rPr>
          <w:lang w:val="sr-Latn-BA"/>
        </w:rPr>
        <w:t xml:space="preserve">. </w:t>
      </w:r>
    </w:p>
    <w:p w14:paraId="3E972524" w14:textId="49CCBBF6" w:rsidR="00434025" w:rsidRPr="001B53A8" w:rsidRDefault="00003F34" w:rsidP="006B6E0C">
      <w:pPr>
        <w:spacing w:after="0" w:line="240" w:lineRule="auto"/>
        <w:ind w:firstLine="567"/>
        <w:rPr>
          <w:lang w:val="sr-Latn-BA"/>
        </w:rPr>
      </w:pPr>
      <w:r w:rsidRPr="001B53A8">
        <w:rPr>
          <w:lang w:val="sr-Latn-BA"/>
        </w:rPr>
        <w:t>U</w:t>
      </w:r>
      <w:r w:rsidR="00652230" w:rsidRPr="001B53A8">
        <w:rPr>
          <w:lang w:val="sr-Latn-BA"/>
        </w:rPr>
        <w:t xml:space="preserve"> 2023. </w:t>
      </w:r>
      <w:r w:rsidRPr="001B53A8">
        <w:rPr>
          <w:lang w:val="sr-Latn-BA"/>
        </w:rPr>
        <w:t>godini</w:t>
      </w:r>
      <w:r w:rsidR="00652230" w:rsidRPr="001B53A8">
        <w:rPr>
          <w:lang w:val="sr-Latn-BA"/>
        </w:rPr>
        <w:t xml:space="preserve"> </w:t>
      </w:r>
      <w:r w:rsidRPr="001B53A8">
        <w:rPr>
          <w:lang w:val="sr-Latn-BA"/>
        </w:rPr>
        <w:t>Komisija</w:t>
      </w:r>
      <w:r w:rsidR="00652230" w:rsidRPr="001B53A8">
        <w:rPr>
          <w:lang w:val="sr-Latn-BA"/>
        </w:rPr>
        <w:t xml:space="preserve"> </w:t>
      </w:r>
      <w:r w:rsidRPr="001B53A8">
        <w:rPr>
          <w:lang w:val="sr-Latn-BA"/>
        </w:rPr>
        <w:t>je</w:t>
      </w:r>
      <w:r w:rsidR="00652230" w:rsidRPr="001B53A8">
        <w:rPr>
          <w:lang w:val="sr-Latn-BA"/>
        </w:rPr>
        <w:t xml:space="preserve"> </w:t>
      </w:r>
      <w:r w:rsidRPr="001B53A8">
        <w:rPr>
          <w:lang w:val="sr-Latn-BA"/>
        </w:rPr>
        <w:t>dala</w:t>
      </w:r>
      <w:r w:rsidR="00652230" w:rsidRPr="001B53A8">
        <w:rPr>
          <w:lang w:val="sr-Latn-BA"/>
        </w:rPr>
        <w:t xml:space="preserve"> </w:t>
      </w:r>
      <w:r w:rsidRPr="001B53A8">
        <w:rPr>
          <w:lang w:val="sr-Latn-BA"/>
        </w:rPr>
        <w:t>saglasnost</w:t>
      </w:r>
      <w:r w:rsidR="00652230" w:rsidRPr="001B53A8">
        <w:rPr>
          <w:lang w:val="sr-Latn-BA"/>
        </w:rPr>
        <w:t xml:space="preserve"> </w:t>
      </w:r>
      <w:r w:rsidRPr="001B53A8">
        <w:rPr>
          <w:lang w:val="sr-Latn-BA"/>
        </w:rPr>
        <w:t>na</w:t>
      </w:r>
      <w:r w:rsidR="00652230" w:rsidRPr="001B53A8">
        <w:rPr>
          <w:lang w:val="sr-Latn-BA"/>
        </w:rPr>
        <w:t xml:space="preserve"> </w:t>
      </w:r>
      <w:r w:rsidRPr="001B53A8">
        <w:rPr>
          <w:lang w:val="sr-Latn-BA"/>
        </w:rPr>
        <w:t>promotivni</w:t>
      </w:r>
      <w:r w:rsidR="00652230" w:rsidRPr="001B53A8">
        <w:rPr>
          <w:lang w:val="sr-Latn-BA"/>
        </w:rPr>
        <w:t xml:space="preserve"> </w:t>
      </w:r>
      <w:r w:rsidRPr="001B53A8">
        <w:rPr>
          <w:lang w:val="sr-Latn-BA"/>
        </w:rPr>
        <w:t>materijal</w:t>
      </w:r>
      <w:r w:rsidR="00652230" w:rsidRPr="001B53A8">
        <w:rPr>
          <w:lang w:val="sr-Latn-BA"/>
        </w:rPr>
        <w:t xml:space="preserve"> </w:t>
      </w:r>
      <w:r w:rsidRPr="001B53A8">
        <w:rPr>
          <w:lang w:val="sr-Latn-BA"/>
        </w:rPr>
        <w:t>OAIF</w:t>
      </w:r>
      <w:r w:rsidR="00652230" w:rsidRPr="001B53A8">
        <w:rPr>
          <w:lang w:val="sr-Latn-BA"/>
        </w:rPr>
        <w:t xml:space="preserve"> „MS Global Equity“</w:t>
      </w:r>
      <w:r w:rsidR="00434025" w:rsidRPr="001B53A8">
        <w:rPr>
          <w:lang w:val="sr-Latn-BA"/>
        </w:rPr>
        <w:t xml:space="preserve">. </w:t>
      </w:r>
    </w:p>
    <w:p w14:paraId="5AA77F56" w14:textId="6AFDDBA9" w:rsidR="0081191D" w:rsidRPr="001B53A8" w:rsidRDefault="00003F34" w:rsidP="0081191D">
      <w:pPr>
        <w:pStyle w:val="ListParagraph"/>
        <w:numPr>
          <w:ilvl w:val="0"/>
          <w:numId w:val="7"/>
        </w:numPr>
        <w:tabs>
          <w:tab w:val="left" w:pos="851"/>
        </w:tabs>
        <w:spacing w:after="0" w:line="240" w:lineRule="auto"/>
        <w:ind w:left="0" w:firstLine="567"/>
        <w:contextualSpacing w:val="0"/>
        <w:rPr>
          <w:lang w:val="sr-Latn-BA"/>
        </w:rPr>
      </w:pPr>
      <w:r w:rsidRPr="001B53A8">
        <w:rPr>
          <w:b/>
          <w:lang w:val="sr-Latn-BA"/>
        </w:rPr>
        <w:t>Dozvolu</w:t>
      </w:r>
      <w:r w:rsidR="0081191D" w:rsidRPr="001B53A8">
        <w:rPr>
          <w:b/>
          <w:lang w:val="sr-Latn-BA"/>
        </w:rPr>
        <w:t xml:space="preserve"> </w:t>
      </w:r>
      <w:r w:rsidRPr="001B53A8">
        <w:rPr>
          <w:b/>
          <w:lang w:val="sr-Latn-BA"/>
        </w:rPr>
        <w:t>za</w:t>
      </w:r>
      <w:r w:rsidR="0081191D" w:rsidRPr="001B53A8">
        <w:rPr>
          <w:b/>
          <w:lang w:val="sr-Latn-BA"/>
        </w:rPr>
        <w:t xml:space="preserve"> </w:t>
      </w:r>
      <w:r w:rsidRPr="001B53A8">
        <w:rPr>
          <w:b/>
          <w:lang w:val="sr-Latn-BA"/>
        </w:rPr>
        <w:t>sticanje</w:t>
      </w:r>
      <w:r w:rsidR="0081191D" w:rsidRPr="001B53A8">
        <w:rPr>
          <w:b/>
          <w:lang w:val="sr-Latn-BA"/>
        </w:rPr>
        <w:t xml:space="preserve"> </w:t>
      </w:r>
      <w:r w:rsidRPr="001B53A8">
        <w:rPr>
          <w:b/>
          <w:lang w:val="sr-Latn-BA"/>
        </w:rPr>
        <w:t>kvalifikovanog</w:t>
      </w:r>
      <w:r w:rsidR="0081191D" w:rsidRPr="001B53A8">
        <w:rPr>
          <w:b/>
          <w:lang w:val="sr-Latn-BA"/>
        </w:rPr>
        <w:t xml:space="preserve"> </w:t>
      </w:r>
      <w:r w:rsidRPr="001B53A8">
        <w:rPr>
          <w:b/>
          <w:lang w:val="sr-Latn-BA"/>
        </w:rPr>
        <w:t>učešća</w:t>
      </w:r>
      <w:r w:rsidR="0081191D" w:rsidRPr="001B53A8">
        <w:rPr>
          <w:b/>
          <w:lang w:val="sr-Latn-BA"/>
        </w:rPr>
        <w:t xml:space="preserve"> </w:t>
      </w:r>
      <w:r w:rsidRPr="001B53A8">
        <w:rPr>
          <w:b/>
          <w:lang w:val="sr-Latn-BA"/>
        </w:rPr>
        <w:t>u</w:t>
      </w:r>
      <w:r w:rsidR="0081191D" w:rsidRPr="001B53A8">
        <w:rPr>
          <w:b/>
          <w:lang w:val="sr-Latn-BA"/>
        </w:rPr>
        <w:t xml:space="preserve"> </w:t>
      </w:r>
      <w:r w:rsidRPr="001B53A8">
        <w:rPr>
          <w:b/>
          <w:lang w:val="sr-Latn-BA"/>
        </w:rPr>
        <w:t>društvu</w:t>
      </w:r>
      <w:r w:rsidR="0081191D" w:rsidRPr="001B53A8">
        <w:rPr>
          <w:b/>
          <w:lang w:val="sr-Latn-BA"/>
        </w:rPr>
        <w:t xml:space="preserve"> </w:t>
      </w:r>
      <w:r w:rsidRPr="001B53A8">
        <w:rPr>
          <w:b/>
          <w:lang w:val="sr-Latn-BA"/>
        </w:rPr>
        <w:t>za</w:t>
      </w:r>
      <w:r w:rsidR="0081191D" w:rsidRPr="001B53A8">
        <w:rPr>
          <w:b/>
          <w:lang w:val="sr-Latn-BA"/>
        </w:rPr>
        <w:t xml:space="preserve"> </w:t>
      </w:r>
      <w:r w:rsidRPr="001B53A8">
        <w:rPr>
          <w:b/>
          <w:lang w:val="sr-Latn-BA"/>
        </w:rPr>
        <w:t>upravlјanje</w:t>
      </w:r>
      <w:r w:rsidR="0081191D" w:rsidRPr="001B53A8">
        <w:rPr>
          <w:lang w:val="sr-Latn-BA"/>
        </w:rPr>
        <w:t xml:space="preserve">, </w:t>
      </w:r>
      <w:r w:rsidRPr="001B53A8">
        <w:rPr>
          <w:lang w:val="sr-Latn-BA"/>
        </w:rPr>
        <w:t>Komisija</w:t>
      </w:r>
      <w:r w:rsidR="0081191D" w:rsidRPr="001B53A8">
        <w:rPr>
          <w:lang w:val="sr-Latn-BA"/>
        </w:rPr>
        <w:t xml:space="preserve"> </w:t>
      </w:r>
      <w:r w:rsidRPr="001B53A8">
        <w:rPr>
          <w:lang w:val="sr-Latn-BA"/>
        </w:rPr>
        <w:t>izdaje</w:t>
      </w:r>
      <w:r w:rsidR="0081191D" w:rsidRPr="001B53A8">
        <w:rPr>
          <w:lang w:val="sr-Latn-BA"/>
        </w:rPr>
        <w:t xml:space="preserve"> </w:t>
      </w:r>
      <w:r w:rsidRPr="001B53A8">
        <w:rPr>
          <w:lang w:val="sr-Latn-BA"/>
        </w:rPr>
        <w:t>na</w:t>
      </w:r>
      <w:r w:rsidR="0081191D" w:rsidRPr="001B53A8">
        <w:rPr>
          <w:lang w:val="sr-Latn-BA"/>
        </w:rPr>
        <w:t xml:space="preserve"> </w:t>
      </w:r>
      <w:r w:rsidRPr="001B53A8">
        <w:rPr>
          <w:lang w:val="sr-Latn-BA"/>
        </w:rPr>
        <w:t>osnovu</w:t>
      </w:r>
      <w:r w:rsidR="0081191D" w:rsidRPr="001B53A8">
        <w:rPr>
          <w:lang w:val="sr-Latn-BA"/>
        </w:rPr>
        <w:t xml:space="preserve"> </w:t>
      </w:r>
      <w:r w:rsidRPr="001B53A8">
        <w:rPr>
          <w:lang w:val="sr-Latn-BA"/>
        </w:rPr>
        <w:t>ovlašćenja</w:t>
      </w:r>
      <w:r w:rsidR="0081191D" w:rsidRPr="001B53A8">
        <w:rPr>
          <w:lang w:val="sr-Latn-BA"/>
        </w:rPr>
        <w:t xml:space="preserve"> </w:t>
      </w:r>
      <w:r w:rsidRPr="001B53A8">
        <w:rPr>
          <w:lang w:val="sr-Latn-BA"/>
        </w:rPr>
        <w:t>iz</w:t>
      </w:r>
      <w:r w:rsidR="0081191D" w:rsidRPr="001B53A8">
        <w:rPr>
          <w:lang w:val="sr-Latn-BA"/>
        </w:rPr>
        <w:t xml:space="preserve"> </w:t>
      </w:r>
      <w:r w:rsidRPr="001B53A8">
        <w:rPr>
          <w:lang w:val="sr-Latn-BA"/>
        </w:rPr>
        <w:t>člana</w:t>
      </w:r>
      <w:r w:rsidR="0081191D" w:rsidRPr="001B53A8">
        <w:rPr>
          <w:lang w:val="sr-Latn-BA"/>
        </w:rPr>
        <w:t xml:space="preserve"> 22</w:t>
      </w:r>
      <w:r w:rsidRPr="001B53A8">
        <w:rPr>
          <w:lang w:val="sr-Latn-BA"/>
        </w:rPr>
        <w:t>a</w:t>
      </w:r>
      <w:r w:rsidR="0081191D" w:rsidRPr="001B53A8">
        <w:rPr>
          <w:lang w:val="sr-Latn-BA"/>
        </w:rPr>
        <w:t xml:space="preserve">. </w:t>
      </w:r>
      <w:r w:rsidRPr="001B53A8">
        <w:rPr>
          <w:lang w:val="sr-Latn-BA"/>
        </w:rPr>
        <w:t>Zakona</w:t>
      </w:r>
      <w:r w:rsidR="0081191D" w:rsidRPr="001B53A8">
        <w:rPr>
          <w:lang w:val="sr-Latn-BA"/>
        </w:rPr>
        <w:t xml:space="preserve"> </w:t>
      </w:r>
      <w:r w:rsidRPr="001B53A8">
        <w:rPr>
          <w:lang w:val="sr-Latn-BA"/>
        </w:rPr>
        <w:t>o</w:t>
      </w:r>
      <w:r w:rsidR="0081191D" w:rsidRPr="001B53A8">
        <w:rPr>
          <w:lang w:val="sr-Latn-BA"/>
        </w:rPr>
        <w:t xml:space="preserve"> </w:t>
      </w:r>
      <w:r w:rsidRPr="001B53A8">
        <w:rPr>
          <w:lang w:val="sr-Latn-BA"/>
        </w:rPr>
        <w:t>investicionim</w:t>
      </w:r>
      <w:r w:rsidR="0081191D" w:rsidRPr="001B53A8">
        <w:rPr>
          <w:lang w:val="sr-Latn-BA"/>
        </w:rPr>
        <w:t xml:space="preserve"> </w:t>
      </w:r>
      <w:r w:rsidRPr="001B53A8">
        <w:rPr>
          <w:lang w:val="sr-Latn-BA"/>
        </w:rPr>
        <w:t>fondovima</w:t>
      </w:r>
      <w:r w:rsidR="0081191D" w:rsidRPr="001B53A8">
        <w:rPr>
          <w:lang w:val="sr-Latn-BA"/>
        </w:rPr>
        <w:t>.</w:t>
      </w:r>
    </w:p>
    <w:p w14:paraId="4ADB18DC" w14:textId="38C31F11" w:rsidR="00652230" w:rsidRPr="001B53A8" w:rsidRDefault="00003F34" w:rsidP="00652230">
      <w:pPr>
        <w:spacing w:after="0" w:line="240" w:lineRule="auto"/>
        <w:ind w:firstLine="567"/>
        <w:rPr>
          <w:lang w:val="sr-Latn-BA"/>
        </w:rPr>
      </w:pPr>
      <w:r w:rsidRPr="001B53A8">
        <w:rPr>
          <w:lang w:val="sr-Latn-BA"/>
        </w:rPr>
        <w:t>U</w:t>
      </w:r>
      <w:r w:rsidR="00652230" w:rsidRPr="001B53A8">
        <w:rPr>
          <w:lang w:val="sr-Latn-BA"/>
        </w:rPr>
        <w:t xml:space="preserve"> 2023. </w:t>
      </w:r>
      <w:r w:rsidRPr="001B53A8">
        <w:rPr>
          <w:lang w:val="sr-Latn-BA"/>
        </w:rPr>
        <w:t>godini</w:t>
      </w:r>
      <w:r w:rsidR="00652230" w:rsidRPr="001B53A8">
        <w:rPr>
          <w:lang w:val="sr-Latn-BA"/>
        </w:rPr>
        <w:t xml:space="preserve"> </w:t>
      </w:r>
      <w:r w:rsidRPr="001B53A8">
        <w:rPr>
          <w:lang w:val="sr-Latn-BA"/>
        </w:rPr>
        <w:t>Komisija</w:t>
      </w:r>
      <w:r w:rsidR="00652230" w:rsidRPr="001B53A8">
        <w:rPr>
          <w:lang w:val="sr-Latn-BA"/>
        </w:rPr>
        <w:t xml:space="preserve"> </w:t>
      </w:r>
      <w:r w:rsidRPr="001B53A8">
        <w:rPr>
          <w:lang w:val="sr-Latn-BA"/>
        </w:rPr>
        <w:t>je</w:t>
      </w:r>
      <w:r w:rsidR="00652230" w:rsidRPr="001B53A8">
        <w:rPr>
          <w:lang w:val="sr-Latn-BA"/>
        </w:rPr>
        <w:t xml:space="preserve"> </w:t>
      </w:r>
      <w:r w:rsidRPr="001B53A8">
        <w:rPr>
          <w:lang w:val="sr-Latn-BA"/>
        </w:rPr>
        <w:t>donijela</w:t>
      </w:r>
      <w:r w:rsidR="00652230" w:rsidRPr="001B53A8">
        <w:rPr>
          <w:lang w:val="sr-Latn-BA"/>
        </w:rPr>
        <w:t xml:space="preserve"> </w:t>
      </w:r>
      <w:r w:rsidRPr="001B53A8">
        <w:rPr>
          <w:lang w:val="sr-Latn-BA"/>
        </w:rPr>
        <w:t>dva</w:t>
      </w:r>
      <w:r w:rsidR="00652230" w:rsidRPr="001B53A8">
        <w:rPr>
          <w:lang w:val="sr-Latn-BA"/>
        </w:rPr>
        <w:t xml:space="preserve"> </w:t>
      </w:r>
      <w:r w:rsidRPr="001B53A8">
        <w:rPr>
          <w:lang w:val="sr-Latn-BA"/>
        </w:rPr>
        <w:t>rješenja</w:t>
      </w:r>
      <w:r w:rsidR="00652230" w:rsidRPr="001B53A8">
        <w:rPr>
          <w:lang w:val="sr-Latn-BA"/>
        </w:rPr>
        <w:t xml:space="preserve"> </w:t>
      </w:r>
      <w:r w:rsidRPr="001B53A8">
        <w:rPr>
          <w:lang w:val="sr-Latn-BA"/>
        </w:rPr>
        <w:t>kojima</w:t>
      </w:r>
      <w:r w:rsidR="00652230" w:rsidRPr="001B53A8">
        <w:rPr>
          <w:lang w:val="sr-Latn-BA"/>
        </w:rPr>
        <w:t xml:space="preserve"> </w:t>
      </w:r>
      <w:r w:rsidRPr="001B53A8">
        <w:rPr>
          <w:lang w:val="sr-Latn-BA"/>
        </w:rPr>
        <w:t>se</w:t>
      </w:r>
      <w:r w:rsidR="00652230" w:rsidRPr="001B53A8">
        <w:rPr>
          <w:lang w:val="sr-Latn-BA"/>
        </w:rPr>
        <w:t xml:space="preserve"> </w:t>
      </w:r>
      <w:r w:rsidRPr="001B53A8">
        <w:rPr>
          <w:lang w:val="sr-Latn-BA"/>
        </w:rPr>
        <w:t>daje</w:t>
      </w:r>
      <w:r w:rsidR="00652230" w:rsidRPr="001B53A8">
        <w:rPr>
          <w:lang w:val="sr-Latn-BA"/>
        </w:rPr>
        <w:t xml:space="preserve"> </w:t>
      </w:r>
      <w:r w:rsidRPr="001B53A8">
        <w:rPr>
          <w:lang w:val="sr-Latn-BA"/>
        </w:rPr>
        <w:t>dozvola</w:t>
      </w:r>
      <w:r w:rsidR="00652230" w:rsidRPr="001B53A8">
        <w:rPr>
          <w:lang w:val="sr-Latn-BA"/>
        </w:rPr>
        <w:t xml:space="preserve"> </w:t>
      </w:r>
      <w:r w:rsidRPr="001B53A8">
        <w:rPr>
          <w:lang w:val="sr-Latn-BA"/>
        </w:rPr>
        <w:t>za</w:t>
      </w:r>
      <w:r w:rsidR="00652230" w:rsidRPr="001B53A8">
        <w:rPr>
          <w:lang w:val="sr-Latn-BA"/>
        </w:rPr>
        <w:t xml:space="preserve"> </w:t>
      </w:r>
      <w:r w:rsidRPr="001B53A8">
        <w:rPr>
          <w:lang w:val="sr-Latn-BA"/>
        </w:rPr>
        <w:t>sticanje</w:t>
      </w:r>
      <w:r w:rsidR="00652230" w:rsidRPr="001B53A8">
        <w:rPr>
          <w:lang w:val="sr-Latn-BA"/>
        </w:rPr>
        <w:t xml:space="preserve"> </w:t>
      </w:r>
      <w:r w:rsidRPr="001B53A8">
        <w:rPr>
          <w:lang w:val="sr-Latn-BA"/>
        </w:rPr>
        <w:t>kvalifikovanog</w:t>
      </w:r>
      <w:r w:rsidR="00652230" w:rsidRPr="001B53A8">
        <w:rPr>
          <w:lang w:val="sr-Latn-BA"/>
        </w:rPr>
        <w:t xml:space="preserve"> </w:t>
      </w:r>
      <w:r w:rsidRPr="001B53A8">
        <w:rPr>
          <w:lang w:val="sr-Latn-BA"/>
        </w:rPr>
        <w:t>učešća</w:t>
      </w:r>
      <w:r w:rsidR="00652230" w:rsidRPr="001B53A8">
        <w:rPr>
          <w:lang w:val="sr-Latn-BA"/>
        </w:rPr>
        <w:t xml:space="preserve"> </w:t>
      </w:r>
      <w:r w:rsidRPr="001B53A8">
        <w:rPr>
          <w:lang w:val="sr-Latn-BA"/>
        </w:rPr>
        <w:t>u</w:t>
      </w:r>
      <w:r w:rsidR="00652230" w:rsidRPr="001B53A8">
        <w:rPr>
          <w:lang w:val="sr-Latn-BA"/>
        </w:rPr>
        <w:t xml:space="preserve"> </w:t>
      </w:r>
      <w:r w:rsidRPr="001B53A8">
        <w:rPr>
          <w:lang w:val="sr-Latn-BA"/>
        </w:rPr>
        <w:t>društvima</w:t>
      </w:r>
      <w:r w:rsidR="00652230" w:rsidRPr="001B53A8">
        <w:rPr>
          <w:lang w:val="sr-Latn-BA"/>
        </w:rPr>
        <w:t xml:space="preserve"> </w:t>
      </w:r>
      <w:r w:rsidRPr="001B53A8">
        <w:rPr>
          <w:lang w:val="sr-Latn-BA"/>
        </w:rPr>
        <w:t>za</w:t>
      </w:r>
      <w:r w:rsidR="00652230" w:rsidRPr="001B53A8">
        <w:rPr>
          <w:lang w:val="sr-Latn-BA"/>
        </w:rPr>
        <w:t xml:space="preserve"> </w:t>
      </w:r>
      <w:r w:rsidRPr="001B53A8">
        <w:rPr>
          <w:lang w:val="sr-Latn-BA"/>
        </w:rPr>
        <w:t>upravlјanje</w:t>
      </w:r>
      <w:r w:rsidR="00652230" w:rsidRPr="001B53A8">
        <w:rPr>
          <w:lang w:val="sr-Latn-BA"/>
        </w:rPr>
        <w:t xml:space="preserve"> </w:t>
      </w:r>
      <w:r w:rsidRPr="001B53A8">
        <w:rPr>
          <w:lang w:val="sr-Latn-BA"/>
        </w:rPr>
        <w:t>investicionim</w:t>
      </w:r>
      <w:r w:rsidR="00652230" w:rsidRPr="001B53A8">
        <w:rPr>
          <w:lang w:val="sr-Latn-BA"/>
        </w:rPr>
        <w:t xml:space="preserve"> </w:t>
      </w:r>
      <w:r w:rsidRPr="001B53A8">
        <w:rPr>
          <w:lang w:val="sr-Latn-BA"/>
        </w:rPr>
        <w:t>fondovima</w:t>
      </w:r>
      <w:r w:rsidR="00652230" w:rsidRPr="001B53A8">
        <w:rPr>
          <w:lang w:val="sr-Latn-BA"/>
        </w:rPr>
        <w:t xml:space="preserve">. </w:t>
      </w:r>
    </w:p>
    <w:p w14:paraId="1ABA134D" w14:textId="7A66CD8F" w:rsidR="00652230" w:rsidRPr="001B53A8" w:rsidRDefault="00003F34" w:rsidP="00652230">
      <w:pPr>
        <w:spacing w:after="0" w:line="240" w:lineRule="auto"/>
        <w:ind w:firstLine="567"/>
        <w:rPr>
          <w:lang w:val="sr-Latn-BA"/>
        </w:rPr>
      </w:pPr>
      <w:r w:rsidRPr="001B53A8">
        <w:rPr>
          <w:lang w:val="sr-Latn-BA"/>
        </w:rPr>
        <w:t>Usvojena</w:t>
      </w:r>
      <w:r w:rsidR="00652230" w:rsidRPr="001B53A8">
        <w:rPr>
          <w:lang w:val="sr-Latn-BA"/>
        </w:rPr>
        <w:t xml:space="preserve"> </w:t>
      </w:r>
      <w:r w:rsidRPr="001B53A8">
        <w:rPr>
          <w:lang w:val="sr-Latn-BA"/>
        </w:rPr>
        <w:t>su</w:t>
      </w:r>
      <w:r w:rsidR="00652230" w:rsidRPr="001B53A8">
        <w:rPr>
          <w:lang w:val="sr-Latn-BA"/>
        </w:rPr>
        <w:t xml:space="preserve"> </w:t>
      </w:r>
      <w:r w:rsidRPr="001B53A8">
        <w:rPr>
          <w:lang w:val="sr-Latn-BA"/>
        </w:rPr>
        <w:t>tri</w:t>
      </w:r>
      <w:r w:rsidR="00652230" w:rsidRPr="001B53A8">
        <w:rPr>
          <w:lang w:val="sr-Latn-BA"/>
        </w:rPr>
        <w:t xml:space="preserve"> </w:t>
      </w:r>
      <w:r w:rsidRPr="001B53A8">
        <w:rPr>
          <w:lang w:val="sr-Latn-BA"/>
        </w:rPr>
        <w:t>odgovora</w:t>
      </w:r>
      <w:r w:rsidR="00652230" w:rsidRPr="001B53A8">
        <w:rPr>
          <w:lang w:val="sr-Latn-BA"/>
        </w:rPr>
        <w:t xml:space="preserve"> </w:t>
      </w:r>
      <w:r w:rsidRPr="001B53A8">
        <w:rPr>
          <w:lang w:val="sr-Latn-BA"/>
        </w:rPr>
        <w:t>na</w:t>
      </w:r>
      <w:r w:rsidR="00652230" w:rsidRPr="001B53A8">
        <w:rPr>
          <w:lang w:val="sr-Latn-BA"/>
        </w:rPr>
        <w:t xml:space="preserve"> </w:t>
      </w:r>
      <w:r w:rsidRPr="001B53A8">
        <w:rPr>
          <w:lang w:val="sr-Latn-BA"/>
        </w:rPr>
        <w:t>upite</w:t>
      </w:r>
      <w:r w:rsidR="00652230" w:rsidRPr="001B53A8">
        <w:rPr>
          <w:lang w:val="sr-Latn-BA"/>
        </w:rPr>
        <w:t xml:space="preserve"> </w:t>
      </w:r>
      <w:r w:rsidRPr="001B53A8">
        <w:rPr>
          <w:lang w:val="sr-Latn-BA"/>
        </w:rPr>
        <w:t>u</w:t>
      </w:r>
      <w:r w:rsidR="00652230" w:rsidRPr="001B53A8">
        <w:rPr>
          <w:lang w:val="sr-Latn-BA"/>
        </w:rPr>
        <w:t xml:space="preserve"> </w:t>
      </w:r>
      <w:r w:rsidRPr="001B53A8">
        <w:rPr>
          <w:lang w:val="sr-Latn-BA"/>
        </w:rPr>
        <w:t>vezi</w:t>
      </w:r>
      <w:r w:rsidR="00652230" w:rsidRPr="001B53A8">
        <w:rPr>
          <w:lang w:val="sr-Latn-BA"/>
        </w:rPr>
        <w:t xml:space="preserve"> </w:t>
      </w:r>
      <w:r w:rsidRPr="001B53A8">
        <w:rPr>
          <w:lang w:val="sr-Latn-BA"/>
        </w:rPr>
        <w:t>sa</w:t>
      </w:r>
      <w:r w:rsidR="00652230" w:rsidRPr="001B53A8">
        <w:rPr>
          <w:lang w:val="sr-Latn-BA"/>
        </w:rPr>
        <w:t xml:space="preserve"> </w:t>
      </w:r>
      <w:r w:rsidRPr="001B53A8">
        <w:rPr>
          <w:lang w:val="sr-Latn-BA"/>
        </w:rPr>
        <w:t>poslovanjem</w:t>
      </w:r>
      <w:r w:rsidR="00652230" w:rsidRPr="001B53A8">
        <w:rPr>
          <w:lang w:val="sr-Latn-BA"/>
        </w:rPr>
        <w:t xml:space="preserve"> </w:t>
      </w:r>
      <w:r w:rsidRPr="001B53A8">
        <w:rPr>
          <w:lang w:val="sr-Latn-BA"/>
        </w:rPr>
        <w:t>DUIF</w:t>
      </w:r>
      <w:r w:rsidR="00652230" w:rsidRPr="001B53A8">
        <w:rPr>
          <w:lang w:val="sr-Latn-BA"/>
        </w:rPr>
        <w:t>.</w:t>
      </w:r>
    </w:p>
    <w:p w14:paraId="5C9AD8DA" w14:textId="7867158E" w:rsidR="0081191D" w:rsidRPr="001B53A8" w:rsidRDefault="00003F34" w:rsidP="0081191D">
      <w:pPr>
        <w:pStyle w:val="ListParagraph"/>
        <w:numPr>
          <w:ilvl w:val="0"/>
          <w:numId w:val="7"/>
        </w:numPr>
        <w:tabs>
          <w:tab w:val="left" w:pos="993"/>
        </w:tabs>
        <w:spacing w:after="0" w:line="240" w:lineRule="auto"/>
        <w:ind w:left="0" w:firstLine="567"/>
        <w:contextualSpacing w:val="0"/>
        <w:rPr>
          <w:lang w:val="sr-Latn-BA"/>
        </w:rPr>
      </w:pPr>
      <w:r w:rsidRPr="001B53A8">
        <w:rPr>
          <w:b/>
          <w:lang w:val="sr-Latn-BA"/>
        </w:rPr>
        <w:t>Odobrenje</w:t>
      </w:r>
      <w:r w:rsidR="0081191D" w:rsidRPr="001B53A8">
        <w:rPr>
          <w:b/>
          <w:lang w:val="sr-Latn-BA"/>
        </w:rPr>
        <w:t xml:space="preserve"> </w:t>
      </w:r>
      <w:r w:rsidRPr="001B53A8">
        <w:rPr>
          <w:b/>
          <w:lang w:val="sr-Latn-BA"/>
        </w:rPr>
        <w:t>otvaranja</w:t>
      </w:r>
      <w:r w:rsidR="0081191D" w:rsidRPr="001B53A8">
        <w:rPr>
          <w:b/>
          <w:lang w:val="sr-Latn-BA"/>
        </w:rPr>
        <w:t xml:space="preserve"> </w:t>
      </w:r>
      <w:r w:rsidRPr="001B53A8">
        <w:rPr>
          <w:b/>
          <w:lang w:val="sr-Latn-BA"/>
        </w:rPr>
        <w:t>poslovnice</w:t>
      </w:r>
      <w:r w:rsidR="0081191D" w:rsidRPr="001B53A8">
        <w:rPr>
          <w:b/>
          <w:lang w:val="sr-Latn-BA"/>
        </w:rPr>
        <w:t xml:space="preserve"> </w:t>
      </w:r>
      <w:r w:rsidRPr="001B53A8">
        <w:rPr>
          <w:b/>
          <w:lang w:val="sr-Latn-BA"/>
        </w:rPr>
        <w:t>društva</w:t>
      </w:r>
      <w:r w:rsidR="0081191D" w:rsidRPr="001B53A8">
        <w:rPr>
          <w:b/>
          <w:lang w:val="sr-Latn-BA"/>
        </w:rPr>
        <w:t xml:space="preserve"> </w:t>
      </w:r>
      <w:r w:rsidRPr="001B53A8">
        <w:rPr>
          <w:b/>
          <w:lang w:val="sr-Latn-BA"/>
        </w:rPr>
        <w:t>za</w:t>
      </w:r>
      <w:r w:rsidR="0081191D" w:rsidRPr="001B53A8">
        <w:rPr>
          <w:b/>
          <w:lang w:val="sr-Latn-BA"/>
        </w:rPr>
        <w:t xml:space="preserve"> </w:t>
      </w:r>
      <w:r w:rsidRPr="001B53A8">
        <w:rPr>
          <w:b/>
          <w:lang w:val="sr-Latn-BA"/>
        </w:rPr>
        <w:t>upravlјanje</w:t>
      </w:r>
      <w:r w:rsidR="0081191D" w:rsidRPr="001B53A8">
        <w:rPr>
          <w:b/>
          <w:lang w:val="sr-Latn-BA"/>
        </w:rPr>
        <w:t xml:space="preserve">, </w:t>
      </w:r>
      <w:r w:rsidRPr="001B53A8">
        <w:rPr>
          <w:b/>
          <w:lang w:val="sr-Latn-BA"/>
        </w:rPr>
        <w:t>Komisija</w:t>
      </w:r>
      <w:r w:rsidR="0081191D" w:rsidRPr="001B53A8">
        <w:rPr>
          <w:b/>
          <w:lang w:val="sr-Latn-BA"/>
        </w:rPr>
        <w:t xml:space="preserve"> </w:t>
      </w:r>
      <w:r w:rsidRPr="001B53A8">
        <w:rPr>
          <w:b/>
          <w:lang w:val="sr-Latn-BA"/>
        </w:rPr>
        <w:t>izdaje</w:t>
      </w:r>
      <w:r w:rsidR="0081191D" w:rsidRPr="001B53A8">
        <w:rPr>
          <w:b/>
          <w:lang w:val="sr-Latn-BA"/>
        </w:rPr>
        <w:t xml:space="preserve"> </w:t>
      </w:r>
      <w:r w:rsidRPr="001B53A8">
        <w:rPr>
          <w:b/>
          <w:lang w:val="sr-Latn-BA"/>
        </w:rPr>
        <w:t>shodno</w:t>
      </w:r>
      <w:r w:rsidR="0081191D" w:rsidRPr="001B53A8">
        <w:rPr>
          <w:b/>
          <w:lang w:val="sr-Latn-BA"/>
        </w:rPr>
        <w:t xml:space="preserve"> </w:t>
      </w:r>
      <w:r w:rsidRPr="001B53A8">
        <w:rPr>
          <w:b/>
          <w:lang w:val="sr-Latn-BA"/>
        </w:rPr>
        <w:t>članu</w:t>
      </w:r>
      <w:r w:rsidR="0081191D" w:rsidRPr="001B53A8">
        <w:rPr>
          <w:b/>
          <w:lang w:val="sr-Latn-BA"/>
        </w:rPr>
        <w:t xml:space="preserve"> 36. </w:t>
      </w:r>
      <w:r w:rsidRPr="001B53A8">
        <w:rPr>
          <w:b/>
          <w:lang w:val="sr-Latn-BA"/>
        </w:rPr>
        <w:t>stav</w:t>
      </w:r>
      <w:r w:rsidR="0081191D" w:rsidRPr="001B53A8">
        <w:rPr>
          <w:b/>
          <w:lang w:val="sr-Latn-BA"/>
        </w:rPr>
        <w:t xml:space="preserve"> 2. </w:t>
      </w:r>
      <w:r w:rsidRPr="001B53A8">
        <w:rPr>
          <w:b/>
          <w:lang w:val="sr-Latn-BA"/>
        </w:rPr>
        <w:t>Zakona</w:t>
      </w:r>
      <w:r w:rsidR="0081191D" w:rsidRPr="001B53A8">
        <w:rPr>
          <w:b/>
          <w:lang w:val="sr-Latn-BA"/>
        </w:rPr>
        <w:t xml:space="preserve"> </w:t>
      </w:r>
      <w:r w:rsidRPr="001B53A8">
        <w:rPr>
          <w:b/>
          <w:lang w:val="sr-Latn-BA"/>
        </w:rPr>
        <w:t>o</w:t>
      </w:r>
      <w:r w:rsidR="0081191D" w:rsidRPr="001B53A8">
        <w:rPr>
          <w:b/>
          <w:lang w:val="sr-Latn-BA"/>
        </w:rPr>
        <w:t xml:space="preserve"> </w:t>
      </w:r>
      <w:r w:rsidRPr="001B53A8">
        <w:rPr>
          <w:b/>
          <w:lang w:val="sr-Latn-BA"/>
        </w:rPr>
        <w:t>investicionim</w:t>
      </w:r>
      <w:r w:rsidR="0081191D" w:rsidRPr="001B53A8">
        <w:rPr>
          <w:b/>
          <w:lang w:val="sr-Latn-BA"/>
        </w:rPr>
        <w:t xml:space="preserve"> </w:t>
      </w:r>
      <w:r w:rsidRPr="001B53A8">
        <w:rPr>
          <w:b/>
          <w:lang w:val="sr-Latn-BA"/>
        </w:rPr>
        <w:t>fondovima</w:t>
      </w:r>
      <w:r w:rsidR="0081191D" w:rsidRPr="001B53A8">
        <w:rPr>
          <w:b/>
          <w:lang w:val="sr-Latn-BA"/>
        </w:rPr>
        <w:t>.</w:t>
      </w:r>
    </w:p>
    <w:p w14:paraId="6161BCD5" w14:textId="510B2DC2" w:rsidR="0081191D" w:rsidRPr="001B53A8" w:rsidRDefault="00003F34" w:rsidP="0081191D">
      <w:pPr>
        <w:spacing w:after="0" w:line="240" w:lineRule="auto"/>
        <w:ind w:firstLine="567"/>
        <w:rPr>
          <w:lang w:val="sr-Latn-BA"/>
        </w:rPr>
      </w:pPr>
      <w:r w:rsidRPr="001B53A8">
        <w:rPr>
          <w:lang w:val="sr-Latn-BA"/>
        </w:rPr>
        <w:t>U</w:t>
      </w:r>
      <w:r w:rsidR="0081191D" w:rsidRPr="001B53A8">
        <w:rPr>
          <w:lang w:val="sr-Latn-BA"/>
        </w:rPr>
        <w:t xml:space="preserve"> </w:t>
      </w:r>
      <w:r w:rsidR="00652230" w:rsidRPr="001B53A8">
        <w:rPr>
          <w:lang w:val="sr-Latn-BA"/>
        </w:rPr>
        <w:t xml:space="preserve">2023. </w:t>
      </w:r>
      <w:r w:rsidRPr="001B53A8">
        <w:rPr>
          <w:lang w:val="sr-Latn-BA"/>
        </w:rPr>
        <w:t>godini</w:t>
      </w:r>
      <w:r w:rsidR="00652230" w:rsidRPr="001B53A8">
        <w:rPr>
          <w:lang w:val="sr-Latn-BA"/>
        </w:rPr>
        <w:t xml:space="preserve"> </w:t>
      </w:r>
      <w:r w:rsidRPr="001B53A8">
        <w:rPr>
          <w:lang w:val="sr-Latn-BA"/>
        </w:rPr>
        <w:t>ovakvih</w:t>
      </w:r>
      <w:r w:rsidR="0081191D" w:rsidRPr="001B53A8">
        <w:rPr>
          <w:lang w:val="sr-Latn-BA"/>
        </w:rPr>
        <w:t xml:space="preserve"> </w:t>
      </w:r>
      <w:r w:rsidRPr="001B53A8">
        <w:rPr>
          <w:lang w:val="sr-Latn-BA"/>
        </w:rPr>
        <w:t>postupaka</w:t>
      </w:r>
      <w:r w:rsidR="0081191D" w:rsidRPr="001B53A8">
        <w:rPr>
          <w:lang w:val="sr-Latn-BA"/>
        </w:rPr>
        <w:t xml:space="preserve"> </w:t>
      </w:r>
      <w:r w:rsidRPr="001B53A8">
        <w:rPr>
          <w:lang w:val="sr-Latn-BA"/>
        </w:rPr>
        <w:t>nije</w:t>
      </w:r>
      <w:r w:rsidR="0081191D" w:rsidRPr="001B53A8">
        <w:rPr>
          <w:lang w:val="sr-Latn-BA"/>
        </w:rPr>
        <w:t xml:space="preserve"> </w:t>
      </w:r>
      <w:r w:rsidRPr="001B53A8">
        <w:rPr>
          <w:lang w:val="sr-Latn-BA"/>
        </w:rPr>
        <w:t>bilo</w:t>
      </w:r>
      <w:r w:rsidR="0081191D" w:rsidRPr="001B53A8">
        <w:rPr>
          <w:lang w:val="sr-Latn-BA"/>
        </w:rPr>
        <w:t>.</w:t>
      </w:r>
    </w:p>
    <w:p w14:paraId="6D8D9059" w14:textId="58B9803C" w:rsidR="008A17F3" w:rsidRPr="001B53A8" w:rsidRDefault="00003F34" w:rsidP="008A17F3">
      <w:pPr>
        <w:pStyle w:val="Heading2"/>
        <w:spacing w:before="240" w:after="0" w:line="240" w:lineRule="auto"/>
        <w:ind w:left="578" w:hanging="578"/>
        <w:rPr>
          <w:rFonts w:ascii="Times New Roman" w:hAnsi="Times New Roman"/>
          <w:sz w:val="24"/>
          <w:lang w:val="sr-Latn-BA"/>
        </w:rPr>
      </w:pPr>
      <w:bookmarkStart w:id="67" w:name="_Toc167962117"/>
      <w:r w:rsidRPr="001B53A8">
        <w:rPr>
          <w:rFonts w:ascii="Times New Roman" w:hAnsi="Times New Roman"/>
          <w:sz w:val="24"/>
          <w:lang w:val="sr-Latn-BA"/>
        </w:rPr>
        <w:lastRenderedPageBreak/>
        <w:t>Izdavanje</w:t>
      </w:r>
      <w:r w:rsidR="008A17F3" w:rsidRPr="001B53A8">
        <w:rPr>
          <w:rFonts w:ascii="Times New Roman" w:hAnsi="Times New Roman"/>
          <w:sz w:val="24"/>
          <w:lang w:val="sr-Latn-BA"/>
        </w:rPr>
        <w:t xml:space="preserve"> </w:t>
      </w:r>
      <w:r w:rsidRPr="001B53A8">
        <w:rPr>
          <w:rFonts w:ascii="Times New Roman" w:hAnsi="Times New Roman"/>
          <w:sz w:val="24"/>
          <w:lang w:val="sr-Latn-BA"/>
        </w:rPr>
        <w:t>dozvola</w:t>
      </w:r>
      <w:r w:rsidR="008A17F3" w:rsidRPr="001B53A8">
        <w:rPr>
          <w:rFonts w:ascii="Times New Roman" w:hAnsi="Times New Roman"/>
          <w:sz w:val="24"/>
          <w:lang w:val="sr-Latn-BA"/>
        </w:rPr>
        <w:t xml:space="preserve"> </w:t>
      </w:r>
      <w:r w:rsidRPr="001B53A8">
        <w:rPr>
          <w:rFonts w:ascii="Times New Roman" w:hAnsi="Times New Roman"/>
          <w:sz w:val="24"/>
          <w:lang w:val="sr-Latn-BA"/>
        </w:rPr>
        <w:t>i</w:t>
      </w:r>
      <w:r w:rsidR="008A17F3" w:rsidRPr="001B53A8">
        <w:rPr>
          <w:rFonts w:ascii="Times New Roman" w:hAnsi="Times New Roman"/>
          <w:sz w:val="24"/>
          <w:lang w:val="sr-Latn-BA"/>
        </w:rPr>
        <w:t xml:space="preserve"> </w:t>
      </w:r>
      <w:r w:rsidRPr="001B53A8">
        <w:rPr>
          <w:rFonts w:ascii="Times New Roman" w:hAnsi="Times New Roman"/>
          <w:sz w:val="24"/>
          <w:lang w:val="sr-Latn-BA"/>
        </w:rPr>
        <w:t>saglasnosti</w:t>
      </w:r>
      <w:r w:rsidR="008A17F3" w:rsidRPr="001B53A8">
        <w:rPr>
          <w:rFonts w:ascii="Times New Roman" w:hAnsi="Times New Roman"/>
          <w:sz w:val="24"/>
          <w:lang w:val="sr-Latn-BA"/>
        </w:rPr>
        <w:t xml:space="preserve"> </w:t>
      </w:r>
      <w:r w:rsidRPr="001B53A8">
        <w:rPr>
          <w:rFonts w:ascii="Times New Roman" w:hAnsi="Times New Roman"/>
          <w:sz w:val="24"/>
          <w:lang w:val="sr-Latn-BA"/>
        </w:rPr>
        <w:t>učesnicima</w:t>
      </w:r>
      <w:r w:rsidR="008A17F3" w:rsidRPr="001B53A8">
        <w:rPr>
          <w:rFonts w:ascii="Times New Roman" w:hAnsi="Times New Roman"/>
          <w:sz w:val="24"/>
          <w:lang w:val="sr-Latn-BA"/>
        </w:rPr>
        <w:t xml:space="preserve"> </w:t>
      </w:r>
      <w:r w:rsidRPr="001B53A8">
        <w:rPr>
          <w:rFonts w:ascii="Times New Roman" w:hAnsi="Times New Roman"/>
          <w:sz w:val="24"/>
          <w:lang w:val="sr-Latn-BA"/>
        </w:rPr>
        <w:t>na</w:t>
      </w:r>
      <w:r w:rsidR="008A17F3" w:rsidRPr="001B53A8">
        <w:rPr>
          <w:rFonts w:ascii="Times New Roman" w:hAnsi="Times New Roman"/>
          <w:sz w:val="24"/>
          <w:lang w:val="sr-Latn-BA"/>
        </w:rPr>
        <w:t xml:space="preserve"> </w:t>
      </w:r>
      <w:r w:rsidRPr="001B53A8">
        <w:rPr>
          <w:rFonts w:ascii="Times New Roman" w:hAnsi="Times New Roman"/>
          <w:sz w:val="24"/>
          <w:lang w:val="sr-Latn-BA"/>
        </w:rPr>
        <w:t>tržištu</w:t>
      </w:r>
      <w:r w:rsidR="008A17F3" w:rsidRPr="001B53A8">
        <w:rPr>
          <w:rFonts w:ascii="Times New Roman" w:hAnsi="Times New Roman"/>
          <w:sz w:val="24"/>
          <w:lang w:val="sr-Latn-BA"/>
        </w:rPr>
        <w:t xml:space="preserve"> </w:t>
      </w:r>
      <w:r w:rsidRPr="001B53A8">
        <w:rPr>
          <w:rFonts w:ascii="Times New Roman" w:hAnsi="Times New Roman"/>
          <w:sz w:val="24"/>
          <w:lang w:val="sr-Latn-BA"/>
        </w:rPr>
        <w:t>u</w:t>
      </w:r>
      <w:r w:rsidR="009B313B" w:rsidRPr="001B53A8">
        <w:rPr>
          <w:rFonts w:ascii="Times New Roman" w:hAnsi="Times New Roman"/>
          <w:sz w:val="24"/>
          <w:lang w:val="sr-Latn-BA"/>
        </w:rPr>
        <w:t xml:space="preserve"> </w:t>
      </w:r>
      <w:r w:rsidRPr="001B53A8">
        <w:rPr>
          <w:rFonts w:ascii="Times New Roman" w:hAnsi="Times New Roman"/>
          <w:sz w:val="24"/>
          <w:lang w:val="sr-Latn-BA"/>
        </w:rPr>
        <w:t>skladu</w:t>
      </w:r>
      <w:r w:rsidR="009B313B" w:rsidRPr="001B53A8">
        <w:rPr>
          <w:rFonts w:ascii="Times New Roman" w:hAnsi="Times New Roman"/>
          <w:sz w:val="24"/>
          <w:lang w:val="sr-Latn-BA"/>
        </w:rPr>
        <w:t xml:space="preserve"> </w:t>
      </w:r>
      <w:r w:rsidRPr="001B53A8">
        <w:rPr>
          <w:rFonts w:ascii="Times New Roman" w:hAnsi="Times New Roman"/>
          <w:sz w:val="24"/>
          <w:lang w:val="sr-Latn-BA"/>
        </w:rPr>
        <w:t>sa</w:t>
      </w:r>
      <w:r w:rsidR="008A17F3" w:rsidRPr="001B53A8">
        <w:rPr>
          <w:rFonts w:ascii="Times New Roman" w:hAnsi="Times New Roman"/>
          <w:sz w:val="24"/>
          <w:lang w:val="sr-Latn-BA"/>
        </w:rPr>
        <w:t xml:space="preserve"> </w:t>
      </w:r>
      <w:r w:rsidRPr="001B53A8">
        <w:rPr>
          <w:rFonts w:ascii="Times New Roman" w:hAnsi="Times New Roman"/>
          <w:sz w:val="24"/>
          <w:lang w:val="sr-Latn-BA"/>
        </w:rPr>
        <w:t>Zakonom</w:t>
      </w:r>
      <w:r w:rsidR="008A17F3" w:rsidRPr="001B53A8">
        <w:rPr>
          <w:rFonts w:ascii="Times New Roman" w:hAnsi="Times New Roman"/>
          <w:sz w:val="24"/>
          <w:lang w:val="sr-Latn-BA"/>
        </w:rPr>
        <w:t xml:space="preserve"> </w:t>
      </w:r>
      <w:r w:rsidRPr="001B53A8">
        <w:rPr>
          <w:rFonts w:ascii="Times New Roman" w:hAnsi="Times New Roman"/>
          <w:sz w:val="24"/>
          <w:lang w:val="sr-Latn-BA"/>
        </w:rPr>
        <w:t>o</w:t>
      </w:r>
      <w:r w:rsidR="008A17F3" w:rsidRPr="001B53A8">
        <w:rPr>
          <w:rFonts w:ascii="Times New Roman" w:hAnsi="Times New Roman"/>
          <w:sz w:val="24"/>
          <w:lang w:val="sr-Latn-BA"/>
        </w:rPr>
        <w:t xml:space="preserve"> </w:t>
      </w:r>
      <w:r w:rsidRPr="001B53A8">
        <w:rPr>
          <w:rFonts w:ascii="Times New Roman" w:hAnsi="Times New Roman"/>
          <w:sz w:val="24"/>
          <w:lang w:val="sr-Latn-BA"/>
        </w:rPr>
        <w:t>faktoringu</w:t>
      </w:r>
      <w:bookmarkEnd w:id="67"/>
    </w:p>
    <w:p w14:paraId="1BBD75F2" w14:textId="25F97602" w:rsidR="008A17F3" w:rsidRPr="001B53A8" w:rsidRDefault="00003F34" w:rsidP="008A17F3">
      <w:pPr>
        <w:spacing w:after="0" w:line="240" w:lineRule="auto"/>
        <w:ind w:firstLine="567"/>
        <w:rPr>
          <w:lang w:val="sr-Latn-BA"/>
        </w:rPr>
      </w:pPr>
      <w:r w:rsidRPr="001B53A8">
        <w:rPr>
          <w:lang w:val="sr-Latn-BA"/>
        </w:rPr>
        <w:t>U</w:t>
      </w:r>
      <w:r w:rsidR="008A17F3" w:rsidRPr="001B53A8">
        <w:rPr>
          <w:lang w:val="sr-Latn-BA"/>
        </w:rPr>
        <w:t xml:space="preserve"> </w:t>
      </w:r>
      <w:r w:rsidRPr="001B53A8">
        <w:rPr>
          <w:lang w:val="sr-Latn-BA"/>
        </w:rPr>
        <w:t>skladu</w:t>
      </w:r>
      <w:r w:rsidR="008A17F3" w:rsidRPr="001B53A8">
        <w:rPr>
          <w:lang w:val="sr-Latn-BA"/>
        </w:rPr>
        <w:t xml:space="preserve"> </w:t>
      </w:r>
      <w:r w:rsidRPr="001B53A8">
        <w:rPr>
          <w:lang w:val="sr-Latn-BA"/>
        </w:rPr>
        <w:t>sa</w:t>
      </w:r>
      <w:r w:rsidR="008A17F3" w:rsidRPr="001B53A8">
        <w:rPr>
          <w:lang w:val="sr-Latn-BA"/>
        </w:rPr>
        <w:t xml:space="preserve"> </w:t>
      </w:r>
      <w:r w:rsidRPr="001B53A8">
        <w:rPr>
          <w:lang w:val="sr-Latn-BA"/>
        </w:rPr>
        <w:t>Zakonom</w:t>
      </w:r>
      <w:r w:rsidR="008A17F3" w:rsidRPr="001B53A8">
        <w:rPr>
          <w:lang w:val="sr-Latn-BA"/>
        </w:rPr>
        <w:t xml:space="preserve"> </w:t>
      </w:r>
      <w:r w:rsidRPr="001B53A8">
        <w:rPr>
          <w:lang w:val="sr-Latn-BA"/>
        </w:rPr>
        <w:t>o</w:t>
      </w:r>
      <w:r w:rsidR="008A17F3" w:rsidRPr="001B53A8">
        <w:rPr>
          <w:lang w:val="sr-Latn-BA"/>
        </w:rPr>
        <w:t xml:space="preserve"> </w:t>
      </w:r>
      <w:r w:rsidRPr="001B53A8">
        <w:rPr>
          <w:lang w:val="sr-Latn-BA"/>
        </w:rPr>
        <w:t>faktoringu</w:t>
      </w:r>
      <w:r w:rsidR="008A17F3" w:rsidRPr="001B53A8">
        <w:rPr>
          <w:rStyle w:val="FootnoteReference"/>
          <w:lang w:val="sr-Latn-BA"/>
        </w:rPr>
        <w:footnoteReference w:id="15"/>
      </w:r>
      <w:r w:rsidR="008A17F3" w:rsidRPr="001B53A8">
        <w:rPr>
          <w:lang w:val="sr-Latn-BA"/>
        </w:rPr>
        <w:t xml:space="preserve"> </w:t>
      </w:r>
      <w:r w:rsidRPr="001B53A8">
        <w:rPr>
          <w:lang w:val="sr-Latn-BA"/>
        </w:rPr>
        <w:t>Komisija</w:t>
      </w:r>
      <w:r w:rsidR="008A17F3" w:rsidRPr="001B53A8">
        <w:rPr>
          <w:lang w:val="sr-Latn-BA"/>
        </w:rPr>
        <w:t xml:space="preserve"> </w:t>
      </w:r>
      <w:r w:rsidRPr="001B53A8">
        <w:rPr>
          <w:lang w:val="sr-Latn-BA"/>
        </w:rPr>
        <w:t>za</w:t>
      </w:r>
      <w:r w:rsidR="008A17F3" w:rsidRPr="001B53A8">
        <w:rPr>
          <w:lang w:val="sr-Latn-BA"/>
        </w:rPr>
        <w:t xml:space="preserve"> </w:t>
      </w:r>
      <w:r w:rsidRPr="001B53A8">
        <w:rPr>
          <w:lang w:val="sr-Latn-BA"/>
        </w:rPr>
        <w:t>hartije</w:t>
      </w:r>
      <w:r w:rsidR="008A17F3" w:rsidRPr="001B53A8">
        <w:rPr>
          <w:lang w:val="sr-Latn-BA"/>
        </w:rPr>
        <w:t xml:space="preserve"> </w:t>
      </w:r>
      <w:r w:rsidRPr="001B53A8">
        <w:rPr>
          <w:lang w:val="sr-Latn-BA"/>
        </w:rPr>
        <w:t>od</w:t>
      </w:r>
      <w:r w:rsidR="008A17F3" w:rsidRPr="001B53A8">
        <w:rPr>
          <w:lang w:val="sr-Latn-BA"/>
        </w:rPr>
        <w:t xml:space="preserve"> </w:t>
      </w:r>
      <w:r w:rsidRPr="001B53A8">
        <w:rPr>
          <w:lang w:val="sr-Latn-BA"/>
        </w:rPr>
        <w:t>vrijednosti</w:t>
      </w:r>
      <w:r w:rsidR="008A17F3" w:rsidRPr="001B53A8">
        <w:rPr>
          <w:lang w:val="sr-Latn-BA"/>
        </w:rPr>
        <w:t xml:space="preserve"> </w:t>
      </w:r>
      <w:r w:rsidRPr="001B53A8">
        <w:rPr>
          <w:lang w:val="sr-Latn-BA"/>
        </w:rPr>
        <w:t>je</w:t>
      </w:r>
      <w:r w:rsidR="008A17F3" w:rsidRPr="001B53A8">
        <w:rPr>
          <w:lang w:val="sr-Latn-BA"/>
        </w:rPr>
        <w:t xml:space="preserve"> </w:t>
      </w:r>
      <w:r w:rsidRPr="001B53A8">
        <w:rPr>
          <w:lang w:val="sr-Latn-BA"/>
        </w:rPr>
        <w:t>nadležna</w:t>
      </w:r>
      <w:r w:rsidR="008A17F3" w:rsidRPr="001B53A8">
        <w:rPr>
          <w:lang w:val="sr-Latn-BA"/>
        </w:rPr>
        <w:t xml:space="preserve"> </w:t>
      </w:r>
      <w:r w:rsidRPr="001B53A8">
        <w:rPr>
          <w:lang w:val="sr-Latn-BA"/>
        </w:rPr>
        <w:t>za</w:t>
      </w:r>
      <w:r w:rsidR="008A17F3" w:rsidRPr="001B53A8">
        <w:rPr>
          <w:lang w:val="sr-Latn-BA"/>
        </w:rPr>
        <w:t xml:space="preserve"> </w:t>
      </w:r>
      <w:r w:rsidRPr="001B53A8">
        <w:rPr>
          <w:lang w:val="sr-Latn-BA"/>
        </w:rPr>
        <w:t>izdavanje</w:t>
      </w:r>
      <w:r w:rsidR="008A17F3" w:rsidRPr="001B53A8">
        <w:rPr>
          <w:lang w:val="sr-Latn-BA"/>
        </w:rPr>
        <w:t>:</w:t>
      </w:r>
    </w:p>
    <w:p w14:paraId="4E627BB0" w14:textId="50FDCD87" w:rsidR="008A17F3" w:rsidRPr="001B53A8" w:rsidRDefault="008A17F3" w:rsidP="008A17F3">
      <w:pPr>
        <w:spacing w:before="0" w:after="60" w:line="240" w:lineRule="auto"/>
        <w:ind w:left="851" w:hanging="284"/>
        <w:rPr>
          <w:lang w:val="sr-Latn-BA"/>
        </w:rPr>
      </w:pPr>
      <w:r w:rsidRPr="001B53A8">
        <w:rPr>
          <w:lang w:val="sr-Latn-BA"/>
        </w:rPr>
        <w:t xml:space="preserve">1) </w:t>
      </w:r>
      <w:r w:rsidR="00003F34" w:rsidRPr="001B53A8">
        <w:rPr>
          <w:lang w:val="sr-Latn-BA"/>
        </w:rPr>
        <w:t>Dozvole</w:t>
      </w:r>
      <w:r w:rsidRPr="001B53A8">
        <w:rPr>
          <w:lang w:val="sr-Latn-BA"/>
        </w:rPr>
        <w:t xml:space="preserve"> </w:t>
      </w:r>
      <w:r w:rsidR="00003F34" w:rsidRPr="001B53A8">
        <w:rPr>
          <w:lang w:val="sr-Latn-BA"/>
        </w:rPr>
        <w:t>društvima</w:t>
      </w:r>
      <w:r w:rsidRPr="001B53A8">
        <w:rPr>
          <w:lang w:val="sr-Latn-BA"/>
        </w:rPr>
        <w:t xml:space="preserve"> </w:t>
      </w:r>
      <w:r w:rsidR="00003F34" w:rsidRPr="001B53A8">
        <w:rPr>
          <w:lang w:val="sr-Latn-BA"/>
        </w:rPr>
        <w:t>za</w:t>
      </w:r>
      <w:r w:rsidRPr="001B53A8">
        <w:rPr>
          <w:lang w:val="sr-Latn-BA"/>
        </w:rPr>
        <w:t xml:space="preserve"> </w:t>
      </w:r>
      <w:r w:rsidR="00003F34" w:rsidRPr="001B53A8">
        <w:rPr>
          <w:lang w:val="sr-Latn-BA"/>
        </w:rPr>
        <w:t>faktoring</w:t>
      </w:r>
      <w:r w:rsidRPr="001B53A8">
        <w:rPr>
          <w:lang w:val="sr-Latn-BA"/>
        </w:rPr>
        <w:t xml:space="preserve"> </w:t>
      </w:r>
      <w:r w:rsidR="00003F34" w:rsidRPr="001B53A8">
        <w:rPr>
          <w:lang w:val="sr-Latn-BA"/>
        </w:rPr>
        <w:t>za</w:t>
      </w:r>
      <w:r w:rsidRPr="001B53A8">
        <w:rPr>
          <w:lang w:val="sr-Latn-BA"/>
        </w:rPr>
        <w:t xml:space="preserve"> </w:t>
      </w:r>
      <w:r w:rsidR="00003F34" w:rsidRPr="001B53A8">
        <w:rPr>
          <w:lang w:val="sr-Latn-BA"/>
        </w:rPr>
        <w:t>obavlјanje</w:t>
      </w:r>
      <w:r w:rsidRPr="001B53A8">
        <w:rPr>
          <w:lang w:val="sr-Latn-BA"/>
        </w:rPr>
        <w:t xml:space="preserve"> </w:t>
      </w:r>
      <w:r w:rsidR="00003F34" w:rsidRPr="001B53A8">
        <w:rPr>
          <w:lang w:val="sr-Latn-BA"/>
        </w:rPr>
        <w:t>djelatnosti</w:t>
      </w:r>
      <w:r w:rsidRPr="001B53A8">
        <w:rPr>
          <w:lang w:val="sr-Latn-BA"/>
        </w:rPr>
        <w:t xml:space="preserve"> </w:t>
      </w:r>
      <w:r w:rsidR="00003F34" w:rsidRPr="001B53A8">
        <w:rPr>
          <w:lang w:val="sr-Latn-BA"/>
        </w:rPr>
        <w:t>faktoringa</w:t>
      </w:r>
      <w:r w:rsidRPr="001B53A8">
        <w:rPr>
          <w:lang w:val="sr-Latn-BA"/>
        </w:rPr>
        <w:t>;</w:t>
      </w:r>
    </w:p>
    <w:p w14:paraId="332FE050" w14:textId="4A9BBF55" w:rsidR="008A17F3" w:rsidRPr="001B53A8" w:rsidRDefault="008A17F3" w:rsidP="008A17F3">
      <w:pPr>
        <w:spacing w:before="0" w:after="60" w:line="240" w:lineRule="auto"/>
        <w:ind w:left="851" w:hanging="284"/>
        <w:rPr>
          <w:lang w:val="sr-Latn-BA"/>
        </w:rPr>
      </w:pPr>
      <w:r w:rsidRPr="001B53A8">
        <w:rPr>
          <w:lang w:val="sr-Latn-BA"/>
        </w:rPr>
        <w:t xml:space="preserve">2) </w:t>
      </w:r>
      <w:r w:rsidR="00003F34" w:rsidRPr="001B53A8">
        <w:rPr>
          <w:lang w:val="sr-Latn-BA"/>
        </w:rPr>
        <w:t>Dozvole</w:t>
      </w:r>
      <w:r w:rsidRPr="001B53A8">
        <w:rPr>
          <w:lang w:val="sr-Latn-BA"/>
        </w:rPr>
        <w:t xml:space="preserve"> </w:t>
      </w:r>
      <w:r w:rsidR="00003F34" w:rsidRPr="001B53A8">
        <w:rPr>
          <w:lang w:val="sr-Latn-BA"/>
        </w:rPr>
        <w:t>na</w:t>
      </w:r>
      <w:r w:rsidRPr="001B53A8">
        <w:rPr>
          <w:lang w:val="sr-Latn-BA"/>
        </w:rPr>
        <w:t xml:space="preserve"> </w:t>
      </w:r>
      <w:r w:rsidR="00003F34" w:rsidRPr="001B53A8">
        <w:rPr>
          <w:lang w:val="sr-Latn-BA"/>
        </w:rPr>
        <w:t>imenovanje</w:t>
      </w:r>
      <w:r w:rsidRPr="001B53A8">
        <w:rPr>
          <w:lang w:val="sr-Latn-BA"/>
        </w:rPr>
        <w:t xml:space="preserve"> </w:t>
      </w:r>
      <w:r w:rsidR="00003F34" w:rsidRPr="001B53A8">
        <w:rPr>
          <w:lang w:val="sr-Latn-BA"/>
        </w:rPr>
        <w:t>članova</w:t>
      </w:r>
      <w:r w:rsidRPr="001B53A8">
        <w:rPr>
          <w:lang w:val="sr-Latn-BA"/>
        </w:rPr>
        <w:t xml:space="preserve"> </w:t>
      </w:r>
      <w:r w:rsidR="00003F34" w:rsidRPr="001B53A8">
        <w:rPr>
          <w:lang w:val="sr-Latn-BA"/>
        </w:rPr>
        <w:t>upravnog</w:t>
      </w:r>
      <w:r w:rsidRPr="001B53A8">
        <w:rPr>
          <w:lang w:val="sr-Latn-BA"/>
        </w:rPr>
        <w:t xml:space="preserve"> </w:t>
      </w:r>
      <w:r w:rsidR="00003F34" w:rsidRPr="001B53A8">
        <w:rPr>
          <w:lang w:val="sr-Latn-BA"/>
        </w:rPr>
        <w:t>odbora</w:t>
      </w:r>
      <w:r w:rsidRPr="001B53A8">
        <w:rPr>
          <w:lang w:val="sr-Latn-BA"/>
        </w:rPr>
        <w:t xml:space="preserve"> </w:t>
      </w:r>
      <w:r w:rsidR="00003F34" w:rsidRPr="001B53A8">
        <w:rPr>
          <w:lang w:val="sr-Latn-BA"/>
        </w:rPr>
        <w:t>društva</w:t>
      </w:r>
      <w:r w:rsidRPr="001B53A8">
        <w:rPr>
          <w:lang w:val="sr-Latn-BA"/>
        </w:rPr>
        <w:t xml:space="preserve"> </w:t>
      </w:r>
      <w:r w:rsidR="00003F34" w:rsidRPr="001B53A8">
        <w:rPr>
          <w:lang w:val="sr-Latn-BA"/>
        </w:rPr>
        <w:t>za</w:t>
      </w:r>
      <w:r w:rsidRPr="001B53A8">
        <w:rPr>
          <w:lang w:val="sr-Latn-BA"/>
        </w:rPr>
        <w:t xml:space="preserve"> </w:t>
      </w:r>
      <w:r w:rsidR="00003F34" w:rsidRPr="001B53A8">
        <w:rPr>
          <w:lang w:val="sr-Latn-BA"/>
        </w:rPr>
        <w:t>faktoring</w:t>
      </w:r>
      <w:r w:rsidRPr="001B53A8">
        <w:rPr>
          <w:lang w:val="sr-Latn-BA"/>
        </w:rPr>
        <w:t>;</w:t>
      </w:r>
    </w:p>
    <w:p w14:paraId="4EBD1A94" w14:textId="51DB6FD1" w:rsidR="008A17F3" w:rsidRPr="001B53A8" w:rsidRDefault="008A17F3" w:rsidP="008A17F3">
      <w:pPr>
        <w:spacing w:before="0" w:after="60" w:line="240" w:lineRule="auto"/>
        <w:ind w:left="851" w:hanging="284"/>
        <w:rPr>
          <w:lang w:val="sr-Latn-BA"/>
        </w:rPr>
      </w:pPr>
      <w:r w:rsidRPr="001B53A8">
        <w:rPr>
          <w:lang w:val="sr-Latn-BA"/>
        </w:rPr>
        <w:t xml:space="preserve">3) </w:t>
      </w:r>
      <w:r w:rsidR="00003F34" w:rsidRPr="001B53A8">
        <w:rPr>
          <w:lang w:val="sr-Latn-BA"/>
        </w:rPr>
        <w:t>Dozvole</w:t>
      </w:r>
      <w:r w:rsidRPr="001B53A8">
        <w:rPr>
          <w:lang w:val="sr-Latn-BA"/>
        </w:rPr>
        <w:t xml:space="preserve"> </w:t>
      </w:r>
      <w:r w:rsidR="00003F34" w:rsidRPr="001B53A8">
        <w:rPr>
          <w:lang w:val="sr-Latn-BA"/>
        </w:rPr>
        <w:t>na</w:t>
      </w:r>
      <w:r w:rsidRPr="001B53A8">
        <w:rPr>
          <w:lang w:val="sr-Latn-BA"/>
        </w:rPr>
        <w:t xml:space="preserve"> </w:t>
      </w:r>
      <w:r w:rsidR="00003F34" w:rsidRPr="001B53A8">
        <w:rPr>
          <w:lang w:val="sr-Latn-BA"/>
        </w:rPr>
        <w:t>imenovanje</w:t>
      </w:r>
      <w:r w:rsidRPr="001B53A8">
        <w:rPr>
          <w:lang w:val="sr-Latn-BA"/>
        </w:rPr>
        <w:t xml:space="preserve"> </w:t>
      </w:r>
      <w:r w:rsidR="00003F34" w:rsidRPr="001B53A8">
        <w:rPr>
          <w:lang w:val="sr-Latn-BA"/>
        </w:rPr>
        <w:t>direktora</w:t>
      </w:r>
      <w:r w:rsidRPr="001B53A8">
        <w:rPr>
          <w:lang w:val="sr-Latn-BA"/>
        </w:rPr>
        <w:t xml:space="preserve"> </w:t>
      </w:r>
      <w:r w:rsidR="00003F34" w:rsidRPr="001B53A8">
        <w:rPr>
          <w:lang w:val="sr-Latn-BA"/>
        </w:rPr>
        <w:t>društva</w:t>
      </w:r>
      <w:r w:rsidRPr="001B53A8">
        <w:rPr>
          <w:lang w:val="sr-Latn-BA"/>
        </w:rPr>
        <w:t xml:space="preserve"> </w:t>
      </w:r>
      <w:r w:rsidR="00003F34" w:rsidRPr="001B53A8">
        <w:rPr>
          <w:lang w:val="sr-Latn-BA"/>
        </w:rPr>
        <w:t>za</w:t>
      </w:r>
      <w:r w:rsidRPr="001B53A8">
        <w:rPr>
          <w:lang w:val="sr-Latn-BA"/>
        </w:rPr>
        <w:t xml:space="preserve"> </w:t>
      </w:r>
      <w:r w:rsidR="00003F34" w:rsidRPr="001B53A8">
        <w:rPr>
          <w:lang w:val="sr-Latn-BA"/>
        </w:rPr>
        <w:t>faktoring</w:t>
      </w:r>
      <w:r w:rsidRPr="001B53A8">
        <w:rPr>
          <w:lang w:val="sr-Latn-BA"/>
        </w:rPr>
        <w:t>;</w:t>
      </w:r>
    </w:p>
    <w:p w14:paraId="47B17E7A" w14:textId="2D26DE55" w:rsidR="008A17F3" w:rsidRPr="001B53A8" w:rsidRDefault="008A17F3" w:rsidP="008A17F3">
      <w:pPr>
        <w:spacing w:before="0" w:after="60" w:line="240" w:lineRule="auto"/>
        <w:ind w:left="851" w:hanging="284"/>
        <w:rPr>
          <w:lang w:val="sr-Latn-BA"/>
        </w:rPr>
      </w:pPr>
      <w:r w:rsidRPr="001B53A8">
        <w:rPr>
          <w:lang w:val="sr-Latn-BA"/>
        </w:rPr>
        <w:t>4)</w:t>
      </w:r>
      <w:r w:rsidRPr="001B53A8">
        <w:rPr>
          <w:lang w:val="sr-Latn-BA"/>
        </w:rPr>
        <w:tab/>
      </w:r>
      <w:r w:rsidR="00003F34" w:rsidRPr="001B53A8">
        <w:rPr>
          <w:lang w:val="sr-Latn-BA"/>
        </w:rPr>
        <w:t>Dozvole</w:t>
      </w:r>
      <w:r w:rsidRPr="001B53A8">
        <w:rPr>
          <w:lang w:val="sr-Latn-BA"/>
        </w:rPr>
        <w:t xml:space="preserve"> </w:t>
      </w:r>
      <w:r w:rsidR="00003F34" w:rsidRPr="001B53A8">
        <w:rPr>
          <w:lang w:val="sr-Latn-BA"/>
        </w:rPr>
        <w:t>za</w:t>
      </w:r>
      <w:r w:rsidRPr="001B53A8">
        <w:rPr>
          <w:lang w:val="sr-Latn-BA"/>
        </w:rPr>
        <w:t xml:space="preserve"> </w:t>
      </w:r>
      <w:r w:rsidR="00003F34" w:rsidRPr="001B53A8">
        <w:rPr>
          <w:lang w:val="sr-Latn-BA"/>
        </w:rPr>
        <w:t>sticanje</w:t>
      </w:r>
      <w:r w:rsidRPr="001B53A8">
        <w:rPr>
          <w:lang w:val="sr-Latn-BA"/>
        </w:rPr>
        <w:t xml:space="preserve"> </w:t>
      </w:r>
      <w:r w:rsidR="00003F34" w:rsidRPr="001B53A8">
        <w:rPr>
          <w:lang w:val="sr-Latn-BA"/>
        </w:rPr>
        <w:t>kvalifikovanog</w:t>
      </w:r>
      <w:r w:rsidRPr="001B53A8">
        <w:rPr>
          <w:lang w:val="sr-Latn-BA"/>
        </w:rPr>
        <w:t xml:space="preserve"> </w:t>
      </w:r>
      <w:r w:rsidR="00003F34" w:rsidRPr="001B53A8">
        <w:rPr>
          <w:lang w:val="sr-Latn-BA"/>
        </w:rPr>
        <w:t>učešća</w:t>
      </w:r>
      <w:r w:rsidRPr="001B53A8">
        <w:rPr>
          <w:lang w:val="sr-Latn-BA"/>
        </w:rPr>
        <w:t xml:space="preserve">, </w:t>
      </w:r>
      <w:r w:rsidR="00003F34" w:rsidRPr="001B53A8">
        <w:rPr>
          <w:lang w:val="sr-Latn-BA"/>
        </w:rPr>
        <w:t>za</w:t>
      </w:r>
      <w:r w:rsidRPr="001B53A8">
        <w:rPr>
          <w:lang w:val="sr-Latn-BA"/>
        </w:rPr>
        <w:t xml:space="preserve"> </w:t>
      </w:r>
      <w:r w:rsidR="00003F34" w:rsidRPr="001B53A8">
        <w:rPr>
          <w:lang w:val="sr-Latn-BA"/>
        </w:rPr>
        <w:t>pravna</w:t>
      </w:r>
      <w:r w:rsidRPr="001B53A8">
        <w:rPr>
          <w:lang w:val="sr-Latn-BA"/>
        </w:rPr>
        <w:t xml:space="preserve"> </w:t>
      </w:r>
      <w:r w:rsidR="00003F34" w:rsidRPr="001B53A8">
        <w:rPr>
          <w:lang w:val="sr-Latn-BA"/>
        </w:rPr>
        <w:t>i</w:t>
      </w:r>
      <w:r w:rsidRPr="001B53A8">
        <w:rPr>
          <w:lang w:val="sr-Latn-BA"/>
        </w:rPr>
        <w:t xml:space="preserve"> </w:t>
      </w:r>
      <w:r w:rsidR="00003F34" w:rsidRPr="001B53A8">
        <w:rPr>
          <w:lang w:val="sr-Latn-BA"/>
        </w:rPr>
        <w:t>fizička</w:t>
      </w:r>
      <w:r w:rsidRPr="001B53A8">
        <w:rPr>
          <w:lang w:val="sr-Latn-BA"/>
        </w:rPr>
        <w:t xml:space="preserve"> </w:t>
      </w:r>
      <w:r w:rsidR="00003F34" w:rsidRPr="001B53A8">
        <w:rPr>
          <w:lang w:val="sr-Latn-BA"/>
        </w:rPr>
        <w:t>lica</w:t>
      </w:r>
      <w:r w:rsidRPr="001B53A8">
        <w:rPr>
          <w:lang w:val="sr-Latn-BA"/>
        </w:rPr>
        <w:t xml:space="preserve">, </w:t>
      </w:r>
      <w:r w:rsidR="00003F34" w:rsidRPr="001B53A8">
        <w:rPr>
          <w:lang w:val="sr-Latn-BA"/>
        </w:rPr>
        <w:t>u</w:t>
      </w:r>
      <w:r w:rsidRPr="001B53A8">
        <w:rPr>
          <w:lang w:val="sr-Latn-BA"/>
        </w:rPr>
        <w:t xml:space="preserve"> </w:t>
      </w:r>
      <w:r w:rsidR="00003F34" w:rsidRPr="001B53A8">
        <w:rPr>
          <w:lang w:val="sr-Latn-BA"/>
        </w:rPr>
        <w:t>društvu</w:t>
      </w:r>
      <w:r w:rsidRPr="001B53A8">
        <w:rPr>
          <w:lang w:val="sr-Latn-BA"/>
        </w:rPr>
        <w:t xml:space="preserve"> </w:t>
      </w:r>
      <w:r w:rsidR="00003F34" w:rsidRPr="001B53A8">
        <w:rPr>
          <w:lang w:val="sr-Latn-BA"/>
        </w:rPr>
        <w:t>za</w:t>
      </w:r>
      <w:r w:rsidRPr="001B53A8">
        <w:rPr>
          <w:lang w:val="sr-Latn-BA"/>
        </w:rPr>
        <w:t xml:space="preserve"> </w:t>
      </w:r>
      <w:r w:rsidR="00003F34" w:rsidRPr="001B53A8">
        <w:rPr>
          <w:lang w:val="sr-Latn-BA"/>
        </w:rPr>
        <w:t>faktoring</w:t>
      </w:r>
      <w:r w:rsidRPr="001B53A8">
        <w:rPr>
          <w:lang w:val="sr-Latn-BA"/>
        </w:rPr>
        <w:t>;</w:t>
      </w:r>
    </w:p>
    <w:p w14:paraId="7F4DD892" w14:textId="35DD71E5" w:rsidR="008A17F3" w:rsidRPr="001B53A8" w:rsidRDefault="008A17F3" w:rsidP="008A17F3">
      <w:pPr>
        <w:spacing w:before="0" w:after="60" w:line="240" w:lineRule="auto"/>
        <w:ind w:left="851" w:hanging="284"/>
        <w:rPr>
          <w:lang w:val="sr-Latn-BA"/>
        </w:rPr>
      </w:pPr>
      <w:r w:rsidRPr="001B53A8">
        <w:rPr>
          <w:lang w:val="sr-Latn-BA"/>
        </w:rPr>
        <w:t xml:space="preserve">5) </w:t>
      </w:r>
      <w:r w:rsidR="00003F34" w:rsidRPr="001B53A8">
        <w:rPr>
          <w:lang w:val="sr-Latn-BA"/>
        </w:rPr>
        <w:t>Dozvole</w:t>
      </w:r>
      <w:r w:rsidRPr="001B53A8">
        <w:rPr>
          <w:lang w:val="sr-Latn-BA"/>
        </w:rPr>
        <w:t xml:space="preserve"> </w:t>
      </w:r>
      <w:r w:rsidR="00003F34" w:rsidRPr="001B53A8">
        <w:rPr>
          <w:lang w:val="sr-Latn-BA"/>
        </w:rPr>
        <w:t>za</w:t>
      </w:r>
      <w:r w:rsidRPr="001B53A8">
        <w:rPr>
          <w:lang w:val="sr-Latn-BA"/>
        </w:rPr>
        <w:t xml:space="preserve"> </w:t>
      </w:r>
      <w:r w:rsidR="00003F34" w:rsidRPr="001B53A8">
        <w:rPr>
          <w:lang w:val="sr-Latn-BA"/>
        </w:rPr>
        <w:t>obavlјanje</w:t>
      </w:r>
      <w:r w:rsidRPr="001B53A8">
        <w:rPr>
          <w:lang w:val="sr-Latn-BA"/>
        </w:rPr>
        <w:t xml:space="preserve"> </w:t>
      </w:r>
      <w:r w:rsidR="00003F34" w:rsidRPr="001B53A8">
        <w:rPr>
          <w:lang w:val="sr-Latn-BA"/>
        </w:rPr>
        <w:t>djelatnosti</w:t>
      </w:r>
      <w:r w:rsidRPr="001B53A8">
        <w:rPr>
          <w:lang w:val="sr-Latn-BA"/>
        </w:rPr>
        <w:t xml:space="preserve"> </w:t>
      </w:r>
      <w:r w:rsidR="00003F34" w:rsidRPr="001B53A8">
        <w:rPr>
          <w:lang w:val="sr-Latn-BA"/>
        </w:rPr>
        <w:t>faktoringa</w:t>
      </w:r>
      <w:r w:rsidRPr="001B53A8">
        <w:rPr>
          <w:lang w:val="sr-Latn-BA"/>
        </w:rPr>
        <w:t xml:space="preserve"> </w:t>
      </w:r>
      <w:r w:rsidR="00003F34" w:rsidRPr="001B53A8">
        <w:rPr>
          <w:lang w:val="sr-Latn-BA"/>
        </w:rPr>
        <w:t>putem</w:t>
      </w:r>
      <w:r w:rsidRPr="001B53A8">
        <w:rPr>
          <w:lang w:val="sr-Latn-BA"/>
        </w:rPr>
        <w:t xml:space="preserve"> </w:t>
      </w:r>
      <w:r w:rsidR="00003F34" w:rsidRPr="001B53A8">
        <w:rPr>
          <w:lang w:val="sr-Latn-BA"/>
        </w:rPr>
        <w:t>poslovne</w:t>
      </w:r>
      <w:r w:rsidRPr="001B53A8">
        <w:rPr>
          <w:lang w:val="sr-Latn-BA"/>
        </w:rPr>
        <w:t xml:space="preserve"> </w:t>
      </w:r>
      <w:r w:rsidR="00003F34" w:rsidRPr="001B53A8">
        <w:rPr>
          <w:lang w:val="sr-Latn-BA"/>
        </w:rPr>
        <w:t>jedinice</w:t>
      </w:r>
      <w:r w:rsidRPr="001B53A8">
        <w:rPr>
          <w:lang w:val="sr-Latn-BA"/>
        </w:rPr>
        <w:t xml:space="preserve"> </w:t>
      </w:r>
      <w:r w:rsidR="00003F34" w:rsidRPr="001B53A8">
        <w:rPr>
          <w:lang w:val="sr-Latn-BA"/>
        </w:rPr>
        <w:t>u</w:t>
      </w:r>
      <w:r w:rsidRPr="001B53A8">
        <w:rPr>
          <w:lang w:val="sr-Latn-BA"/>
        </w:rPr>
        <w:t xml:space="preserve"> </w:t>
      </w:r>
      <w:r w:rsidR="00003F34" w:rsidRPr="001B53A8">
        <w:rPr>
          <w:lang w:val="sr-Latn-BA"/>
        </w:rPr>
        <w:t>BiH</w:t>
      </w:r>
      <w:r w:rsidRPr="001B53A8">
        <w:rPr>
          <w:lang w:val="sr-Latn-BA"/>
        </w:rPr>
        <w:t xml:space="preserve">, </w:t>
      </w:r>
      <w:r w:rsidR="00003F34" w:rsidRPr="001B53A8">
        <w:rPr>
          <w:lang w:val="sr-Latn-BA"/>
        </w:rPr>
        <w:t>a</w:t>
      </w:r>
      <w:r w:rsidRPr="001B53A8">
        <w:rPr>
          <w:lang w:val="sr-Latn-BA"/>
        </w:rPr>
        <w:t xml:space="preserve"> </w:t>
      </w:r>
      <w:r w:rsidR="00003F34" w:rsidRPr="001B53A8">
        <w:rPr>
          <w:lang w:val="sr-Latn-BA"/>
        </w:rPr>
        <w:t>izvan</w:t>
      </w:r>
      <w:r w:rsidRPr="001B53A8">
        <w:rPr>
          <w:lang w:val="sr-Latn-BA"/>
        </w:rPr>
        <w:t xml:space="preserve"> </w:t>
      </w:r>
      <w:r w:rsidR="00003F34" w:rsidRPr="001B53A8">
        <w:rPr>
          <w:lang w:val="sr-Latn-BA"/>
        </w:rPr>
        <w:t>Republike</w:t>
      </w:r>
      <w:r w:rsidRPr="001B53A8">
        <w:rPr>
          <w:lang w:val="sr-Latn-BA"/>
        </w:rPr>
        <w:t xml:space="preserve"> </w:t>
      </w:r>
      <w:r w:rsidR="00003F34" w:rsidRPr="001B53A8">
        <w:rPr>
          <w:lang w:val="sr-Latn-BA"/>
        </w:rPr>
        <w:t>Srpske</w:t>
      </w:r>
      <w:r w:rsidRPr="001B53A8">
        <w:rPr>
          <w:lang w:val="sr-Latn-BA"/>
        </w:rPr>
        <w:t>;</w:t>
      </w:r>
    </w:p>
    <w:p w14:paraId="687A5977" w14:textId="628DBC6A" w:rsidR="008A17F3" w:rsidRPr="001B53A8" w:rsidRDefault="008A17F3" w:rsidP="008A17F3">
      <w:pPr>
        <w:spacing w:before="0" w:after="60" w:line="240" w:lineRule="auto"/>
        <w:ind w:left="851" w:hanging="284"/>
        <w:rPr>
          <w:lang w:val="sr-Latn-BA"/>
        </w:rPr>
      </w:pPr>
      <w:r w:rsidRPr="001B53A8">
        <w:rPr>
          <w:lang w:val="sr-Latn-BA"/>
        </w:rPr>
        <w:t xml:space="preserve">6) </w:t>
      </w:r>
      <w:r w:rsidR="00003F34" w:rsidRPr="001B53A8">
        <w:rPr>
          <w:lang w:val="sr-Latn-BA"/>
        </w:rPr>
        <w:t>Dozvole</w:t>
      </w:r>
      <w:r w:rsidRPr="001B53A8">
        <w:rPr>
          <w:lang w:val="sr-Latn-BA"/>
        </w:rPr>
        <w:t xml:space="preserve"> </w:t>
      </w:r>
      <w:r w:rsidR="00003F34" w:rsidRPr="001B53A8">
        <w:rPr>
          <w:lang w:val="sr-Latn-BA"/>
        </w:rPr>
        <w:t>za</w:t>
      </w:r>
      <w:r w:rsidRPr="001B53A8">
        <w:rPr>
          <w:lang w:val="sr-Latn-BA"/>
        </w:rPr>
        <w:t xml:space="preserve"> </w:t>
      </w:r>
      <w:r w:rsidR="00003F34" w:rsidRPr="001B53A8">
        <w:rPr>
          <w:lang w:val="sr-Latn-BA"/>
        </w:rPr>
        <w:t>obavlјanje</w:t>
      </w:r>
      <w:r w:rsidRPr="001B53A8">
        <w:rPr>
          <w:lang w:val="sr-Latn-BA"/>
        </w:rPr>
        <w:t xml:space="preserve"> </w:t>
      </w:r>
      <w:r w:rsidR="00003F34" w:rsidRPr="001B53A8">
        <w:rPr>
          <w:lang w:val="sr-Latn-BA"/>
        </w:rPr>
        <w:t>djelatnosti</w:t>
      </w:r>
      <w:r w:rsidRPr="001B53A8">
        <w:rPr>
          <w:lang w:val="sr-Latn-BA"/>
        </w:rPr>
        <w:t xml:space="preserve"> </w:t>
      </w:r>
      <w:r w:rsidR="00003F34" w:rsidRPr="001B53A8">
        <w:rPr>
          <w:lang w:val="sr-Latn-BA"/>
        </w:rPr>
        <w:t>faktoringa</w:t>
      </w:r>
      <w:r w:rsidRPr="001B53A8">
        <w:rPr>
          <w:lang w:val="sr-Latn-BA"/>
        </w:rPr>
        <w:t xml:space="preserve"> </w:t>
      </w:r>
      <w:r w:rsidR="00003F34" w:rsidRPr="001B53A8">
        <w:rPr>
          <w:lang w:val="sr-Latn-BA"/>
        </w:rPr>
        <w:t>izvan</w:t>
      </w:r>
      <w:r w:rsidRPr="001B53A8">
        <w:rPr>
          <w:lang w:val="sr-Latn-BA"/>
        </w:rPr>
        <w:t xml:space="preserve"> </w:t>
      </w:r>
      <w:r w:rsidR="00003F34" w:rsidRPr="001B53A8">
        <w:rPr>
          <w:lang w:val="sr-Latn-BA"/>
        </w:rPr>
        <w:t>Republike</w:t>
      </w:r>
      <w:r w:rsidRPr="001B53A8">
        <w:rPr>
          <w:lang w:val="sr-Latn-BA"/>
        </w:rPr>
        <w:t xml:space="preserve"> </w:t>
      </w:r>
      <w:r w:rsidR="00003F34" w:rsidRPr="001B53A8">
        <w:rPr>
          <w:lang w:val="sr-Latn-BA"/>
        </w:rPr>
        <w:t>Srpske</w:t>
      </w:r>
      <w:r w:rsidRPr="001B53A8">
        <w:rPr>
          <w:lang w:val="sr-Latn-BA"/>
        </w:rPr>
        <w:t>;</w:t>
      </w:r>
    </w:p>
    <w:p w14:paraId="4E703FDB" w14:textId="6368A5BD" w:rsidR="002C5D98" w:rsidRPr="001B53A8" w:rsidRDefault="00003F34" w:rsidP="00CF1DAB">
      <w:pPr>
        <w:spacing w:after="0" w:line="240" w:lineRule="auto"/>
        <w:ind w:firstLine="567"/>
        <w:rPr>
          <w:lang w:val="sr-Latn-BA"/>
        </w:rPr>
      </w:pPr>
      <w:r w:rsidRPr="001B53A8">
        <w:rPr>
          <w:lang w:val="sr-Latn-BA"/>
        </w:rPr>
        <w:t>U</w:t>
      </w:r>
      <w:r w:rsidR="00397706" w:rsidRPr="001B53A8">
        <w:rPr>
          <w:lang w:val="sr-Latn-BA"/>
        </w:rPr>
        <w:t xml:space="preserve"> </w:t>
      </w:r>
      <w:r w:rsidR="00CF1DAB" w:rsidRPr="001B53A8">
        <w:rPr>
          <w:lang w:val="sr-Latn-BA"/>
        </w:rPr>
        <w:t xml:space="preserve">2023. </w:t>
      </w:r>
      <w:r w:rsidRPr="001B53A8">
        <w:rPr>
          <w:lang w:val="sr-Latn-BA"/>
        </w:rPr>
        <w:t>godini</w:t>
      </w:r>
      <w:r w:rsidR="00397706" w:rsidRPr="001B53A8">
        <w:rPr>
          <w:lang w:val="sr-Latn-BA"/>
        </w:rPr>
        <w:t xml:space="preserve"> </w:t>
      </w:r>
      <w:r w:rsidRPr="001B53A8">
        <w:rPr>
          <w:lang w:val="sr-Latn-BA"/>
        </w:rPr>
        <w:t>data</w:t>
      </w:r>
      <w:r w:rsidR="00397706" w:rsidRPr="001B53A8">
        <w:rPr>
          <w:lang w:val="sr-Latn-BA"/>
        </w:rPr>
        <w:t xml:space="preserve"> </w:t>
      </w:r>
      <w:r w:rsidRPr="001B53A8">
        <w:rPr>
          <w:lang w:val="sr-Latn-BA"/>
        </w:rPr>
        <w:t>je</w:t>
      </w:r>
      <w:r w:rsidR="00397706" w:rsidRPr="001B53A8">
        <w:rPr>
          <w:lang w:val="sr-Latn-BA"/>
        </w:rPr>
        <w:t xml:space="preserve"> </w:t>
      </w:r>
      <w:r w:rsidRPr="001B53A8">
        <w:rPr>
          <w:lang w:val="sr-Latn-BA"/>
        </w:rPr>
        <w:t>dozvola</w:t>
      </w:r>
      <w:r w:rsidR="00397706" w:rsidRPr="001B53A8">
        <w:rPr>
          <w:lang w:val="sr-Latn-BA"/>
        </w:rPr>
        <w:t xml:space="preserve"> </w:t>
      </w:r>
      <w:r w:rsidRPr="001B53A8">
        <w:rPr>
          <w:lang w:val="sr-Latn-BA"/>
        </w:rPr>
        <w:t>za</w:t>
      </w:r>
      <w:r w:rsidR="00A277DE" w:rsidRPr="001B53A8">
        <w:rPr>
          <w:lang w:val="sr-Latn-BA"/>
        </w:rPr>
        <w:t xml:space="preserve"> </w:t>
      </w:r>
      <w:r w:rsidRPr="001B53A8">
        <w:rPr>
          <w:lang w:val="sr-Latn-BA"/>
        </w:rPr>
        <w:t>obalјanje</w:t>
      </w:r>
      <w:r w:rsidR="00A277DE" w:rsidRPr="001B53A8">
        <w:rPr>
          <w:lang w:val="sr-Latn-BA"/>
        </w:rPr>
        <w:t xml:space="preserve"> </w:t>
      </w:r>
      <w:r w:rsidRPr="001B53A8">
        <w:rPr>
          <w:lang w:val="sr-Latn-BA"/>
        </w:rPr>
        <w:t>djelatnosti</w:t>
      </w:r>
      <w:r w:rsidR="00A277DE" w:rsidRPr="001B53A8">
        <w:rPr>
          <w:lang w:val="sr-Latn-BA"/>
        </w:rPr>
        <w:t xml:space="preserve"> </w:t>
      </w:r>
      <w:r w:rsidRPr="001B53A8">
        <w:rPr>
          <w:lang w:val="sr-Latn-BA"/>
        </w:rPr>
        <w:t>faktoringa</w:t>
      </w:r>
      <w:r w:rsidR="00A277DE" w:rsidRPr="001B53A8">
        <w:rPr>
          <w:lang w:val="sr-Latn-BA"/>
        </w:rPr>
        <w:t xml:space="preserve"> </w:t>
      </w:r>
      <w:r w:rsidRPr="001B53A8">
        <w:rPr>
          <w:lang w:val="sr-Latn-BA"/>
        </w:rPr>
        <w:t>Društvu</w:t>
      </w:r>
      <w:r w:rsidR="00CF1DAB" w:rsidRPr="001B53A8">
        <w:rPr>
          <w:lang w:val="sr-Latn-BA"/>
        </w:rPr>
        <w:t xml:space="preserve"> </w:t>
      </w:r>
      <w:r w:rsidRPr="001B53A8">
        <w:rPr>
          <w:lang w:val="sr-Latn-BA"/>
        </w:rPr>
        <w:t>za</w:t>
      </w:r>
      <w:r w:rsidR="00CF1DAB" w:rsidRPr="001B53A8">
        <w:rPr>
          <w:lang w:val="sr-Latn-BA"/>
        </w:rPr>
        <w:t xml:space="preserve"> </w:t>
      </w:r>
      <w:r w:rsidRPr="001B53A8">
        <w:rPr>
          <w:lang w:val="sr-Latn-BA"/>
        </w:rPr>
        <w:t>faktoring</w:t>
      </w:r>
      <w:r w:rsidR="00CF1DAB" w:rsidRPr="001B53A8">
        <w:rPr>
          <w:lang w:val="sr-Latn-BA"/>
        </w:rPr>
        <w:t xml:space="preserve"> „</w:t>
      </w:r>
      <w:r w:rsidRPr="001B53A8">
        <w:rPr>
          <w:lang w:val="sr-Latn-BA"/>
        </w:rPr>
        <w:t>Faktoris</w:t>
      </w:r>
      <w:r w:rsidR="00CF1DAB" w:rsidRPr="001B53A8">
        <w:rPr>
          <w:lang w:val="sr-Latn-BA"/>
        </w:rPr>
        <w:t xml:space="preserve">“ </w:t>
      </w:r>
      <w:r w:rsidRPr="001B53A8">
        <w:rPr>
          <w:lang w:val="sr-Latn-BA"/>
        </w:rPr>
        <w:t>d</w:t>
      </w:r>
      <w:r w:rsidR="00CF1DAB" w:rsidRPr="001B53A8">
        <w:rPr>
          <w:lang w:val="sr-Latn-BA"/>
        </w:rPr>
        <w:t>.</w:t>
      </w:r>
      <w:r w:rsidRPr="001B53A8">
        <w:rPr>
          <w:lang w:val="sr-Latn-BA"/>
        </w:rPr>
        <w:t>o</w:t>
      </w:r>
      <w:r w:rsidR="00CF1DAB" w:rsidRPr="001B53A8">
        <w:rPr>
          <w:lang w:val="sr-Latn-BA"/>
        </w:rPr>
        <w:t>.</w:t>
      </w:r>
      <w:r w:rsidRPr="001B53A8">
        <w:rPr>
          <w:lang w:val="sr-Latn-BA"/>
        </w:rPr>
        <w:t>o</w:t>
      </w:r>
      <w:r w:rsidR="00CF1DAB" w:rsidRPr="001B53A8">
        <w:rPr>
          <w:lang w:val="sr-Latn-BA"/>
        </w:rPr>
        <w:t xml:space="preserve">. </w:t>
      </w:r>
      <w:r w:rsidRPr="001B53A8">
        <w:rPr>
          <w:lang w:val="sr-Latn-BA"/>
        </w:rPr>
        <w:t>Banja</w:t>
      </w:r>
      <w:r w:rsidR="00CF1DAB" w:rsidRPr="001B53A8">
        <w:rPr>
          <w:lang w:val="sr-Latn-BA"/>
        </w:rPr>
        <w:t xml:space="preserve"> </w:t>
      </w:r>
      <w:r w:rsidRPr="001B53A8">
        <w:rPr>
          <w:lang w:val="sr-Latn-BA"/>
        </w:rPr>
        <w:t>Luka</w:t>
      </w:r>
      <w:r w:rsidR="00CF1DAB" w:rsidRPr="001B53A8">
        <w:rPr>
          <w:lang w:val="sr-Latn-BA"/>
        </w:rPr>
        <w:t xml:space="preserve">. </w:t>
      </w:r>
      <w:r w:rsidRPr="001B53A8">
        <w:rPr>
          <w:lang w:val="sr-Latn-BA"/>
        </w:rPr>
        <w:t>Pored</w:t>
      </w:r>
      <w:r w:rsidR="00CF1DAB" w:rsidRPr="001B53A8">
        <w:rPr>
          <w:lang w:val="sr-Latn-BA"/>
        </w:rPr>
        <w:t xml:space="preserve"> </w:t>
      </w:r>
      <w:r w:rsidRPr="001B53A8">
        <w:rPr>
          <w:lang w:val="sr-Latn-BA"/>
        </w:rPr>
        <w:t>toga</w:t>
      </w:r>
      <w:r w:rsidR="00CF1DAB" w:rsidRPr="001B53A8">
        <w:rPr>
          <w:lang w:val="sr-Latn-BA"/>
        </w:rPr>
        <w:t xml:space="preserve">, </w:t>
      </w:r>
      <w:r w:rsidRPr="001B53A8">
        <w:rPr>
          <w:lang w:val="sr-Latn-BA"/>
        </w:rPr>
        <w:t>izdata</w:t>
      </w:r>
      <w:r w:rsidR="00CF1DAB" w:rsidRPr="001B53A8">
        <w:rPr>
          <w:lang w:val="sr-Latn-BA"/>
        </w:rPr>
        <w:t xml:space="preserve"> </w:t>
      </w:r>
      <w:r w:rsidRPr="001B53A8">
        <w:rPr>
          <w:lang w:val="sr-Latn-BA"/>
        </w:rPr>
        <w:t>je</w:t>
      </w:r>
      <w:r w:rsidR="00CF1DAB" w:rsidRPr="001B53A8">
        <w:rPr>
          <w:lang w:val="sr-Latn-BA"/>
        </w:rPr>
        <w:t xml:space="preserve"> </w:t>
      </w:r>
      <w:r w:rsidRPr="001B53A8">
        <w:rPr>
          <w:lang w:val="sr-Latn-BA"/>
        </w:rPr>
        <w:t>dozvola</w:t>
      </w:r>
      <w:r w:rsidR="00CF1DAB" w:rsidRPr="001B53A8">
        <w:rPr>
          <w:lang w:val="sr-Latn-BA"/>
        </w:rPr>
        <w:t xml:space="preserve"> </w:t>
      </w:r>
      <w:r w:rsidRPr="001B53A8">
        <w:rPr>
          <w:lang w:val="sr-Latn-BA"/>
        </w:rPr>
        <w:t>za</w:t>
      </w:r>
      <w:r w:rsidR="00CF1DAB" w:rsidRPr="001B53A8">
        <w:rPr>
          <w:lang w:val="sr-Latn-BA"/>
        </w:rPr>
        <w:t xml:space="preserve"> </w:t>
      </w:r>
      <w:r w:rsidRPr="001B53A8">
        <w:rPr>
          <w:lang w:val="sr-Latn-BA"/>
        </w:rPr>
        <w:t>obavlјanje</w:t>
      </w:r>
      <w:r w:rsidR="00CF1DAB" w:rsidRPr="001B53A8">
        <w:rPr>
          <w:lang w:val="sr-Latn-BA"/>
        </w:rPr>
        <w:t xml:space="preserve"> </w:t>
      </w:r>
      <w:r w:rsidRPr="001B53A8">
        <w:rPr>
          <w:lang w:val="sr-Latn-BA"/>
        </w:rPr>
        <w:t>funkcije</w:t>
      </w:r>
      <w:r w:rsidR="00CF1DAB" w:rsidRPr="001B53A8">
        <w:rPr>
          <w:lang w:val="sr-Latn-BA"/>
        </w:rPr>
        <w:t xml:space="preserve"> </w:t>
      </w:r>
      <w:r w:rsidRPr="001B53A8">
        <w:rPr>
          <w:lang w:val="sr-Latn-BA"/>
        </w:rPr>
        <w:t>direktora</w:t>
      </w:r>
      <w:r w:rsidR="00CF1DAB" w:rsidRPr="001B53A8">
        <w:rPr>
          <w:lang w:val="sr-Latn-BA"/>
        </w:rPr>
        <w:t xml:space="preserve"> </w:t>
      </w:r>
      <w:r w:rsidRPr="001B53A8">
        <w:rPr>
          <w:lang w:val="sr-Latn-BA"/>
        </w:rPr>
        <w:t>Društva</w:t>
      </w:r>
      <w:r w:rsidR="00CF1DAB" w:rsidRPr="001B53A8">
        <w:rPr>
          <w:lang w:val="sr-Latn-BA"/>
        </w:rPr>
        <w:t xml:space="preserve"> </w:t>
      </w:r>
      <w:r w:rsidRPr="001B53A8">
        <w:rPr>
          <w:lang w:val="sr-Latn-BA"/>
        </w:rPr>
        <w:t>i</w:t>
      </w:r>
      <w:r w:rsidR="00CF1DAB" w:rsidRPr="001B53A8">
        <w:rPr>
          <w:lang w:val="sr-Latn-BA"/>
        </w:rPr>
        <w:t xml:space="preserve"> </w:t>
      </w:r>
      <w:r w:rsidRPr="001B53A8">
        <w:rPr>
          <w:lang w:val="sr-Latn-BA"/>
        </w:rPr>
        <w:t>saglasnost</w:t>
      </w:r>
      <w:r w:rsidR="00CF1DAB" w:rsidRPr="001B53A8">
        <w:rPr>
          <w:lang w:val="sr-Latn-BA"/>
        </w:rPr>
        <w:t xml:space="preserve"> </w:t>
      </w:r>
      <w:r w:rsidRPr="001B53A8">
        <w:rPr>
          <w:lang w:val="sr-Latn-BA"/>
        </w:rPr>
        <w:t>na</w:t>
      </w:r>
      <w:r w:rsidR="00CF1DAB" w:rsidRPr="001B53A8">
        <w:rPr>
          <w:lang w:val="sr-Latn-BA"/>
        </w:rPr>
        <w:t xml:space="preserve"> </w:t>
      </w:r>
      <w:r w:rsidRPr="001B53A8">
        <w:rPr>
          <w:lang w:val="sr-Latn-BA"/>
        </w:rPr>
        <w:t>imenovanje</w:t>
      </w:r>
      <w:r w:rsidR="00CF1DAB" w:rsidRPr="001B53A8">
        <w:rPr>
          <w:lang w:val="sr-Latn-BA"/>
        </w:rPr>
        <w:t xml:space="preserve"> </w:t>
      </w:r>
      <w:r w:rsidRPr="001B53A8">
        <w:rPr>
          <w:lang w:val="sr-Latn-BA"/>
        </w:rPr>
        <w:t>tri</w:t>
      </w:r>
      <w:r w:rsidR="00CF1DAB" w:rsidRPr="001B53A8">
        <w:rPr>
          <w:lang w:val="sr-Latn-BA"/>
        </w:rPr>
        <w:t xml:space="preserve"> </w:t>
      </w:r>
      <w:r w:rsidRPr="001B53A8">
        <w:rPr>
          <w:lang w:val="sr-Latn-BA"/>
        </w:rPr>
        <w:t>člana</w:t>
      </w:r>
      <w:r w:rsidR="00CF1DAB" w:rsidRPr="001B53A8">
        <w:rPr>
          <w:lang w:val="sr-Latn-BA"/>
        </w:rPr>
        <w:t xml:space="preserve"> </w:t>
      </w:r>
      <w:r w:rsidRPr="001B53A8">
        <w:rPr>
          <w:lang w:val="sr-Latn-BA"/>
        </w:rPr>
        <w:t>upravnog</w:t>
      </w:r>
      <w:r w:rsidR="00CF1DAB" w:rsidRPr="001B53A8">
        <w:rPr>
          <w:lang w:val="sr-Latn-BA"/>
        </w:rPr>
        <w:t xml:space="preserve"> </w:t>
      </w:r>
      <w:r w:rsidRPr="001B53A8">
        <w:rPr>
          <w:lang w:val="sr-Latn-BA"/>
        </w:rPr>
        <w:t>odbora</w:t>
      </w:r>
      <w:r w:rsidR="00CF1DAB" w:rsidRPr="001B53A8">
        <w:rPr>
          <w:lang w:val="sr-Latn-BA"/>
        </w:rPr>
        <w:t xml:space="preserve"> </w:t>
      </w:r>
      <w:r w:rsidRPr="001B53A8">
        <w:rPr>
          <w:lang w:val="sr-Latn-BA"/>
        </w:rPr>
        <w:t>Društva</w:t>
      </w:r>
      <w:r w:rsidR="008A17F3" w:rsidRPr="001B53A8">
        <w:rPr>
          <w:lang w:val="sr-Latn-BA"/>
        </w:rPr>
        <w:t>.</w:t>
      </w:r>
    </w:p>
    <w:tbl>
      <w:tblPr>
        <w:tblStyle w:val="LightGrid-Accent11"/>
        <w:tblW w:w="9259" w:type="dxa"/>
        <w:jc w:val="center"/>
        <w:tblLayout w:type="fixed"/>
        <w:tblLook w:val="0420" w:firstRow="1" w:lastRow="0" w:firstColumn="0" w:lastColumn="0" w:noHBand="0" w:noVBand="1"/>
      </w:tblPr>
      <w:tblGrid>
        <w:gridCol w:w="6238"/>
        <w:gridCol w:w="1843"/>
        <w:gridCol w:w="1178"/>
      </w:tblGrid>
      <w:tr w:rsidR="008A17F3" w:rsidRPr="001B53A8" w14:paraId="484202C3" w14:textId="77777777" w:rsidTr="009B313B">
        <w:trPr>
          <w:cnfStyle w:val="100000000000" w:firstRow="1" w:lastRow="0" w:firstColumn="0" w:lastColumn="0" w:oddVBand="0" w:evenVBand="0" w:oddHBand="0" w:evenHBand="0" w:firstRowFirstColumn="0" w:firstRowLastColumn="0" w:lastRowFirstColumn="0" w:lastRowLastColumn="0"/>
          <w:trHeight w:val="299"/>
          <w:jc w:val="center"/>
        </w:trPr>
        <w:tc>
          <w:tcPr>
            <w:tcW w:w="6238" w:type="dxa"/>
            <w:vAlign w:val="center"/>
            <w:hideMark/>
          </w:tcPr>
          <w:p w14:paraId="5F2EFE39" w14:textId="542E533D" w:rsidR="008A17F3" w:rsidRPr="001B53A8" w:rsidRDefault="008A17F3" w:rsidP="009B313B">
            <w:pPr>
              <w:spacing w:after="0" w:line="240" w:lineRule="auto"/>
              <w:ind w:firstLine="0"/>
              <w:jc w:val="left"/>
              <w:rPr>
                <w:rFonts w:ascii="Times New Roman" w:eastAsia="Times New Roman" w:hAnsi="Times New Roman" w:cs="Times New Roman"/>
                <w:sz w:val="20"/>
                <w:szCs w:val="20"/>
                <w:lang w:val="sr-Latn-BA" w:eastAsia="sr-Latn-CS"/>
              </w:rPr>
            </w:pPr>
            <w:r w:rsidRPr="001B53A8">
              <w:rPr>
                <w:rFonts w:ascii="Times New Roman" w:hAnsi="Times New Roman" w:cs="Times New Roman"/>
                <w:sz w:val="20"/>
                <w:szCs w:val="20"/>
                <w:lang w:val="sr-Latn-BA"/>
              </w:rPr>
              <w:br w:type="page"/>
            </w:r>
            <w:r w:rsidR="00003F34" w:rsidRPr="001B53A8">
              <w:rPr>
                <w:rFonts w:ascii="Times New Roman" w:eastAsia="Times New Roman" w:hAnsi="Times New Roman" w:cs="Times New Roman"/>
                <w:sz w:val="20"/>
                <w:szCs w:val="20"/>
                <w:lang w:val="sr-Latn-BA" w:eastAsia="sr-Latn-CS"/>
              </w:rPr>
              <w:t>Naziv</w:t>
            </w:r>
          </w:p>
        </w:tc>
        <w:tc>
          <w:tcPr>
            <w:tcW w:w="1843" w:type="dxa"/>
            <w:vAlign w:val="center"/>
            <w:hideMark/>
          </w:tcPr>
          <w:p w14:paraId="28DBC080" w14:textId="39A55469" w:rsidR="008A17F3" w:rsidRPr="001B53A8" w:rsidRDefault="00003F34" w:rsidP="009B313B">
            <w:pPr>
              <w:spacing w:after="0" w:line="240" w:lineRule="auto"/>
              <w:ind w:firstLine="0"/>
              <w:jc w:val="center"/>
              <w:rPr>
                <w:rFonts w:ascii="Times New Roman" w:eastAsia="Times New Roman" w:hAnsi="Times New Roman" w:cs="Times New Roman"/>
                <w:b w:val="0"/>
                <w:bCs w:val="0"/>
                <w:sz w:val="20"/>
                <w:szCs w:val="20"/>
                <w:lang w:val="sr-Latn-BA" w:eastAsia="sr-Latn-CS"/>
              </w:rPr>
            </w:pPr>
            <w:r w:rsidRPr="001B53A8">
              <w:rPr>
                <w:rFonts w:ascii="Times New Roman" w:eastAsia="Times New Roman" w:hAnsi="Times New Roman" w:cs="Times New Roman"/>
                <w:sz w:val="20"/>
                <w:szCs w:val="20"/>
                <w:lang w:val="sr-Latn-BA" w:eastAsia="sr-Latn-CS"/>
              </w:rPr>
              <w:t>Broj</w:t>
            </w:r>
            <w:r w:rsidR="008A17F3"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dozvole</w:t>
            </w:r>
          </w:p>
        </w:tc>
        <w:tc>
          <w:tcPr>
            <w:tcW w:w="1178" w:type="dxa"/>
            <w:vAlign w:val="center"/>
            <w:hideMark/>
          </w:tcPr>
          <w:p w14:paraId="1174C8A4" w14:textId="2B680E33" w:rsidR="008A17F3" w:rsidRPr="001B53A8" w:rsidRDefault="00003F34" w:rsidP="009B313B">
            <w:pPr>
              <w:spacing w:after="0" w:line="240" w:lineRule="auto"/>
              <w:ind w:firstLine="0"/>
              <w:jc w:val="center"/>
              <w:rPr>
                <w:rFonts w:ascii="Times New Roman" w:eastAsia="Times New Roman" w:hAnsi="Times New Roman" w:cs="Times New Roman"/>
                <w:b w:val="0"/>
                <w:bCs w:val="0"/>
                <w:sz w:val="20"/>
                <w:szCs w:val="20"/>
                <w:lang w:val="sr-Latn-BA" w:eastAsia="sr-Latn-CS"/>
              </w:rPr>
            </w:pPr>
            <w:r w:rsidRPr="001B53A8">
              <w:rPr>
                <w:rFonts w:ascii="Times New Roman" w:eastAsia="Times New Roman" w:hAnsi="Times New Roman" w:cs="Times New Roman"/>
                <w:sz w:val="20"/>
                <w:szCs w:val="20"/>
                <w:lang w:val="sr-Latn-BA" w:eastAsia="sr-Latn-CS"/>
              </w:rPr>
              <w:t>Datum</w:t>
            </w:r>
            <w:r w:rsidR="008A17F3" w:rsidRPr="001B53A8">
              <w:rPr>
                <w:rFonts w:ascii="Times New Roman" w:eastAsia="Times New Roman" w:hAnsi="Times New Roman" w:cs="Times New Roman"/>
                <w:sz w:val="20"/>
                <w:szCs w:val="20"/>
                <w:lang w:val="sr-Latn-BA" w:eastAsia="sr-Latn-CS"/>
              </w:rPr>
              <w:t xml:space="preserve"> </w:t>
            </w:r>
            <w:r w:rsidRPr="001B53A8">
              <w:rPr>
                <w:rFonts w:ascii="Times New Roman" w:eastAsia="Times New Roman" w:hAnsi="Times New Roman" w:cs="Times New Roman"/>
                <w:sz w:val="20"/>
                <w:szCs w:val="20"/>
                <w:lang w:val="sr-Latn-BA" w:eastAsia="sr-Latn-CS"/>
              </w:rPr>
              <w:t>izdavanja</w:t>
            </w:r>
          </w:p>
        </w:tc>
      </w:tr>
      <w:tr w:rsidR="00397706" w:rsidRPr="001B53A8" w14:paraId="2D545D2D" w14:textId="77777777" w:rsidTr="005E1D59">
        <w:trPr>
          <w:cnfStyle w:val="000000100000" w:firstRow="0" w:lastRow="0" w:firstColumn="0" w:lastColumn="0" w:oddVBand="0" w:evenVBand="0" w:oddHBand="1" w:evenHBand="0" w:firstRowFirstColumn="0" w:firstRowLastColumn="0" w:lastRowFirstColumn="0" w:lastRowLastColumn="0"/>
          <w:trHeight w:val="237"/>
          <w:jc w:val="center"/>
        </w:trPr>
        <w:tc>
          <w:tcPr>
            <w:tcW w:w="6238" w:type="dxa"/>
            <w:hideMark/>
          </w:tcPr>
          <w:p w14:paraId="2770BBBF" w14:textId="1E139219" w:rsidR="00397706" w:rsidRPr="001B53A8" w:rsidRDefault="00003F34" w:rsidP="00397706">
            <w:pPr>
              <w:spacing w:after="0" w:line="240" w:lineRule="auto"/>
              <w:ind w:firstLine="0"/>
              <w:rPr>
                <w:rFonts w:ascii="Times New Roman" w:eastAsia="Times New Roman" w:hAnsi="Times New Roman" w:cs="Times New Roman"/>
                <w:sz w:val="20"/>
                <w:szCs w:val="20"/>
                <w:lang w:val="sr-Latn-BA" w:eastAsia="sr-Latn-CS"/>
              </w:rPr>
            </w:pPr>
            <w:r w:rsidRPr="001B53A8">
              <w:rPr>
                <w:rFonts w:ascii="Times New Roman" w:hAnsi="Times New Roman" w:cs="Times New Roman"/>
                <w:sz w:val="22"/>
                <w:lang w:val="sr-Latn-BA"/>
              </w:rPr>
              <w:t>Investiciono</w:t>
            </w:r>
            <w:r w:rsidR="00397706" w:rsidRPr="001B53A8">
              <w:rPr>
                <w:rFonts w:ascii="Times New Roman" w:hAnsi="Times New Roman" w:cs="Times New Roman"/>
                <w:sz w:val="22"/>
                <w:lang w:val="sr-Latn-BA"/>
              </w:rPr>
              <w:t>-</w:t>
            </w:r>
            <w:r w:rsidRPr="001B53A8">
              <w:rPr>
                <w:rFonts w:ascii="Times New Roman" w:hAnsi="Times New Roman" w:cs="Times New Roman"/>
                <w:sz w:val="22"/>
                <w:lang w:val="sr-Latn-BA"/>
              </w:rPr>
              <w:t>razvojna</w:t>
            </w:r>
            <w:r w:rsidR="00397706" w:rsidRPr="001B53A8">
              <w:rPr>
                <w:rFonts w:ascii="Times New Roman" w:hAnsi="Times New Roman" w:cs="Times New Roman"/>
                <w:sz w:val="22"/>
                <w:lang w:val="sr-Latn-BA"/>
              </w:rPr>
              <w:t xml:space="preserve"> </w:t>
            </w:r>
            <w:r w:rsidRPr="001B53A8">
              <w:rPr>
                <w:rFonts w:ascii="Times New Roman" w:hAnsi="Times New Roman" w:cs="Times New Roman"/>
                <w:sz w:val="22"/>
                <w:lang w:val="sr-Latn-BA"/>
              </w:rPr>
              <w:t>banka</w:t>
            </w:r>
            <w:r w:rsidR="00397706" w:rsidRPr="001B53A8">
              <w:rPr>
                <w:rFonts w:ascii="Times New Roman" w:hAnsi="Times New Roman" w:cs="Times New Roman"/>
                <w:sz w:val="22"/>
                <w:lang w:val="sr-Latn-BA"/>
              </w:rPr>
              <w:t xml:space="preserve"> </w:t>
            </w:r>
            <w:r w:rsidRPr="001B53A8">
              <w:rPr>
                <w:rFonts w:ascii="Times New Roman" w:hAnsi="Times New Roman" w:cs="Times New Roman"/>
                <w:sz w:val="22"/>
                <w:lang w:val="sr-Latn-BA"/>
              </w:rPr>
              <w:t>Republike</w:t>
            </w:r>
            <w:r w:rsidR="00397706" w:rsidRPr="001B53A8">
              <w:rPr>
                <w:rFonts w:ascii="Times New Roman" w:hAnsi="Times New Roman" w:cs="Times New Roman"/>
                <w:sz w:val="22"/>
                <w:lang w:val="sr-Latn-BA"/>
              </w:rPr>
              <w:t xml:space="preserve"> </w:t>
            </w:r>
            <w:r w:rsidRPr="001B53A8">
              <w:rPr>
                <w:rFonts w:ascii="Times New Roman" w:hAnsi="Times New Roman" w:cs="Times New Roman"/>
                <w:sz w:val="22"/>
                <w:lang w:val="sr-Latn-BA"/>
              </w:rPr>
              <w:t>Srpske</w:t>
            </w:r>
            <w:r w:rsidR="00397706" w:rsidRPr="001B53A8">
              <w:rPr>
                <w:rFonts w:ascii="Times New Roman" w:hAnsi="Times New Roman" w:cs="Times New Roman"/>
                <w:sz w:val="22"/>
                <w:lang w:val="sr-Latn-BA"/>
              </w:rPr>
              <w:t xml:space="preserve"> </w:t>
            </w:r>
            <w:r w:rsidRPr="001B53A8">
              <w:rPr>
                <w:rFonts w:ascii="Times New Roman" w:hAnsi="Times New Roman" w:cs="Times New Roman"/>
                <w:sz w:val="22"/>
                <w:lang w:val="sr-Latn-BA"/>
              </w:rPr>
              <w:t>a</w:t>
            </w:r>
            <w:r w:rsidR="00397706" w:rsidRPr="001B53A8">
              <w:rPr>
                <w:rFonts w:ascii="Times New Roman" w:hAnsi="Times New Roman" w:cs="Times New Roman"/>
                <w:sz w:val="22"/>
                <w:lang w:val="sr-Latn-BA"/>
              </w:rPr>
              <w:t>.</w:t>
            </w:r>
            <w:r w:rsidRPr="001B53A8">
              <w:rPr>
                <w:rFonts w:ascii="Times New Roman" w:hAnsi="Times New Roman" w:cs="Times New Roman"/>
                <w:sz w:val="22"/>
                <w:lang w:val="sr-Latn-BA"/>
              </w:rPr>
              <w:t>d</w:t>
            </w:r>
            <w:r w:rsidR="00397706" w:rsidRPr="001B53A8">
              <w:rPr>
                <w:rFonts w:ascii="Times New Roman" w:hAnsi="Times New Roman" w:cs="Times New Roman"/>
                <w:sz w:val="22"/>
                <w:lang w:val="sr-Latn-BA"/>
              </w:rPr>
              <w:t xml:space="preserve">. </w:t>
            </w:r>
            <w:r w:rsidRPr="001B53A8">
              <w:rPr>
                <w:rFonts w:ascii="Times New Roman" w:hAnsi="Times New Roman" w:cs="Times New Roman"/>
                <w:sz w:val="22"/>
                <w:lang w:val="sr-Latn-BA"/>
              </w:rPr>
              <w:t>Banja</w:t>
            </w:r>
            <w:r w:rsidR="00397706" w:rsidRPr="001B53A8">
              <w:rPr>
                <w:rFonts w:ascii="Times New Roman" w:hAnsi="Times New Roman" w:cs="Times New Roman"/>
                <w:sz w:val="22"/>
                <w:lang w:val="sr-Latn-BA"/>
              </w:rPr>
              <w:t xml:space="preserve"> </w:t>
            </w:r>
            <w:r w:rsidRPr="001B53A8">
              <w:rPr>
                <w:rFonts w:ascii="Times New Roman" w:hAnsi="Times New Roman" w:cs="Times New Roman"/>
                <w:sz w:val="22"/>
                <w:lang w:val="sr-Latn-BA"/>
              </w:rPr>
              <w:t>Luka</w:t>
            </w:r>
          </w:p>
        </w:tc>
        <w:tc>
          <w:tcPr>
            <w:tcW w:w="1843" w:type="dxa"/>
            <w:hideMark/>
          </w:tcPr>
          <w:p w14:paraId="2ADF5E1D" w14:textId="5C3B6C8B" w:rsidR="00397706" w:rsidRPr="001B53A8" w:rsidRDefault="00397706" w:rsidP="00397706">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01-</w:t>
            </w:r>
            <w:r w:rsidR="00003F34" w:rsidRPr="001B53A8">
              <w:rPr>
                <w:rFonts w:ascii="Times New Roman" w:eastAsia="Times New Roman" w:hAnsi="Times New Roman" w:cs="Times New Roman"/>
                <w:sz w:val="20"/>
                <w:szCs w:val="20"/>
                <w:lang w:val="sr-Latn-BA" w:eastAsia="sr-Latn-CS"/>
              </w:rPr>
              <w:t>UP</w:t>
            </w:r>
            <w:r w:rsidRPr="001B53A8">
              <w:rPr>
                <w:rFonts w:ascii="Times New Roman" w:eastAsia="Times New Roman" w:hAnsi="Times New Roman" w:cs="Times New Roman"/>
                <w:sz w:val="20"/>
                <w:szCs w:val="20"/>
                <w:lang w:val="sr-Latn-BA" w:eastAsia="sr-Latn-CS"/>
              </w:rPr>
              <w:t>-51-458-5/21</w:t>
            </w:r>
          </w:p>
        </w:tc>
        <w:tc>
          <w:tcPr>
            <w:tcW w:w="1178" w:type="dxa"/>
            <w:hideMark/>
          </w:tcPr>
          <w:p w14:paraId="562A3C33" w14:textId="0E951B79" w:rsidR="00397706" w:rsidRPr="001B53A8" w:rsidRDefault="00397706" w:rsidP="00397706">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06.09.2021.</w:t>
            </w:r>
          </w:p>
        </w:tc>
      </w:tr>
      <w:tr w:rsidR="00397706" w:rsidRPr="001B53A8" w14:paraId="1F8EC458" w14:textId="77777777" w:rsidTr="005E1D59">
        <w:trPr>
          <w:cnfStyle w:val="000000010000" w:firstRow="0" w:lastRow="0" w:firstColumn="0" w:lastColumn="0" w:oddVBand="0" w:evenVBand="0" w:oddHBand="0" w:evenHBand="1" w:firstRowFirstColumn="0" w:firstRowLastColumn="0" w:lastRowFirstColumn="0" w:lastRowLastColumn="0"/>
          <w:trHeight w:val="237"/>
          <w:jc w:val="center"/>
        </w:trPr>
        <w:tc>
          <w:tcPr>
            <w:tcW w:w="6238" w:type="dxa"/>
          </w:tcPr>
          <w:p w14:paraId="256CEFE2" w14:textId="048AF588" w:rsidR="00397706" w:rsidRPr="001B53A8" w:rsidRDefault="00003F34" w:rsidP="00397706">
            <w:pPr>
              <w:spacing w:after="0" w:line="240" w:lineRule="auto"/>
              <w:ind w:firstLine="0"/>
              <w:rPr>
                <w:rFonts w:ascii="Times New Roman" w:hAnsi="Times New Roman" w:cs="Times New Roman"/>
                <w:sz w:val="22"/>
                <w:lang w:val="sr-Latn-BA"/>
              </w:rPr>
            </w:pPr>
            <w:r w:rsidRPr="001B53A8">
              <w:rPr>
                <w:rFonts w:ascii="Times New Roman" w:hAnsi="Times New Roman" w:cs="Times New Roman"/>
                <w:sz w:val="22"/>
                <w:lang w:val="sr-Latn-BA"/>
              </w:rPr>
              <w:t>BIG</w:t>
            </w:r>
            <w:r w:rsidR="00397706" w:rsidRPr="001B53A8">
              <w:rPr>
                <w:rFonts w:ascii="Times New Roman" w:hAnsi="Times New Roman" w:cs="Times New Roman"/>
                <w:sz w:val="22"/>
                <w:lang w:val="sr-Latn-BA"/>
              </w:rPr>
              <w:t xml:space="preserve"> </w:t>
            </w:r>
            <w:r w:rsidRPr="001B53A8">
              <w:rPr>
                <w:rFonts w:ascii="Times New Roman" w:hAnsi="Times New Roman" w:cs="Times New Roman"/>
                <w:sz w:val="22"/>
                <w:lang w:val="sr-Latn-BA"/>
              </w:rPr>
              <w:t>Faktor</w:t>
            </w:r>
            <w:r w:rsidR="00397706" w:rsidRPr="001B53A8">
              <w:rPr>
                <w:rFonts w:ascii="Times New Roman" w:hAnsi="Times New Roman" w:cs="Times New Roman"/>
                <w:sz w:val="22"/>
                <w:lang w:val="sr-Latn-BA"/>
              </w:rPr>
              <w:t xml:space="preserve"> </w:t>
            </w:r>
            <w:r w:rsidRPr="001B53A8">
              <w:rPr>
                <w:rFonts w:ascii="Times New Roman" w:hAnsi="Times New Roman" w:cs="Times New Roman"/>
                <w:sz w:val="22"/>
                <w:lang w:val="sr-Latn-BA"/>
              </w:rPr>
              <w:t>a</w:t>
            </w:r>
            <w:r w:rsidR="00397706" w:rsidRPr="001B53A8">
              <w:rPr>
                <w:rFonts w:ascii="Times New Roman" w:hAnsi="Times New Roman" w:cs="Times New Roman"/>
                <w:sz w:val="22"/>
                <w:lang w:val="sr-Latn-BA"/>
              </w:rPr>
              <w:t>.</w:t>
            </w:r>
            <w:r w:rsidRPr="001B53A8">
              <w:rPr>
                <w:rFonts w:ascii="Times New Roman" w:hAnsi="Times New Roman" w:cs="Times New Roman"/>
                <w:sz w:val="22"/>
                <w:lang w:val="sr-Latn-BA"/>
              </w:rPr>
              <w:t>d</w:t>
            </w:r>
            <w:r w:rsidR="00397706" w:rsidRPr="001B53A8">
              <w:rPr>
                <w:rFonts w:ascii="Times New Roman" w:hAnsi="Times New Roman" w:cs="Times New Roman"/>
                <w:sz w:val="22"/>
                <w:lang w:val="sr-Latn-BA"/>
              </w:rPr>
              <w:t xml:space="preserve">. </w:t>
            </w:r>
            <w:r w:rsidRPr="001B53A8">
              <w:rPr>
                <w:rFonts w:ascii="Times New Roman" w:hAnsi="Times New Roman" w:cs="Times New Roman"/>
                <w:sz w:val="22"/>
                <w:lang w:val="sr-Latn-BA"/>
              </w:rPr>
              <w:t>Banja</w:t>
            </w:r>
            <w:r w:rsidR="00397706" w:rsidRPr="001B53A8">
              <w:rPr>
                <w:rFonts w:ascii="Times New Roman" w:hAnsi="Times New Roman" w:cs="Times New Roman"/>
                <w:sz w:val="22"/>
                <w:lang w:val="sr-Latn-BA"/>
              </w:rPr>
              <w:t xml:space="preserve"> </w:t>
            </w:r>
            <w:r w:rsidRPr="001B53A8">
              <w:rPr>
                <w:rFonts w:ascii="Times New Roman" w:hAnsi="Times New Roman" w:cs="Times New Roman"/>
                <w:sz w:val="22"/>
                <w:lang w:val="sr-Latn-BA"/>
              </w:rPr>
              <w:t>Luka</w:t>
            </w:r>
          </w:p>
        </w:tc>
        <w:tc>
          <w:tcPr>
            <w:tcW w:w="1843" w:type="dxa"/>
          </w:tcPr>
          <w:p w14:paraId="5F3B7DC0" w14:textId="54346F6A" w:rsidR="00397706" w:rsidRPr="001B53A8" w:rsidRDefault="00397706" w:rsidP="00397706">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hAnsi="Times New Roman" w:cs="Times New Roman"/>
                <w:sz w:val="20"/>
                <w:szCs w:val="20"/>
                <w:lang w:val="sr-Latn-BA"/>
              </w:rPr>
              <w:t>01-</w:t>
            </w:r>
            <w:r w:rsidR="00003F34" w:rsidRPr="001B53A8">
              <w:rPr>
                <w:rFonts w:ascii="Times New Roman" w:hAnsi="Times New Roman" w:cs="Times New Roman"/>
                <w:sz w:val="20"/>
                <w:szCs w:val="20"/>
                <w:lang w:val="sr-Latn-BA"/>
              </w:rPr>
              <w:t>UP</w:t>
            </w:r>
            <w:r w:rsidRPr="001B53A8">
              <w:rPr>
                <w:rFonts w:ascii="Times New Roman" w:hAnsi="Times New Roman" w:cs="Times New Roman"/>
                <w:sz w:val="20"/>
                <w:szCs w:val="20"/>
                <w:lang w:val="sr-Latn-BA"/>
              </w:rPr>
              <w:t>-52-247-1/22</w:t>
            </w:r>
          </w:p>
        </w:tc>
        <w:tc>
          <w:tcPr>
            <w:tcW w:w="1178" w:type="dxa"/>
          </w:tcPr>
          <w:p w14:paraId="085427FD" w14:textId="11B4620A" w:rsidR="00397706" w:rsidRPr="001B53A8" w:rsidRDefault="00397706" w:rsidP="00397706">
            <w:pPr>
              <w:spacing w:after="0" w:line="240" w:lineRule="auto"/>
              <w:ind w:firstLine="0"/>
              <w:jc w:val="center"/>
              <w:rPr>
                <w:rFonts w:ascii="Times New Roman" w:eastAsia="Times New Roman" w:hAnsi="Times New Roman" w:cs="Times New Roman"/>
                <w:sz w:val="20"/>
                <w:szCs w:val="20"/>
                <w:lang w:val="sr-Latn-BA" w:eastAsia="sr-Latn-CS"/>
              </w:rPr>
            </w:pPr>
            <w:r w:rsidRPr="001B53A8">
              <w:rPr>
                <w:rFonts w:ascii="Times New Roman" w:eastAsia="Times New Roman" w:hAnsi="Times New Roman" w:cs="Times New Roman"/>
                <w:sz w:val="20"/>
                <w:szCs w:val="20"/>
                <w:lang w:val="sr-Latn-BA" w:eastAsia="sr-Latn-CS"/>
              </w:rPr>
              <w:t>23.05.2022.</w:t>
            </w:r>
          </w:p>
        </w:tc>
      </w:tr>
      <w:tr w:rsidR="00CF1DAB" w:rsidRPr="001B53A8" w14:paraId="44E4D1C3" w14:textId="77777777" w:rsidTr="005E1D59">
        <w:trPr>
          <w:cnfStyle w:val="000000100000" w:firstRow="0" w:lastRow="0" w:firstColumn="0" w:lastColumn="0" w:oddVBand="0" w:evenVBand="0" w:oddHBand="1" w:evenHBand="0" w:firstRowFirstColumn="0" w:firstRowLastColumn="0" w:lastRowFirstColumn="0" w:lastRowLastColumn="0"/>
          <w:trHeight w:val="237"/>
          <w:jc w:val="center"/>
        </w:trPr>
        <w:tc>
          <w:tcPr>
            <w:tcW w:w="6238" w:type="dxa"/>
          </w:tcPr>
          <w:p w14:paraId="67670651" w14:textId="54CF921F" w:rsidR="00CF1DAB" w:rsidRPr="001B53A8" w:rsidRDefault="00003F34" w:rsidP="00CF1DAB">
            <w:pPr>
              <w:spacing w:after="0" w:line="240" w:lineRule="auto"/>
              <w:ind w:firstLine="0"/>
              <w:rPr>
                <w:sz w:val="22"/>
                <w:lang w:val="sr-Latn-BA"/>
              </w:rPr>
            </w:pPr>
            <w:r w:rsidRPr="001B53A8">
              <w:rPr>
                <w:rFonts w:ascii="Times New Roman" w:hAnsi="Times New Roman"/>
                <w:sz w:val="22"/>
                <w:lang w:val="sr-Latn-BA"/>
              </w:rPr>
              <w:t>Faktoris</w:t>
            </w:r>
            <w:r w:rsidR="00CF1DAB" w:rsidRPr="001B53A8">
              <w:rPr>
                <w:rFonts w:ascii="Times New Roman" w:hAnsi="Times New Roman"/>
                <w:sz w:val="22"/>
                <w:lang w:val="sr-Latn-BA"/>
              </w:rPr>
              <w:t xml:space="preserve"> </w:t>
            </w:r>
            <w:r w:rsidRPr="001B53A8">
              <w:rPr>
                <w:rFonts w:ascii="Times New Roman" w:hAnsi="Times New Roman"/>
                <w:sz w:val="22"/>
                <w:lang w:val="sr-Latn-BA"/>
              </w:rPr>
              <w:t>d</w:t>
            </w:r>
            <w:r w:rsidR="00CF1DAB" w:rsidRPr="001B53A8">
              <w:rPr>
                <w:rFonts w:ascii="Times New Roman" w:hAnsi="Times New Roman"/>
                <w:sz w:val="22"/>
                <w:lang w:val="sr-Latn-BA"/>
              </w:rPr>
              <w:t>.</w:t>
            </w:r>
            <w:r w:rsidRPr="001B53A8">
              <w:rPr>
                <w:rFonts w:ascii="Times New Roman" w:hAnsi="Times New Roman"/>
                <w:sz w:val="22"/>
                <w:lang w:val="sr-Latn-BA"/>
              </w:rPr>
              <w:t>o</w:t>
            </w:r>
            <w:r w:rsidR="00CF1DAB" w:rsidRPr="001B53A8">
              <w:rPr>
                <w:rFonts w:ascii="Times New Roman" w:hAnsi="Times New Roman"/>
                <w:sz w:val="22"/>
                <w:lang w:val="sr-Latn-BA"/>
              </w:rPr>
              <w:t>.</w:t>
            </w:r>
            <w:r w:rsidRPr="001B53A8">
              <w:rPr>
                <w:rFonts w:ascii="Times New Roman" w:hAnsi="Times New Roman"/>
                <w:sz w:val="22"/>
                <w:lang w:val="sr-Latn-BA"/>
              </w:rPr>
              <w:t>o</w:t>
            </w:r>
            <w:r w:rsidR="00CF1DAB" w:rsidRPr="001B53A8">
              <w:rPr>
                <w:rFonts w:ascii="Times New Roman" w:hAnsi="Times New Roman"/>
                <w:sz w:val="22"/>
                <w:lang w:val="sr-Latn-BA"/>
              </w:rPr>
              <w:t xml:space="preserve">. </w:t>
            </w:r>
            <w:r w:rsidRPr="001B53A8">
              <w:rPr>
                <w:rFonts w:ascii="Times New Roman" w:hAnsi="Times New Roman"/>
                <w:sz w:val="22"/>
                <w:lang w:val="sr-Latn-BA"/>
              </w:rPr>
              <w:t>Banja</w:t>
            </w:r>
            <w:r w:rsidR="00CF1DAB" w:rsidRPr="001B53A8">
              <w:rPr>
                <w:rFonts w:ascii="Times New Roman" w:hAnsi="Times New Roman"/>
                <w:sz w:val="22"/>
                <w:lang w:val="sr-Latn-BA"/>
              </w:rPr>
              <w:t xml:space="preserve"> </w:t>
            </w:r>
            <w:r w:rsidRPr="001B53A8">
              <w:rPr>
                <w:rFonts w:ascii="Times New Roman" w:hAnsi="Times New Roman"/>
                <w:sz w:val="22"/>
                <w:lang w:val="sr-Latn-BA"/>
              </w:rPr>
              <w:t>Luka</w:t>
            </w:r>
          </w:p>
        </w:tc>
        <w:tc>
          <w:tcPr>
            <w:tcW w:w="1843" w:type="dxa"/>
          </w:tcPr>
          <w:p w14:paraId="766A2F15" w14:textId="5B2C2B0A" w:rsidR="00CF1DAB" w:rsidRPr="001B53A8" w:rsidRDefault="00CF1DAB" w:rsidP="00CF1DAB">
            <w:pPr>
              <w:spacing w:after="0" w:line="240" w:lineRule="auto"/>
              <w:ind w:firstLine="0"/>
              <w:jc w:val="center"/>
              <w:rPr>
                <w:sz w:val="20"/>
                <w:szCs w:val="20"/>
                <w:lang w:val="sr-Latn-BA"/>
              </w:rPr>
            </w:pPr>
            <w:r w:rsidRPr="001B53A8">
              <w:rPr>
                <w:rFonts w:ascii="Times New Roman" w:hAnsi="Times New Roman" w:cs="Times New Roman"/>
                <w:sz w:val="20"/>
                <w:szCs w:val="20"/>
                <w:lang w:val="sr-Latn-BA"/>
              </w:rPr>
              <w:t>01-</w:t>
            </w:r>
            <w:r w:rsidR="00003F34" w:rsidRPr="001B53A8">
              <w:rPr>
                <w:rFonts w:ascii="Times New Roman" w:hAnsi="Times New Roman" w:cs="Times New Roman"/>
                <w:sz w:val="20"/>
                <w:szCs w:val="20"/>
                <w:lang w:val="sr-Latn-BA"/>
              </w:rPr>
              <w:t>UP</w:t>
            </w:r>
            <w:r w:rsidRPr="001B53A8">
              <w:rPr>
                <w:rFonts w:ascii="Times New Roman" w:hAnsi="Times New Roman" w:cs="Times New Roman"/>
                <w:sz w:val="20"/>
                <w:szCs w:val="20"/>
                <w:lang w:val="sr-Latn-BA"/>
              </w:rPr>
              <w:t>-52-227-2/23</w:t>
            </w:r>
          </w:p>
        </w:tc>
        <w:tc>
          <w:tcPr>
            <w:tcW w:w="1178" w:type="dxa"/>
          </w:tcPr>
          <w:p w14:paraId="629D3AC7" w14:textId="33D6484E" w:rsidR="00CF1DAB" w:rsidRPr="001B53A8" w:rsidRDefault="00CF1DAB" w:rsidP="00CF1DAB">
            <w:pPr>
              <w:spacing w:after="0" w:line="240" w:lineRule="auto"/>
              <w:ind w:firstLine="0"/>
              <w:jc w:val="center"/>
              <w:rPr>
                <w:rFonts w:eastAsia="Times New Roman"/>
                <w:sz w:val="20"/>
                <w:szCs w:val="20"/>
                <w:lang w:val="sr-Latn-BA" w:eastAsia="sr-Latn-CS"/>
              </w:rPr>
            </w:pPr>
            <w:r w:rsidRPr="001B53A8">
              <w:rPr>
                <w:rFonts w:ascii="Times New Roman" w:eastAsia="Times New Roman" w:hAnsi="Times New Roman" w:cs="Times New Roman"/>
                <w:sz w:val="20"/>
                <w:szCs w:val="20"/>
                <w:lang w:val="sr-Latn-BA" w:eastAsia="sr-Latn-CS"/>
              </w:rPr>
              <w:t xml:space="preserve">24.04.2023. </w:t>
            </w:r>
          </w:p>
        </w:tc>
      </w:tr>
    </w:tbl>
    <w:p w14:paraId="77C8962C" w14:textId="01779394" w:rsidR="008A17F3" w:rsidRPr="001B53A8" w:rsidRDefault="00003F34" w:rsidP="008A17F3">
      <w:pPr>
        <w:pStyle w:val="Caption"/>
        <w:tabs>
          <w:tab w:val="left" w:pos="1276"/>
        </w:tabs>
        <w:spacing w:after="0"/>
        <w:ind w:left="1276" w:hanging="1276"/>
        <w:jc w:val="both"/>
        <w:rPr>
          <w:rFonts w:ascii="Times New Roman" w:hAnsi="Times New Roman"/>
          <w:b w:val="0"/>
          <w:noProof/>
          <w:sz w:val="24"/>
          <w:szCs w:val="24"/>
          <w:lang w:val="sr-Latn-BA"/>
        </w:rPr>
      </w:pPr>
      <w:r w:rsidRPr="001B53A8">
        <w:rPr>
          <w:rFonts w:ascii="Times New Roman" w:hAnsi="Times New Roman"/>
          <w:sz w:val="24"/>
          <w:lang w:val="sr-Latn-BA"/>
        </w:rPr>
        <w:t>Tabela</w:t>
      </w:r>
      <w:r w:rsidR="008A17F3" w:rsidRPr="001B53A8">
        <w:rPr>
          <w:rFonts w:ascii="Times New Roman" w:hAnsi="Times New Roman"/>
          <w:sz w:val="24"/>
          <w:lang w:val="sr-Latn-BA"/>
        </w:rPr>
        <w:t xml:space="preserve"> </w:t>
      </w:r>
      <w:r w:rsidR="008A17F3" w:rsidRPr="001B53A8">
        <w:rPr>
          <w:rFonts w:ascii="Times New Roman" w:hAnsi="Times New Roman"/>
          <w:sz w:val="24"/>
          <w:lang w:val="sr-Latn-BA"/>
        </w:rPr>
        <w:fldChar w:fldCharType="begin"/>
      </w:r>
      <w:r w:rsidR="008A17F3" w:rsidRPr="001B53A8">
        <w:rPr>
          <w:rFonts w:ascii="Times New Roman" w:hAnsi="Times New Roman"/>
          <w:sz w:val="24"/>
          <w:lang w:val="sr-Latn-BA"/>
        </w:rPr>
        <w:instrText xml:space="preserve"> SEQ Табела \* ARABIC </w:instrText>
      </w:r>
      <w:r w:rsidR="008A17F3" w:rsidRPr="001B53A8">
        <w:rPr>
          <w:rFonts w:ascii="Times New Roman" w:hAnsi="Times New Roman"/>
          <w:sz w:val="24"/>
          <w:lang w:val="sr-Latn-BA"/>
        </w:rPr>
        <w:fldChar w:fldCharType="separate"/>
      </w:r>
      <w:r w:rsidR="00E00890" w:rsidRPr="001B53A8">
        <w:rPr>
          <w:rFonts w:ascii="Times New Roman" w:hAnsi="Times New Roman"/>
          <w:noProof/>
          <w:sz w:val="24"/>
          <w:lang w:val="sr-Latn-BA"/>
        </w:rPr>
        <w:t>14</w:t>
      </w:r>
      <w:r w:rsidR="008A17F3" w:rsidRPr="001B53A8">
        <w:rPr>
          <w:rFonts w:ascii="Times New Roman" w:hAnsi="Times New Roman"/>
          <w:sz w:val="24"/>
          <w:lang w:val="sr-Latn-BA"/>
        </w:rPr>
        <w:fldChar w:fldCharType="end"/>
      </w:r>
      <w:r w:rsidR="008A17F3" w:rsidRPr="001B53A8">
        <w:rPr>
          <w:rFonts w:ascii="Times New Roman" w:hAnsi="Times New Roman"/>
          <w:sz w:val="24"/>
          <w:lang w:val="sr-Latn-BA"/>
        </w:rPr>
        <w:t>.</w:t>
      </w:r>
      <w:r w:rsidR="008A17F3" w:rsidRPr="001B53A8">
        <w:rPr>
          <w:rFonts w:ascii="Times New Roman" w:hAnsi="Times New Roman"/>
          <w:sz w:val="36"/>
          <w:szCs w:val="24"/>
          <w:lang w:val="sr-Latn-BA"/>
        </w:rPr>
        <w:tab/>
      </w:r>
      <w:r w:rsidRPr="001B53A8">
        <w:rPr>
          <w:rFonts w:ascii="Times New Roman" w:hAnsi="Times New Roman"/>
          <w:b w:val="0"/>
          <w:noProof/>
          <w:sz w:val="24"/>
          <w:szCs w:val="24"/>
          <w:lang w:val="sr-Latn-BA"/>
        </w:rPr>
        <w:t>Pregled</w:t>
      </w:r>
      <w:r w:rsidR="008A17F3"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društava</w:t>
      </w:r>
      <w:r w:rsidR="008A17F3"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za</w:t>
      </w:r>
      <w:r w:rsidR="008A17F3"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faktoring</w:t>
      </w:r>
      <w:r w:rsidR="008A17F3"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koji</w:t>
      </w:r>
      <w:r w:rsidR="008A17F3"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imaju</w:t>
      </w:r>
      <w:r w:rsidR="008A17F3"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dozvolu</w:t>
      </w:r>
      <w:r w:rsidR="008A17F3"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na</w:t>
      </w:r>
      <w:r w:rsidR="008A17F3"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dan</w:t>
      </w:r>
      <w:r w:rsidR="008A17F3" w:rsidRPr="001B53A8">
        <w:rPr>
          <w:rFonts w:ascii="Times New Roman" w:hAnsi="Times New Roman"/>
          <w:b w:val="0"/>
          <w:noProof/>
          <w:sz w:val="24"/>
          <w:szCs w:val="24"/>
          <w:lang w:val="sr-Latn-BA"/>
        </w:rPr>
        <w:t xml:space="preserve"> 31.12.</w:t>
      </w:r>
      <w:r w:rsidR="00CF1DAB" w:rsidRPr="001B53A8">
        <w:rPr>
          <w:rFonts w:ascii="Times New Roman" w:hAnsi="Times New Roman"/>
          <w:b w:val="0"/>
          <w:noProof/>
          <w:sz w:val="24"/>
          <w:szCs w:val="24"/>
          <w:lang w:val="sr-Latn-BA"/>
        </w:rPr>
        <w:t>2023</w:t>
      </w:r>
      <w:r w:rsidR="008A17F3"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godine</w:t>
      </w:r>
    </w:p>
    <w:p w14:paraId="44573615" w14:textId="273DCBE7" w:rsidR="00CF1DAB" w:rsidRPr="001B53A8" w:rsidRDefault="00003F34" w:rsidP="00CF1DAB">
      <w:pPr>
        <w:spacing w:after="0" w:line="240" w:lineRule="auto"/>
        <w:ind w:firstLine="567"/>
        <w:rPr>
          <w:lang w:val="sr-Latn-BA" w:eastAsia="sr-Latn-CS"/>
        </w:rPr>
      </w:pPr>
      <w:r w:rsidRPr="001B53A8">
        <w:rPr>
          <w:lang w:val="sr-Latn-BA" w:eastAsia="sr-Latn-CS"/>
        </w:rPr>
        <w:t>U</w:t>
      </w:r>
      <w:r w:rsidR="00CF1DAB" w:rsidRPr="001B53A8">
        <w:rPr>
          <w:lang w:val="sr-Latn-BA" w:eastAsia="sr-Latn-CS"/>
        </w:rPr>
        <w:t xml:space="preserve"> 2023. </w:t>
      </w:r>
      <w:r w:rsidRPr="001B53A8">
        <w:rPr>
          <w:lang w:val="sr-Latn-BA" w:eastAsia="sr-Latn-CS"/>
        </w:rPr>
        <w:t>godini</w:t>
      </w:r>
      <w:r w:rsidR="00CF1DAB" w:rsidRPr="001B53A8">
        <w:rPr>
          <w:lang w:val="sr-Latn-BA" w:eastAsia="sr-Latn-CS"/>
        </w:rPr>
        <w:t xml:space="preserve"> </w:t>
      </w:r>
      <w:r w:rsidRPr="001B53A8">
        <w:rPr>
          <w:lang w:val="sr-Latn-BA" w:eastAsia="sr-Latn-CS"/>
        </w:rPr>
        <w:t>usvojena</w:t>
      </w:r>
      <w:r w:rsidR="00CF1DAB" w:rsidRPr="001B53A8">
        <w:rPr>
          <w:lang w:val="sr-Latn-BA" w:eastAsia="sr-Latn-CS"/>
        </w:rPr>
        <w:t xml:space="preserve"> </w:t>
      </w:r>
      <w:r w:rsidRPr="001B53A8">
        <w:rPr>
          <w:lang w:val="sr-Latn-BA" w:eastAsia="sr-Latn-CS"/>
        </w:rPr>
        <w:t>je</w:t>
      </w:r>
      <w:r w:rsidR="00CF1DAB" w:rsidRPr="001B53A8">
        <w:rPr>
          <w:lang w:val="sr-Latn-BA" w:eastAsia="sr-Latn-CS"/>
        </w:rPr>
        <w:t xml:space="preserve"> </w:t>
      </w:r>
      <w:r w:rsidRPr="001B53A8">
        <w:rPr>
          <w:lang w:val="sr-Latn-BA" w:eastAsia="sr-Latn-CS"/>
        </w:rPr>
        <w:t>jedna</w:t>
      </w:r>
      <w:r w:rsidR="00CF1DAB" w:rsidRPr="001B53A8">
        <w:rPr>
          <w:lang w:val="sr-Latn-BA" w:eastAsia="sr-Latn-CS"/>
        </w:rPr>
        <w:t xml:space="preserve"> </w:t>
      </w:r>
      <w:r w:rsidRPr="001B53A8">
        <w:rPr>
          <w:lang w:val="sr-Latn-BA" w:eastAsia="sr-Latn-CS"/>
        </w:rPr>
        <w:t>inicijativa</w:t>
      </w:r>
      <w:r w:rsidR="00CF1DAB" w:rsidRPr="001B53A8">
        <w:rPr>
          <w:lang w:val="sr-Latn-BA" w:eastAsia="sr-Latn-CS"/>
        </w:rPr>
        <w:t xml:space="preserve"> </w:t>
      </w:r>
      <w:r w:rsidRPr="001B53A8">
        <w:rPr>
          <w:lang w:val="sr-Latn-BA" w:eastAsia="sr-Latn-CS"/>
        </w:rPr>
        <w:t>za</w:t>
      </w:r>
      <w:r w:rsidR="00CF1DAB" w:rsidRPr="001B53A8">
        <w:rPr>
          <w:lang w:val="sr-Latn-BA" w:eastAsia="sr-Latn-CS"/>
        </w:rPr>
        <w:t xml:space="preserve"> </w:t>
      </w:r>
      <w:r w:rsidRPr="001B53A8">
        <w:rPr>
          <w:lang w:val="sr-Latn-BA" w:eastAsia="sr-Latn-CS"/>
        </w:rPr>
        <w:t>izmjenu</w:t>
      </w:r>
      <w:r w:rsidR="00CF1DAB" w:rsidRPr="001B53A8">
        <w:rPr>
          <w:lang w:val="sr-Latn-BA" w:eastAsia="sr-Latn-CS"/>
        </w:rPr>
        <w:t xml:space="preserve"> </w:t>
      </w:r>
      <w:r w:rsidRPr="001B53A8">
        <w:rPr>
          <w:lang w:val="sr-Latn-BA" w:eastAsia="sr-Latn-CS"/>
        </w:rPr>
        <w:t>Zakona</w:t>
      </w:r>
      <w:r w:rsidR="00CF1DAB" w:rsidRPr="001B53A8">
        <w:rPr>
          <w:lang w:val="sr-Latn-BA" w:eastAsia="sr-Latn-CS"/>
        </w:rPr>
        <w:t xml:space="preserve"> </w:t>
      </w:r>
      <w:r w:rsidRPr="001B53A8">
        <w:rPr>
          <w:lang w:val="sr-Latn-BA" w:eastAsia="sr-Latn-CS"/>
        </w:rPr>
        <w:t>o</w:t>
      </w:r>
      <w:r w:rsidR="00CF1DAB" w:rsidRPr="001B53A8">
        <w:rPr>
          <w:lang w:val="sr-Latn-BA" w:eastAsia="sr-Latn-CS"/>
        </w:rPr>
        <w:t xml:space="preserve"> </w:t>
      </w:r>
      <w:r w:rsidRPr="001B53A8">
        <w:rPr>
          <w:lang w:val="sr-Latn-BA"/>
        </w:rPr>
        <w:t>faktoringu</w:t>
      </w:r>
      <w:r w:rsidR="00CF1DAB" w:rsidRPr="001B53A8">
        <w:rPr>
          <w:lang w:val="sr-Latn-BA" w:eastAsia="sr-Latn-CS"/>
        </w:rPr>
        <w:t xml:space="preserve"> </w:t>
      </w:r>
      <w:r w:rsidRPr="001B53A8">
        <w:rPr>
          <w:lang w:val="sr-Latn-BA" w:eastAsia="sr-Latn-CS"/>
        </w:rPr>
        <w:t>i</w:t>
      </w:r>
      <w:r w:rsidR="00CF1DAB" w:rsidRPr="001B53A8">
        <w:rPr>
          <w:lang w:val="sr-Latn-BA" w:eastAsia="sr-Latn-CS"/>
        </w:rPr>
        <w:t xml:space="preserve">  </w:t>
      </w:r>
      <w:r w:rsidRPr="001B53A8">
        <w:rPr>
          <w:lang w:val="sr-Latn-BA" w:eastAsia="sr-Latn-CS"/>
        </w:rPr>
        <w:t>jedan</w:t>
      </w:r>
      <w:r w:rsidR="00CF1DAB" w:rsidRPr="001B53A8">
        <w:rPr>
          <w:lang w:val="sr-Latn-BA" w:eastAsia="sr-Latn-CS"/>
        </w:rPr>
        <w:t xml:space="preserve"> </w:t>
      </w:r>
      <w:r w:rsidRPr="001B53A8">
        <w:rPr>
          <w:lang w:val="sr-Latn-BA" w:eastAsia="sr-Latn-CS"/>
        </w:rPr>
        <w:t>stav</w:t>
      </w:r>
      <w:r w:rsidR="00CF1DAB" w:rsidRPr="001B53A8">
        <w:rPr>
          <w:lang w:val="sr-Latn-BA" w:eastAsia="sr-Latn-CS"/>
        </w:rPr>
        <w:t xml:space="preserve"> </w:t>
      </w:r>
      <w:r w:rsidRPr="001B53A8">
        <w:rPr>
          <w:lang w:val="sr-Latn-BA" w:eastAsia="sr-Latn-CS"/>
        </w:rPr>
        <w:t>u</w:t>
      </w:r>
      <w:r w:rsidR="00CF1DAB" w:rsidRPr="001B53A8">
        <w:rPr>
          <w:lang w:val="sr-Latn-BA" w:eastAsia="sr-Latn-CS"/>
        </w:rPr>
        <w:t xml:space="preserve"> </w:t>
      </w:r>
      <w:r w:rsidRPr="001B53A8">
        <w:rPr>
          <w:lang w:val="sr-Latn-BA" w:eastAsia="sr-Latn-CS"/>
        </w:rPr>
        <w:t>vezi</w:t>
      </w:r>
      <w:r w:rsidR="00CF1DAB" w:rsidRPr="001B53A8">
        <w:rPr>
          <w:lang w:val="sr-Latn-BA" w:eastAsia="sr-Latn-CS"/>
        </w:rPr>
        <w:t xml:space="preserve"> </w:t>
      </w:r>
      <w:r w:rsidRPr="001B53A8">
        <w:rPr>
          <w:lang w:val="sr-Latn-BA" w:eastAsia="sr-Latn-CS"/>
        </w:rPr>
        <w:t>sa</w:t>
      </w:r>
      <w:r w:rsidR="00CF1DAB" w:rsidRPr="001B53A8">
        <w:rPr>
          <w:lang w:val="sr-Latn-BA" w:eastAsia="sr-Latn-CS"/>
        </w:rPr>
        <w:t xml:space="preserve"> </w:t>
      </w:r>
      <w:r w:rsidRPr="001B53A8">
        <w:rPr>
          <w:lang w:val="sr-Latn-BA" w:eastAsia="sr-Latn-CS"/>
        </w:rPr>
        <w:t>primjenom</w:t>
      </w:r>
      <w:r w:rsidR="00CF1DAB" w:rsidRPr="001B53A8">
        <w:rPr>
          <w:lang w:val="sr-Latn-BA" w:eastAsia="sr-Latn-CS"/>
        </w:rPr>
        <w:t xml:space="preserve"> </w:t>
      </w:r>
      <w:r w:rsidRPr="001B53A8">
        <w:rPr>
          <w:lang w:val="sr-Latn-BA" w:eastAsia="sr-Latn-CS"/>
        </w:rPr>
        <w:t>člana</w:t>
      </w:r>
      <w:r w:rsidR="00CF1DAB" w:rsidRPr="001B53A8">
        <w:rPr>
          <w:lang w:val="sr-Latn-BA" w:eastAsia="sr-Latn-CS"/>
        </w:rPr>
        <w:t xml:space="preserve"> 38. </w:t>
      </w:r>
      <w:r w:rsidRPr="001B53A8">
        <w:rPr>
          <w:lang w:val="sr-Latn-BA" w:eastAsia="sr-Latn-CS"/>
        </w:rPr>
        <w:t>stav</w:t>
      </w:r>
      <w:r w:rsidR="00CF1DAB" w:rsidRPr="001B53A8">
        <w:rPr>
          <w:lang w:val="sr-Latn-BA" w:eastAsia="sr-Latn-CS"/>
        </w:rPr>
        <w:t xml:space="preserve"> 4. </w:t>
      </w:r>
      <w:r w:rsidRPr="001B53A8">
        <w:rPr>
          <w:lang w:val="sr-Latn-BA" w:eastAsia="sr-Latn-CS"/>
        </w:rPr>
        <w:t>i</w:t>
      </w:r>
      <w:r w:rsidR="00CF1DAB" w:rsidRPr="001B53A8">
        <w:rPr>
          <w:lang w:val="sr-Latn-BA" w:eastAsia="sr-Latn-CS"/>
        </w:rPr>
        <w:t xml:space="preserve"> </w:t>
      </w:r>
      <w:r w:rsidRPr="001B53A8">
        <w:rPr>
          <w:lang w:val="sr-Latn-BA" w:eastAsia="sr-Latn-CS"/>
        </w:rPr>
        <w:t>člana</w:t>
      </w:r>
      <w:r w:rsidR="00CF1DAB" w:rsidRPr="001B53A8">
        <w:rPr>
          <w:lang w:val="sr-Latn-BA" w:eastAsia="sr-Latn-CS"/>
        </w:rPr>
        <w:t xml:space="preserve"> 39. </w:t>
      </w:r>
      <w:r w:rsidRPr="001B53A8">
        <w:rPr>
          <w:lang w:val="sr-Latn-BA" w:eastAsia="sr-Latn-CS"/>
        </w:rPr>
        <w:t>stav</w:t>
      </w:r>
      <w:r w:rsidR="00CF1DAB" w:rsidRPr="001B53A8">
        <w:rPr>
          <w:lang w:val="sr-Latn-BA" w:eastAsia="sr-Latn-CS"/>
        </w:rPr>
        <w:t xml:space="preserve"> 1. </w:t>
      </w:r>
      <w:r w:rsidRPr="001B53A8">
        <w:rPr>
          <w:lang w:val="sr-Latn-BA" w:eastAsia="sr-Latn-CS"/>
        </w:rPr>
        <w:t>tačka</w:t>
      </w:r>
      <w:r w:rsidR="00CF1DAB" w:rsidRPr="001B53A8">
        <w:rPr>
          <w:lang w:val="sr-Latn-BA" w:eastAsia="sr-Latn-CS"/>
        </w:rPr>
        <w:t xml:space="preserve"> 3. </w:t>
      </w:r>
      <w:r w:rsidRPr="001B53A8">
        <w:rPr>
          <w:lang w:val="sr-Latn-BA" w:eastAsia="sr-Latn-CS"/>
        </w:rPr>
        <w:t>Zakona</w:t>
      </w:r>
      <w:r w:rsidR="00CF1DAB" w:rsidRPr="001B53A8">
        <w:rPr>
          <w:lang w:val="sr-Latn-BA" w:eastAsia="sr-Latn-CS"/>
        </w:rPr>
        <w:t xml:space="preserve"> </w:t>
      </w:r>
      <w:r w:rsidRPr="001B53A8">
        <w:rPr>
          <w:lang w:val="sr-Latn-BA" w:eastAsia="sr-Latn-CS"/>
        </w:rPr>
        <w:t>o</w:t>
      </w:r>
      <w:r w:rsidR="00CF1DAB" w:rsidRPr="001B53A8">
        <w:rPr>
          <w:lang w:val="sr-Latn-BA" w:eastAsia="sr-Latn-CS"/>
        </w:rPr>
        <w:t xml:space="preserve"> </w:t>
      </w:r>
      <w:r w:rsidRPr="001B53A8">
        <w:rPr>
          <w:lang w:val="sr-Latn-BA" w:eastAsia="sr-Latn-CS"/>
        </w:rPr>
        <w:t>faktoringu</w:t>
      </w:r>
      <w:r w:rsidR="00CF1DAB" w:rsidRPr="001B53A8">
        <w:rPr>
          <w:lang w:val="sr-Latn-BA" w:eastAsia="sr-Latn-CS"/>
        </w:rPr>
        <w:t>.</w:t>
      </w:r>
    </w:p>
    <w:p w14:paraId="55735380" w14:textId="25E9D617" w:rsidR="00CF1DAB" w:rsidRPr="001B53A8" w:rsidRDefault="00003F34" w:rsidP="00CF1DAB">
      <w:pPr>
        <w:spacing w:after="0" w:line="240" w:lineRule="auto"/>
        <w:ind w:firstLine="567"/>
        <w:rPr>
          <w:lang w:val="sr-Latn-BA" w:eastAsia="sr-Latn-CS"/>
        </w:rPr>
      </w:pPr>
      <w:r w:rsidRPr="001B53A8">
        <w:rPr>
          <w:lang w:val="sr-Latn-BA"/>
        </w:rPr>
        <w:t>U</w:t>
      </w:r>
      <w:r w:rsidR="00CF1DAB" w:rsidRPr="001B53A8">
        <w:rPr>
          <w:lang w:val="sr-Latn-BA"/>
        </w:rPr>
        <w:t xml:space="preserve"> </w:t>
      </w:r>
      <w:r w:rsidRPr="001B53A8">
        <w:rPr>
          <w:lang w:val="sr-Latn-BA"/>
        </w:rPr>
        <w:t>cilјu</w:t>
      </w:r>
      <w:r w:rsidR="00CF1DAB" w:rsidRPr="001B53A8">
        <w:rPr>
          <w:lang w:val="sr-Latn-BA"/>
        </w:rPr>
        <w:t xml:space="preserve"> </w:t>
      </w:r>
      <w:r w:rsidRPr="001B53A8">
        <w:rPr>
          <w:lang w:val="sr-Latn-BA"/>
        </w:rPr>
        <w:t>promocije</w:t>
      </w:r>
      <w:r w:rsidR="00CF1DAB" w:rsidRPr="001B53A8">
        <w:rPr>
          <w:lang w:val="sr-Latn-BA"/>
        </w:rPr>
        <w:t xml:space="preserve"> </w:t>
      </w:r>
      <w:r w:rsidRPr="001B53A8">
        <w:rPr>
          <w:lang w:val="sr-Latn-BA"/>
        </w:rPr>
        <w:t>i</w:t>
      </w:r>
      <w:r w:rsidR="00CF1DAB" w:rsidRPr="001B53A8">
        <w:rPr>
          <w:lang w:val="sr-Latn-BA"/>
        </w:rPr>
        <w:t xml:space="preserve"> </w:t>
      </w:r>
      <w:r w:rsidRPr="001B53A8">
        <w:rPr>
          <w:lang w:val="sr-Latn-BA"/>
        </w:rPr>
        <w:t>razvoja</w:t>
      </w:r>
      <w:r w:rsidR="00CF1DAB" w:rsidRPr="001B53A8">
        <w:rPr>
          <w:lang w:val="sr-Latn-BA"/>
        </w:rPr>
        <w:t xml:space="preserve"> </w:t>
      </w:r>
      <w:r w:rsidRPr="001B53A8">
        <w:rPr>
          <w:lang w:val="sr-Latn-BA"/>
        </w:rPr>
        <w:t>tržišta</w:t>
      </w:r>
      <w:r w:rsidR="00CF1DAB" w:rsidRPr="001B53A8">
        <w:rPr>
          <w:lang w:val="sr-Latn-BA"/>
        </w:rPr>
        <w:t xml:space="preserve"> </w:t>
      </w:r>
      <w:r w:rsidRPr="001B53A8">
        <w:rPr>
          <w:lang w:val="sr-Latn-BA"/>
        </w:rPr>
        <w:t>faktoringa</w:t>
      </w:r>
      <w:r w:rsidR="00CF1DAB" w:rsidRPr="001B53A8">
        <w:rPr>
          <w:lang w:val="sr-Latn-BA"/>
        </w:rPr>
        <w:t xml:space="preserve"> </w:t>
      </w:r>
      <w:r w:rsidRPr="001B53A8">
        <w:rPr>
          <w:lang w:val="sr-Latn-BA"/>
        </w:rPr>
        <w:t>u</w:t>
      </w:r>
      <w:r w:rsidR="00CF1DAB" w:rsidRPr="001B53A8">
        <w:rPr>
          <w:lang w:val="sr-Latn-BA"/>
        </w:rPr>
        <w:t xml:space="preserve"> </w:t>
      </w:r>
      <w:r w:rsidRPr="001B53A8">
        <w:rPr>
          <w:lang w:val="sr-Latn-BA"/>
        </w:rPr>
        <w:t>Republici</w:t>
      </w:r>
      <w:r w:rsidR="00CF1DAB" w:rsidRPr="001B53A8">
        <w:rPr>
          <w:lang w:val="sr-Latn-BA"/>
        </w:rPr>
        <w:t xml:space="preserve"> </w:t>
      </w:r>
      <w:r w:rsidRPr="001B53A8">
        <w:rPr>
          <w:lang w:val="sr-Latn-BA"/>
        </w:rPr>
        <w:t>Srpskoj</w:t>
      </w:r>
      <w:r w:rsidR="00CF1DAB" w:rsidRPr="001B53A8">
        <w:rPr>
          <w:lang w:val="sr-Latn-BA"/>
        </w:rPr>
        <w:t xml:space="preserve">, </w:t>
      </w:r>
      <w:r w:rsidRPr="001B53A8">
        <w:rPr>
          <w:lang w:val="sr-Latn-BA"/>
        </w:rPr>
        <w:t>svi</w:t>
      </w:r>
      <w:r w:rsidR="00CF1DAB" w:rsidRPr="001B53A8">
        <w:rPr>
          <w:lang w:val="sr-Latn-BA"/>
        </w:rPr>
        <w:t xml:space="preserve"> </w:t>
      </w:r>
      <w:r w:rsidRPr="001B53A8">
        <w:rPr>
          <w:lang w:val="sr-Latn-BA"/>
        </w:rPr>
        <w:t>podnosioci</w:t>
      </w:r>
      <w:r w:rsidR="00CF1DAB" w:rsidRPr="001B53A8">
        <w:rPr>
          <w:lang w:val="sr-Latn-BA"/>
        </w:rPr>
        <w:t xml:space="preserve"> </w:t>
      </w:r>
      <w:r w:rsidRPr="001B53A8">
        <w:rPr>
          <w:lang w:val="sr-Latn-BA"/>
        </w:rPr>
        <w:t>zahtjeva</w:t>
      </w:r>
      <w:r w:rsidR="00CF1DAB" w:rsidRPr="001B53A8">
        <w:rPr>
          <w:lang w:val="sr-Latn-BA"/>
        </w:rPr>
        <w:t xml:space="preserve"> </w:t>
      </w:r>
      <w:r w:rsidRPr="001B53A8">
        <w:rPr>
          <w:lang w:val="sr-Latn-BA"/>
        </w:rPr>
        <w:t>za</w:t>
      </w:r>
      <w:r w:rsidR="00CF1DAB" w:rsidRPr="001B53A8">
        <w:rPr>
          <w:lang w:val="sr-Latn-BA"/>
        </w:rPr>
        <w:t xml:space="preserve"> </w:t>
      </w:r>
      <w:r w:rsidRPr="001B53A8">
        <w:rPr>
          <w:lang w:val="sr-Latn-BA"/>
        </w:rPr>
        <w:t>osnivanje</w:t>
      </w:r>
      <w:r w:rsidR="00CF1DAB" w:rsidRPr="001B53A8">
        <w:rPr>
          <w:lang w:val="sr-Latn-BA"/>
        </w:rPr>
        <w:t xml:space="preserve"> </w:t>
      </w:r>
      <w:r w:rsidRPr="001B53A8">
        <w:rPr>
          <w:lang w:val="sr-Latn-BA"/>
        </w:rPr>
        <w:t>društava</w:t>
      </w:r>
      <w:r w:rsidR="00CF1DAB" w:rsidRPr="001B53A8">
        <w:rPr>
          <w:lang w:val="sr-Latn-BA"/>
        </w:rPr>
        <w:t xml:space="preserve"> </w:t>
      </w:r>
      <w:r w:rsidRPr="001B53A8">
        <w:rPr>
          <w:lang w:val="sr-Latn-BA"/>
        </w:rPr>
        <w:t>za</w:t>
      </w:r>
      <w:r w:rsidR="00CF1DAB" w:rsidRPr="001B53A8">
        <w:rPr>
          <w:lang w:val="sr-Latn-BA"/>
        </w:rPr>
        <w:t xml:space="preserve"> </w:t>
      </w:r>
      <w:r w:rsidRPr="001B53A8">
        <w:rPr>
          <w:lang w:val="sr-Latn-BA"/>
        </w:rPr>
        <w:t>faktoring</w:t>
      </w:r>
      <w:r w:rsidR="00CF1DAB" w:rsidRPr="001B53A8">
        <w:rPr>
          <w:lang w:val="sr-Latn-BA"/>
        </w:rPr>
        <w:t xml:space="preserve">, </w:t>
      </w:r>
      <w:r w:rsidRPr="001B53A8">
        <w:rPr>
          <w:lang w:val="sr-Latn-BA"/>
        </w:rPr>
        <w:t>koji</w:t>
      </w:r>
      <w:r w:rsidR="00CF1DAB" w:rsidRPr="001B53A8">
        <w:rPr>
          <w:lang w:val="sr-Latn-BA"/>
        </w:rPr>
        <w:t xml:space="preserve"> </w:t>
      </w:r>
      <w:r w:rsidRPr="001B53A8">
        <w:rPr>
          <w:lang w:val="sr-Latn-BA"/>
        </w:rPr>
        <w:t>podnesu</w:t>
      </w:r>
      <w:r w:rsidR="00CF1DAB" w:rsidRPr="001B53A8">
        <w:rPr>
          <w:lang w:val="sr-Latn-BA"/>
        </w:rPr>
        <w:t xml:space="preserve"> </w:t>
      </w:r>
      <w:r w:rsidRPr="001B53A8">
        <w:rPr>
          <w:lang w:val="sr-Latn-BA"/>
        </w:rPr>
        <w:t>zahtjev</w:t>
      </w:r>
      <w:r w:rsidR="00CF1DAB" w:rsidRPr="001B53A8">
        <w:rPr>
          <w:lang w:val="sr-Latn-BA"/>
        </w:rPr>
        <w:t xml:space="preserve"> </w:t>
      </w:r>
      <w:r w:rsidRPr="001B53A8">
        <w:rPr>
          <w:lang w:val="sr-Latn-BA"/>
        </w:rPr>
        <w:t>do</w:t>
      </w:r>
      <w:r w:rsidR="00CF1DAB" w:rsidRPr="001B53A8">
        <w:rPr>
          <w:lang w:val="sr-Latn-BA"/>
        </w:rPr>
        <w:t xml:space="preserve"> 31.12.2023. </w:t>
      </w:r>
      <w:r w:rsidRPr="001B53A8">
        <w:rPr>
          <w:lang w:val="sr-Latn-BA"/>
        </w:rPr>
        <w:t>godine</w:t>
      </w:r>
      <w:r w:rsidR="00CF1DAB" w:rsidRPr="001B53A8">
        <w:rPr>
          <w:lang w:val="sr-Latn-BA"/>
        </w:rPr>
        <w:t xml:space="preserve">, </w:t>
      </w:r>
      <w:r w:rsidRPr="001B53A8">
        <w:rPr>
          <w:lang w:val="sr-Latn-BA"/>
        </w:rPr>
        <w:t>oslobađaju</w:t>
      </w:r>
      <w:r w:rsidR="00CF1DAB" w:rsidRPr="001B53A8">
        <w:rPr>
          <w:lang w:val="sr-Latn-BA"/>
        </w:rPr>
        <w:t xml:space="preserve"> </w:t>
      </w:r>
      <w:r w:rsidRPr="001B53A8">
        <w:rPr>
          <w:lang w:val="sr-Latn-BA"/>
        </w:rPr>
        <w:t>se</w:t>
      </w:r>
      <w:r w:rsidR="00CF1DAB" w:rsidRPr="001B53A8">
        <w:rPr>
          <w:lang w:val="sr-Latn-BA"/>
        </w:rPr>
        <w:t xml:space="preserve"> </w:t>
      </w:r>
      <w:r w:rsidRPr="001B53A8">
        <w:rPr>
          <w:lang w:val="sr-Latn-BA"/>
        </w:rPr>
        <w:t>od</w:t>
      </w:r>
      <w:r w:rsidR="00CF1DAB" w:rsidRPr="001B53A8">
        <w:rPr>
          <w:lang w:val="sr-Latn-BA"/>
        </w:rPr>
        <w:t xml:space="preserve"> </w:t>
      </w:r>
      <w:r w:rsidRPr="001B53A8">
        <w:rPr>
          <w:lang w:val="sr-Latn-BA"/>
        </w:rPr>
        <w:t>obaveze</w:t>
      </w:r>
      <w:r w:rsidR="00CF1DAB" w:rsidRPr="001B53A8">
        <w:rPr>
          <w:lang w:val="sr-Latn-BA"/>
        </w:rPr>
        <w:t xml:space="preserve"> </w:t>
      </w:r>
      <w:r w:rsidRPr="001B53A8">
        <w:rPr>
          <w:lang w:val="sr-Latn-BA"/>
        </w:rPr>
        <w:t>plaćanja</w:t>
      </w:r>
      <w:r w:rsidR="00CF1DAB" w:rsidRPr="001B53A8">
        <w:rPr>
          <w:lang w:val="sr-Latn-BA"/>
        </w:rPr>
        <w:t xml:space="preserve"> </w:t>
      </w:r>
      <w:r w:rsidRPr="001B53A8">
        <w:rPr>
          <w:lang w:val="sr-Latn-BA"/>
        </w:rPr>
        <w:t>naknada</w:t>
      </w:r>
      <w:r w:rsidR="00CF1DAB" w:rsidRPr="001B53A8">
        <w:rPr>
          <w:lang w:val="sr-Latn-BA"/>
        </w:rPr>
        <w:t xml:space="preserve"> </w:t>
      </w:r>
      <w:r w:rsidRPr="001B53A8">
        <w:rPr>
          <w:lang w:val="sr-Latn-BA"/>
        </w:rPr>
        <w:t>Komisiji</w:t>
      </w:r>
      <w:r w:rsidR="00CF1DAB" w:rsidRPr="001B53A8">
        <w:rPr>
          <w:lang w:val="sr-Latn-BA"/>
        </w:rPr>
        <w:t xml:space="preserve"> </w:t>
      </w:r>
      <w:r w:rsidRPr="001B53A8">
        <w:rPr>
          <w:lang w:val="sr-Latn-BA"/>
        </w:rPr>
        <w:t>za</w:t>
      </w:r>
      <w:r w:rsidR="00CF1DAB" w:rsidRPr="001B53A8">
        <w:rPr>
          <w:lang w:val="sr-Latn-BA"/>
        </w:rPr>
        <w:t xml:space="preserve"> </w:t>
      </w:r>
      <w:r w:rsidRPr="001B53A8">
        <w:rPr>
          <w:lang w:val="sr-Latn-BA"/>
        </w:rPr>
        <w:t>hartije</w:t>
      </w:r>
      <w:r w:rsidR="00CF1DAB" w:rsidRPr="001B53A8">
        <w:rPr>
          <w:lang w:val="sr-Latn-BA"/>
        </w:rPr>
        <w:t xml:space="preserve"> </w:t>
      </w:r>
      <w:r w:rsidRPr="001B53A8">
        <w:rPr>
          <w:lang w:val="sr-Latn-BA"/>
        </w:rPr>
        <w:t>od</w:t>
      </w:r>
      <w:r w:rsidR="00CF1DAB" w:rsidRPr="001B53A8">
        <w:rPr>
          <w:lang w:val="sr-Latn-BA"/>
        </w:rPr>
        <w:t xml:space="preserve"> </w:t>
      </w:r>
      <w:r w:rsidRPr="001B53A8">
        <w:rPr>
          <w:lang w:val="sr-Latn-BA"/>
        </w:rPr>
        <w:t>vrijednosti</w:t>
      </w:r>
      <w:r w:rsidR="00CF1DAB" w:rsidRPr="001B53A8">
        <w:rPr>
          <w:lang w:val="sr-Latn-BA"/>
        </w:rPr>
        <w:t xml:space="preserve"> </w:t>
      </w:r>
      <w:r w:rsidRPr="001B53A8">
        <w:rPr>
          <w:lang w:val="sr-Latn-BA"/>
        </w:rPr>
        <w:t>Republike</w:t>
      </w:r>
      <w:r w:rsidR="00CF1DAB" w:rsidRPr="001B53A8">
        <w:rPr>
          <w:lang w:val="sr-Latn-BA"/>
        </w:rPr>
        <w:t xml:space="preserve"> </w:t>
      </w:r>
      <w:r w:rsidRPr="001B53A8">
        <w:rPr>
          <w:lang w:val="sr-Latn-BA"/>
        </w:rPr>
        <w:t>Srpske</w:t>
      </w:r>
      <w:r w:rsidR="00CF1DAB" w:rsidRPr="001B53A8">
        <w:rPr>
          <w:lang w:val="sr-Latn-BA"/>
        </w:rPr>
        <w:t xml:space="preserve">, </w:t>
      </w:r>
      <w:r w:rsidRPr="001B53A8">
        <w:rPr>
          <w:lang w:val="sr-Latn-BA"/>
        </w:rPr>
        <w:t>a</w:t>
      </w:r>
      <w:r w:rsidR="00CF1DAB" w:rsidRPr="001B53A8">
        <w:rPr>
          <w:lang w:val="sr-Latn-BA"/>
        </w:rPr>
        <w:t xml:space="preserve"> </w:t>
      </w:r>
      <w:r w:rsidRPr="001B53A8">
        <w:rPr>
          <w:lang w:val="sr-Latn-BA"/>
        </w:rPr>
        <w:t>koje</w:t>
      </w:r>
      <w:r w:rsidR="00CF1DAB" w:rsidRPr="001B53A8">
        <w:rPr>
          <w:lang w:val="sr-Latn-BA"/>
        </w:rPr>
        <w:t xml:space="preserve"> </w:t>
      </w:r>
      <w:r w:rsidRPr="001B53A8">
        <w:rPr>
          <w:lang w:val="sr-Latn-BA"/>
        </w:rPr>
        <w:t>se</w:t>
      </w:r>
      <w:r w:rsidR="00CF1DAB" w:rsidRPr="001B53A8">
        <w:rPr>
          <w:lang w:val="sr-Latn-BA"/>
        </w:rPr>
        <w:t xml:space="preserve"> </w:t>
      </w:r>
      <w:r w:rsidRPr="001B53A8">
        <w:rPr>
          <w:lang w:val="sr-Latn-BA"/>
        </w:rPr>
        <w:t>plaćaju</w:t>
      </w:r>
      <w:r w:rsidR="00CF1DAB" w:rsidRPr="001B53A8">
        <w:rPr>
          <w:lang w:val="sr-Latn-BA"/>
        </w:rPr>
        <w:t xml:space="preserve"> </w:t>
      </w:r>
      <w:r w:rsidRPr="001B53A8">
        <w:rPr>
          <w:lang w:val="sr-Latn-BA"/>
        </w:rPr>
        <w:t>u</w:t>
      </w:r>
      <w:r w:rsidR="00CF1DAB" w:rsidRPr="001B53A8">
        <w:rPr>
          <w:lang w:val="sr-Latn-BA"/>
        </w:rPr>
        <w:t xml:space="preserve"> </w:t>
      </w:r>
      <w:r w:rsidRPr="001B53A8">
        <w:rPr>
          <w:lang w:val="sr-Latn-BA"/>
        </w:rPr>
        <w:t>postupku</w:t>
      </w:r>
      <w:r w:rsidR="00CF1DAB" w:rsidRPr="001B53A8">
        <w:rPr>
          <w:lang w:val="sr-Latn-BA"/>
        </w:rPr>
        <w:t xml:space="preserve"> </w:t>
      </w:r>
      <w:r w:rsidRPr="001B53A8">
        <w:rPr>
          <w:lang w:val="sr-Latn-BA"/>
        </w:rPr>
        <w:t>osnivanja</w:t>
      </w:r>
      <w:r w:rsidR="00CF1DAB" w:rsidRPr="001B53A8">
        <w:rPr>
          <w:lang w:val="sr-Latn-BA"/>
        </w:rPr>
        <w:t xml:space="preserve"> </w:t>
      </w:r>
      <w:r w:rsidRPr="001B53A8">
        <w:rPr>
          <w:lang w:val="sr-Latn-BA"/>
        </w:rPr>
        <w:t>društva</w:t>
      </w:r>
      <w:r w:rsidR="00CF1DAB" w:rsidRPr="001B53A8">
        <w:rPr>
          <w:lang w:val="sr-Latn-BA"/>
        </w:rPr>
        <w:t xml:space="preserve"> </w:t>
      </w:r>
      <w:r w:rsidRPr="001B53A8">
        <w:rPr>
          <w:lang w:val="sr-Latn-BA"/>
        </w:rPr>
        <w:t>za</w:t>
      </w:r>
      <w:r w:rsidR="00CF1DAB" w:rsidRPr="001B53A8">
        <w:rPr>
          <w:lang w:val="sr-Latn-BA"/>
        </w:rPr>
        <w:t xml:space="preserve"> </w:t>
      </w:r>
      <w:r w:rsidRPr="001B53A8">
        <w:rPr>
          <w:lang w:val="sr-Latn-BA"/>
        </w:rPr>
        <w:t>faktoring</w:t>
      </w:r>
      <w:r w:rsidR="00CF1DAB" w:rsidRPr="001B53A8">
        <w:rPr>
          <w:lang w:val="sr-Latn-BA" w:eastAsia="sr-Latn-CS"/>
        </w:rPr>
        <w:t>.</w:t>
      </w:r>
    </w:p>
    <w:p w14:paraId="50D7D185" w14:textId="0264D200" w:rsidR="009628CE" w:rsidRPr="001B53A8" w:rsidRDefault="00003F34" w:rsidP="006B6E0C">
      <w:pPr>
        <w:pStyle w:val="Heading2"/>
        <w:spacing w:before="240" w:after="0" w:line="240" w:lineRule="auto"/>
        <w:ind w:left="578" w:hanging="578"/>
        <w:rPr>
          <w:rFonts w:ascii="Times New Roman" w:hAnsi="Times New Roman"/>
          <w:sz w:val="24"/>
          <w:lang w:val="sr-Latn-BA"/>
        </w:rPr>
      </w:pPr>
      <w:bookmarkStart w:id="68" w:name="_Toc167962118"/>
      <w:r w:rsidRPr="001B53A8">
        <w:rPr>
          <w:rFonts w:ascii="Times New Roman" w:hAnsi="Times New Roman"/>
          <w:sz w:val="24"/>
          <w:lang w:val="sr-Latn-BA"/>
        </w:rPr>
        <w:t>Ispiti</w:t>
      </w:r>
      <w:r w:rsidR="009628CE" w:rsidRPr="001B53A8">
        <w:rPr>
          <w:rFonts w:ascii="Times New Roman" w:hAnsi="Times New Roman"/>
          <w:sz w:val="24"/>
          <w:lang w:val="sr-Latn-BA"/>
        </w:rPr>
        <w:t xml:space="preserve"> </w:t>
      </w:r>
      <w:r w:rsidRPr="001B53A8">
        <w:rPr>
          <w:rFonts w:ascii="Times New Roman" w:hAnsi="Times New Roman"/>
          <w:sz w:val="24"/>
          <w:lang w:val="sr-Latn-BA"/>
        </w:rPr>
        <w:t>za</w:t>
      </w:r>
      <w:r w:rsidR="009628CE" w:rsidRPr="001B53A8">
        <w:rPr>
          <w:rFonts w:ascii="Times New Roman" w:hAnsi="Times New Roman"/>
          <w:sz w:val="24"/>
          <w:lang w:val="sr-Latn-BA"/>
        </w:rPr>
        <w:t xml:space="preserve"> </w:t>
      </w:r>
      <w:r w:rsidRPr="001B53A8">
        <w:rPr>
          <w:rFonts w:ascii="Times New Roman" w:hAnsi="Times New Roman"/>
          <w:sz w:val="24"/>
          <w:lang w:val="sr-Latn-BA"/>
        </w:rPr>
        <w:t>sticanje</w:t>
      </w:r>
      <w:r w:rsidR="009628CE" w:rsidRPr="001B53A8">
        <w:rPr>
          <w:rFonts w:ascii="Times New Roman" w:hAnsi="Times New Roman"/>
          <w:sz w:val="24"/>
          <w:lang w:val="sr-Latn-BA"/>
        </w:rPr>
        <w:t xml:space="preserve"> </w:t>
      </w:r>
      <w:r w:rsidRPr="001B53A8">
        <w:rPr>
          <w:rFonts w:ascii="Times New Roman" w:hAnsi="Times New Roman"/>
          <w:sz w:val="24"/>
          <w:lang w:val="sr-Latn-BA"/>
        </w:rPr>
        <w:t>zvanja</w:t>
      </w:r>
      <w:bookmarkEnd w:id="68"/>
    </w:p>
    <w:p w14:paraId="028DA99F" w14:textId="69301C41" w:rsidR="009628CE" w:rsidRPr="001B53A8" w:rsidRDefault="00003F34" w:rsidP="006B6E0C">
      <w:pPr>
        <w:spacing w:after="0" w:line="240" w:lineRule="auto"/>
        <w:ind w:firstLine="567"/>
        <w:rPr>
          <w:lang w:val="sr-Latn-BA"/>
        </w:rPr>
      </w:pPr>
      <w:r w:rsidRPr="001B53A8">
        <w:rPr>
          <w:lang w:val="sr-Latn-BA"/>
        </w:rPr>
        <w:t>U</w:t>
      </w:r>
      <w:r w:rsidR="009628CE" w:rsidRPr="001B53A8">
        <w:rPr>
          <w:lang w:val="sr-Latn-BA"/>
        </w:rPr>
        <w:t xml:space="preserve"> </w:t>
      </w:r>
      <w:r w:rsidRPr="001B53A8">
        <w:rPr>
          <w:lang w:val="sr-Latn-BA"/>
        </w:rPr>
        <w:t>skladu</w:t>
      </w:r>
      <w:r w:rsidR="009628CE" w:rsidRPr="001B53A8">
        <w:rPr>
          <w:lang w:val="sr-Latn-BA"/>
        </w:rPr>
        <w:t xml:space="preserve"> </w:t>
      </w:r>
      <w:r w:rsidRPr="001B53A8">
        <w:rPr>
          <w:lang w:val="sr-Latn-BA"/>
        </w:rPr>
        <w:t>sa</w:t>
      </w:r>
      <w:r w:rsidR="009628CE" w:rsidRPr="001B53A8">
        <w:rPr>
          <w:lang w:val="sr-Latn-BA"/>
        </w:rPr>
        <w:t xml:space="preserve"> </w:t>
      </w:r>
      <w:r w:rsidRPr="001B53A8">
        <w:rPr>
          <w:lang w:val="sr-Latn-BA"/>
        </w:rPr>
        <w:t>članom</w:t>
      </w:r>
      <w:r w:rsidR="009628CE" w:rsidRPr="001B53A8">
        <w:rPr>
          <w:lang w:val="sr-Latn-BA"/>
        </w:rPr>
        <w:t xml:space="preserve"> 93. </w:t>
      </w:r>
      <w:r w:rsidRPr="001B53A8">
        <w:rPr>
          <w:lang w:val="sr-Latn-BA"/>
        </w:rPr>
        <w:t>Zakona</w:t>
      </w:r>
      <w:r w:rsidR="009628CE" w:rsidRPr="001B53A8">
        <w:rPr>
          <w:lang w:val="sr-Latn-BA"/>
        </w:rPr>
        <w:t xml:space="preserve"> </w:t>
      </w:r>
      <w:r w:rsidRPr="001B53A8">
        <w:rPr>
          <w:lang w:val="sr-Latn-BA"/>
        </w:rPr>
        <w:t>o</w:t>
      </w:r>
      <w:r w:rsidR="009628CE" w:rsidRPr="001B53A8">
        <w:rPr>
          <w:lang w:val="sr-Latn-BA"/>
        </w:rPr>
        <w:t xml:space="preserve"> </w:t>
      </w:r>
      <w:r w:rsidRPr="001B53A8">
        <w:rPr>
          <w:lang w:val="sr-Latn-BA"/>
        </w:rPr>
        <w:t>tržištu</w:t>
      </w:r>
      <w:r w:rsidR="009628CE" w:rsidRPr="001B53A8">
        <w:rPr>
          <w:lang w:val="sr-Latn-BA"/>
        </w:rPr>
        <w:t xml:space="preserve"> </w:t>
      </w:r>
      <w:r w:rsidRPr="001B53A8">
        <w:rPr>
          <w:lang w:val="sr-Latn-BA"/>
        </w:rPr>
        <w:t>hartija</w:t>
      </w:r>
      <w:r w:rsidR="009628CE" w:rsidRPr="001B53A8">
        <w:rPr>
          <w:lang w:val="sr-Latn-BA"/>
        </w:rPr>
        <w:t xml:space="preserve"> </w:t>
      </w:r>
      <w:r w:rsidRPr="001B53A8">
        <w:rPr>
          <w:lang w:val="sr-Latn-BA"/>
        </w:rPr>
        <w:t>od</w:t>
      </w:r>
      <w:r w:rsidR="009628CE" w:rsidRPr="001B53A8">
        <w:rPr>
          <w:lang w:val="sr-Latn-BA"/>
        </w:rPr>
        <w:t xml:space="preserve"> </w:t>
      </w:r>
      <w:r w:rsidRPr="001B53A8">
        <w:rPr>
          <w:lang w:val="sr-Latn-BA"/>
        </w:rPr>
        <w:t>vrijednosti</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odredbama</w:t>
      </w:r>
      <w:r w:rsidR="009628CE" w:rsidRPr="001B53A8">
        <w:rPr>
          <w:lang w:val="sr-Latn-BA"/>
        </w:rPr>
        <w:t xml:space="preserve"> </w:t>
      </w:r>
      <w:r w:rsidRPr="001B53A8">
        <w:rPr>
          <w:lang w:val="sr-Latn-BA"/>
        </w:rPr>
        <w:t>Pravilnika</w:t>
      </w:r>
      <w:r w:rsidR="009628CE" w:rsidRPr="001B53A8">
        <w:rPr>
          <w:lang w:val="sr-Latn-BA"/>
        </w:rPr>
        <w:t xml:space="preserve"> </w:t>
      </w:r>
      <w:r w:rsidRPr="001B53A8">
        <w:rPr>
          <w:lang w:val="sr-Latn-BA"/>
        </w:rPr>
        <w:t>o</w:t>
      </w:r>
      <w:r w:rsidR="009628CE" w:rsidRPr="001B53A8">
        <w:rPr>
          <w:lang w:val="sr-Latn-BA"/>
        </w:rPr>
        <w:t xml:space="preserve"> </w:t>
      </w:r>
      <w:r w:rsidRPr="001B53A8">
        <w:rPr>
          <w:lang w:val="sr-Latn-BA"/>
        </w:rPr>
        <w:t>uslovima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postupku</w:t>
      </w:r>
      <w:r w:rsidR="009628CE" w:rsidRPr="001B53A8">
        <w:rPr>
          <w:lang w:val="sr-Latn-BA"/>
        </w:rPr>
        <w:t xml:space="preserve"> </w:t>
      </w:r>
      <w:r w:rsidRPr="001B53A8">
        <w:rPr>
          <w:lang w:val="sr-Latn-BA"/>
        </w:rPr>
        <w:t>sticanja</w:t>
      </w:r>
      <w:r w:rsidR="009628CE" w:rsidRPr="001B53A8">
        <w:rPr>
          <w:lang w:val="sr-Latn-BA"/>
        </w:rPr>
        <w:t xml:space="preserve"> </w:t>
      </w:r>
      <w:r w:rsidRPr="001B53A8">
        <w:rPr>
          <w:lang w:val="sr-Latn-BA"/>
        </w:rPr>
        <w:t>zvanja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dobijanja</w:t>
      </w:r>
      <w:r w:rsidR="009628CE" w:rsidRPr="001B53A8">
        <w:rPr>
          <w:lang w:val="sr-Latn-BA"/>
        </w:rPr>
        <w:t xml:space="preserve"> </w:t>
      </w:r>
      <w:r w:rsidRPr="001B53A8">
        <w:rPr>
          <w:lang w:val="sr-Latn-BA"/>
        </w:rPr>
        <w:t>dozvole</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obavlјanje</w:t>
      </w:r>
      <w:r w:rsidR="009628CE" w:rsidRPr="001B53A8">
        <w:rPr>
          <w:lang w:val="sr-Latn-BA"/>
        </w:rPr>
        <w:t xml:space="preserve"> </w:t>
      </w:r>
      <w:r w:rsidRPr="001B53A8">
        <w:rPr>
          <w:lang w:val="sr-Latn-BA"/>
        </w:rPr>
        <w:t>poslova</w:t>
      </w:r>
      <w:r w:rsidR="009628CE" w:rsidRPr="001B53A8">
        <w:rPr>
          <w:lang w:val="sr-Latn-BA"/>
        </w:rPr>
        <w:t xml:space="preserve"> </w:t>
      </w:r>
      <w:r w:rsidRPr="001B53A8">
        <w:rPr>
          <w:lang w:val="sr-Latn-BA"/>
        </w:rPr>
        <w:t>brokera</w:t>
      </w:r>
      <w:r w:rsidR="009628CE" w:rsidRPr="001B53A8">
        <w:rPr>
          <w:lang w:val="sr-Latn-BA"/>
        </w:rPr>
        <w:t xml:space="preserve">, </w:t>
      </w:r>
      <w:r w:rsidRPr="001B53A8">
        <w:rPr>
          <w:lang w:val="sr-Latn-BA"/>
        </w:rPr>
        <w:t>investicionog</w:t>
      </w:r>
      <w:r w:rsidR="009628CE" w:rsidRPr="001B53A8">
        <w:rPr>
          <w:lang w:val="sr-Latn-BA"/>
        </w:rPr>
        <w:t xml:space="preserve"> </w:t>
      </w:r>
      <w:r w:rsidRPr="001B53A8">
        <w:rPr>
          <w:lang w:val="sr-Latn-BA"/>
        </w:rPr>
        <w:t>savjetnika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investicionog</w:t>
      </w:r>
      <w:r w:rsidR="009628CE" w:rsidRPr="001B53A8">
        <w:rPr>
          <w:lang w:val="sr-Latn-BA"/>
        </w:rPr>
        <w:t xml:space="preserve"> </w:t>
      </w:r>
      <w:r w:rsidRPr="001B53A8">
        <w:rPr>
          <w:lang w:val="sr-Latn-BA"/>
        </w:rPr>
        <w:t>menadžera</w:t>
      </w:r>
      <w:r w:rsidR="00730BD2" w:rsidRPr="001B53A8">
        <w:rPr>
          <w:rStyle w:val="FootnoteReference"/>
          <w:lang w:val="sr-Latn-BA"/>
        </w:rPr>
        <w:footnoteReference w:id="16"/>
      </w:r>
      <w:r w:rsidR="00730BD2" w:rsidRPr="001B53A8">
        <w:rPr>
          <w:lang w:val="sr-Latn-BA"/>
        </w:rPr>
        <w:t xml:space="preserve"> </w:t>
      </w:r>
      <w:r w:rsidRPr="001B53A8">
        <w:rPr>
          <w:lang w:val="sr-Latn-BA"/>
        </w:rPr>
        <w:t>Komisija</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hartije</w:t>
      </w:r>
      <w:r w:rsidR="009628CE" w:rsidRPr="001B53A8">
        <w:rPr>
          <w:lang w:val="sr-Latn-BA"/>
        </w:rPr>
        <w:t xml:space="preserve"> </w:t>
      </w:r>
      <w:r w:rsidRPr="001B53A8">
        <w:rPr>
          <w:lang w:val="sr-Latn-BA"/>
        </w:rPr>
        <w:t>od</w:t>
      </w:r>
      <w:r w:rsidR="009628CE" w:rsidRPr="001B53A8">
        <w:rPr>
          <w:lang w:val="sr-Latn-BA"/>
        </w:rPr>
        <w:t xml:space="preserve"> </w:t>
      </w:r>
      <w:r w:rsidRPr="001B53A8">
        <w:rPr>
          <w:lang w:val="sr-Latn-BA"/>
        </w:rPr>
        <w:t>vrijednosti</w:t>
      </w:r>
      <w:r w:rsidR="009628CE" w:rsidRPr="001B53A8">
        <w:rPr>
          <w:lang w:val="sr-Latn-BA"/>
        </w:rPr>
        <w:t xml:space="preserve"> </w:t>
      </w:r>
      <w:r w:rsidRPr="001B53A8">
        <w:rPr>
          <w:lang w:val="sr-Latn-BA"/>
        </w:rPr>
        <w:t>organizuje</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provodi</w:t>
      </w:r>
      <w:r w:rsidR="009628CE" w:rsidRPr="001B53A8">
        <w:rPr>
          <w:lang w:val="sr-Latn-BA"/>
        </w:rPr>
        <w:t xml:space="preserve"> </w:t>
      </w:r>
      <w:r w:rsidRPr="001B53A8">
        <w:rPr>
          <w:lang w:val="sr-Latn-BA"/>
        </w:rPr>
        <w:t>pripreme</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organizuje</w:t>
      </w:r>
      <w:r w:rsidR="009628CE" w:rsidRPr="001B53A8">
        <w:rPr>
          <w:lang w:val="sr-Latn-BA"/>
        </w:rPr>
        <w:t xml:space="preserve"> </w:t>
      </w:r>
      <w:r w:rsidRPr="001B53A8">
        <w:rPr>
          <w:lang w:val="sr-Latn-BA"/>
        </w:rPr>
        <w:t>polaganje</w:t>
      </w:r>
      <w:r w:rsidR="009628CE" w:rsidRPr="001B53A8">
        <w:rPr>
          <w:lang w:val="sr-Latn-BA"/>
        </w:rPr>
        <w:t xml:space="preserve"> </w:t>
      </w:r>
      <w:r w:rsidRPr="001B53A8">
        <w:rPr>
          <w:lang w:val="sr-Latn-BA"/>
        </w:rPr>
        <w:t>stručnih</w:t>
      </w:r>
      <w:r w:rsidR="009628CE" w:rsidRPr="001B53A8">
        <w:rPr>
          <w:lang w:val="sr-Latn-BA"/>
        </w:rPr>
        <w:t xml:space="preserve"> </w:t>
      </w:r>
      <w:r w:rsidRPr="001B53A8">
        <w:rPr>
          <w:lang w:val="sr-Latn-BA"/>
        </w:rPr>
        <w:t>ispita</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sticanje</w:t>
      </w:r>
      <w:r w:rsidR="009628CE" w:rsidRPr="001B53A8">
        <w:rPr>
          <w:lang w:val="sr-Latn-BA"/>
        </w:rPr>
        <w:t xml:space="preserve"> </w:t>
      </w:r>
      <w:r w:rsidRPr="001B53A8">
        <w:rPr>
          <w:lang w:val="sr-Latn-BA"/>
        </w:rPr>
        <w:t>zvanja</w:t>
      </w:r>
      <w:r w:rsidR="009628CE" w:rsidRPr="001B53A8">
        <w:rPr>
          <w:lang w:val="sr-Latn-BA"/>
        </w:rPr>
        <w:t xml:space="preserve"> </w:t>
      </w:r>
      <w:r w:rsidRPr="001B53A8">
        <w:rPr>
          <w:lang w:val="sr-Latn-BA"/>
        </w:rPr>
        <w:t>brokera</w:t>
      </w:r>
      <w:r w:rsidR="009628CE" w:rsidRPr="001B53A8">
        <w:rPr>
          <w:lang w:val="sr-Latn-BA"/>
        </w:rPr>
        <w:t xml:space="preserve">, </w:t>
      </w:r>
      <w:r w:rsidRPr="001B53A8">
        <w:rPr>
          <w:lang w:val="sr-Latn-BA"/>
        </w:rPr>
        <w:t>investicionog</w:t>
      </w:r>
      <w:r w:rsidR="009628CE" w:rsidRPr="001B53A8">
        <w:rPr>
          <w:lang w:val="sr-Latn-BA"/>
        </w:rPr>
        <w:t xml:space="preserve"> </w:t>
      </w:r>
      <w:r w:rsidRPr="001B53A8">
        <w:rPr>
          <w:lang w:val="sr-Latn-BA"/>
        </w:rPr>
        <w:t>savjetnika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investicionog</w:t>
      </w:r>
      <w:r w:rsidR="009628CE" w:rsidRPr="001B53A8">
        <w:rPr>
          <w:lang w:val="sr-Latn-BA"/>
        </w:rPr>
        <w:t xml:space="preserve"> </w:t>
      </w:r>
      <w:r w:rsidRPr="001B53A8">
        <w:rPr>
          <w:lang w:val="sr-Latn-BA"/>
        </w:rPr>
        <w:t>menadžera</w:t>
      </w:r>
      <w:r w:rsidR="009628CE" w:rsidRPr="001B53A8">
        <w:rPr>
          <w:lang w:val="sr-Latn-BA"/>
        </w:rPr>
        <w:t>.</w:t>
      </w:r>
    </w:p>
    <w:p w14:paraId="0FB0E51F" w14:textId="48265FCE" w:rsidR="009628CE" w:rsidRPr="001B53A8" w:rsidRDefault="00003F34" w:rsidP="006B6E0C">
      <w:pPr>
        <w:spacing w:after="0" w:line="240" w:lineRule="auto"/>
        <w:ind w:firstLine="567"/>
        <w:rPr>
          <w:lang w:val="sr-Latn-BA"/>
        </w:rPr>
      </w:pPr>
      <w:r w:rsidRPr="001B53A8">
        <w:rPr>
          <w:lang w:val="sr-Latn-BA"/>
        </w:rPr>
        <w:t>U</w:t>
      </w:r>
      <w:r w:rsidR="009628CE" w:rsidRPr="001B53A8">
        <w:rPr>
          <w:lang w:val="sr-Latn-BA"/>
        </w:rPr>
        <w:t xml:space="preserve"> </w:t>
      </w:r>
      <w:r w:rsidRPr="001B53A8">
        <w:rPr>
          <w:lang w:val="sr-Latn-BA"/>
        </w:rPr>
        <w:t>skladu</w:t>
      </w:r>
      <w:r w:rsidR="009628CE" w:rsidRPr="001B53A8">
        <w:rPr>
          <w:lang w:val="sr-Latn-BA"/>
        </w:rPr>
        <w:t xml:space="preserve"> </w:t>
      </w:r>
      <w:r w:rsidRPr="001B53A8">
        <w:rPr>
          <w:lang w:val="sr-Latn-BA"/>
        </w:rPr>
        <w:t>sa</w:t>
      </w:r>
      <w:r w:rsidR="009628CE" w:rsidRPr="001B53A8">
        <w:rPr>
          <w:lang w:val="sr-Latn-BA"/>
        </w:rPr>
        <w:t xml:space="preserve"> </w:t>
      </w:r>
      <w:r w:rsidRPr="001B53A8">
        <w:rPr>
          <w:lang w:val="sr-Latn-BA"/>
        </w:rPr>
        <w:t>Odlukom</w:t>
      </w:r>
      <w:r w:rsidR="009628CE" w:rsidRPr="001B53A8">
        <w:rPr>
          <w:lang w:val="sr-Latn-BA"/>
        </w:rPr>
        <w:t xml:space="preserve"> </w:t>
      </w:r>
      <w:r w:rsidRPr="001B53A8">
        <w:rPr>
          <w:lang w:val="sr-Latn-BA"/>
        </w:rPr>
        <w:t>o</w:t>
      </w:r>
      <w:r w:rsidR="009628CE" w:rsidRPr="001B53A8">
        <w:rPr>
          <w:lang w:val="sr-Latn-BA"/>
        </w:rPr>
        <w:t xml:space="preserve"> </w:t>
      </w:r>
      <w:r w:rsidRPr="001B53A8">
        <w:rPr>
          <w:lang w:val="sr-Latn-BA"/>
        </w:rPr>
        <w:t>utvrđivanju</w:t>
      </w:r>
      <w:r w:rsidR="009628CE" w:rsidRPr="001B53A8">
        <w:rPr>
          <w:lang w:val="sr-Latn-BA"/>
        </w:rPr>
        <w:t xml:space="preserve"> </w:t>
      </w:r>
      <w:r w:rsidRPr="001B53A8">
        <w:rPr>
          <w:lang w:val="sr-Latn-BA"/>
        </w:rPr>
        <w:t>ispitnih</w:t>
      </w:r>
      <w:r w:rsidR="009628CE" w:rsidRPr="001B53A8">
        <w:rPr>
          <w:lang w:val="sr-Latn-BA"/>
        </w:rPr>
        <w:t xml:space="preserve"> </w:t>
      </w:r>
      <w:r w:rsidRPr="001B53A8">
        <w:rPr>
          <w:lang w:val="sr-Latn-BA"/>
        </w:rPr>
        <w:t>rokova</w:t>
      </w:r>
      <w:r w:rsidR="009628CE" w:rsidRPr="001B53A8">
        <w:rPr>
          <w:lang w:val="sr-Latn-BA"/>
        </w:rPr>
        <w:t xml:space="preserve"> </w:t>
      </w:r>
      <w:r w:rsidRPr="001B53A8">
        <w:rPr>
          <w:lang w:val="sr-Latn-BA"/>
        </w:rPr>
        <w:t>u</w:t>
      </w:r>
      <w:r w:rsidR="009628CE" w:rsidRPr="001B53A8">
        <w:rPr>
          <w:lang w:val="sr-Latn-BA"/>
        </w:rPr>
        <w:t xml:space="preserve"> </w:t>
      </w:r>
      <w:r w:rsidR="00A95C69" w:rsidRPr="001B53A8">
        <w:rPr>
          <w:lang w:val="sr-Latn-BA"/>
        </w:rPr>
        <w:t>202</w:t>
      </w:r>
      <w:r w:rsidR="00BF5474" w:rsidRPr="001B53A8">
        <w:rPr>
          <w:lang w:val="sr-Latn-BA"/>
        </w:rPr>
        <w:t>3</w:t>
      </w:r>
      <w:r w:rsidR="009628CE" w:rsidRPr="001B53A8">
        <w:rPr>
          <w:lang w:val="sr-Latn-BA"/>
        </w:rPr>
        <w:t xml:space="preserve">. </w:t>
      </w:r>
      <w:r w:rsidRPr="001B53A8">
        <w:rPr>
          <w:lang w:val="sr-Latn-BA"/>
        </w:rPr>
        <w:t>godini</w:t>
      </w:r>
      <w:r w:rsidR="009628CE" w:rsidRPr="001B53A8">
        <w:rPr>
          <w:lang w:val="sr-Latn-BA"/>
        </w:rPr>
        <w:t xml:space="preserve">, </w:t>
      </w:r>
      <w:r w:rsidRPr="001B53A8">
        <w:rPr>
          <w:lang w:val="sr-Latn-BA"/>
        </w:rPr>
        <w:t>ispitni</w:t>
      </w:r>
      <w:r w:rsidR="009628CE" w:rsidRPr="001B53A8">
        <w:rPr>
          <w:lang w:val="sr-Latn-BA"/>
        </w:rPr>
        <w:t xml:space="preserve"> </w:t>
      </w:r>
      <w:r w:rsidRPr="001B53A8">
        <w:rPr>
          <w:lang w:val="sr-Latn-BA"/>
        </w:rPr>
        <w:t>rokovi</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polaganje</w:t>
      </w:r>
      <w:r w:rsidR="009628CE" w:rsidRPr="001B53A8">
        <w:rPr>
          <w:lang w:val="sr-Latn-BA"/>
        </w:rPr>
        <w:t xml:space="preserve"> </w:t>
      </w:r>
      <w:r w:rsidRPr="001B53A8">
        <w:rPr>
          <w:lang w:val="sr-Latn-BA"/>
        </w:rPr>
        <w:t>ispita</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sticanje</w:t>
      </w:r>
      <w:r w:rsidR="009628CE" w:rsidRPr="001B53A8">
        <w:rPr>
          <w:lang w:val="sr-Latn-BA"/>
        </w:rPr>
        <w:t xml:space="preserve"> </w:t>
      </w:r>
      <w:r w:rsidRPr="001B53A8">
        <w:rPr>
          <w:lang w:val="sr-Latn-BA"/>
        </w:rPr>
        <w:t>zvanja</w:t>
      </w:r>
      <w:r w:rsidR="009628CE" w:rsidRPr="001B53A8">
        <w:rPr>
          <w:lang w:val="sr-Latn-BA"/>
        </w:rPr>
        <w:t xml:space="preserve"> </w:t>
      </w:r>
      <w:r w:rsidRPr="001B53A8">
        <w:rPr>
          <w:lang w:val="sr-Latn-BA"/>
        </w:rPr>
        <w:t>investicionog</w:t>
      </w:r>
      <w:r w:rsidR="009628CE" w:rsidRPr="001B53A8">
        <w:rPr>
          <w:lang w:val="sr-Latn-BA"/>
        </w:rPr>
        <w:t xml:space="preserve"> </w:t>
      </w:r>
      <w:r w:rsidRPr="001B53A8">
        <w:rPr>
          <w:lang w:val="sr-Latn-BA"/>
        </w:rPr>
        <w:t>menadžera</w:t>
      </w:r>
      <w:r w:rsidR="009628CE" w:rsidRPr="001B53A8">
        <w:rPr>
          <w:lang w:val="sr-Latn-BA"/>
        </w:rPr>
        <w:t xml:space="preserve">, </w:t>
      </w:r>
      <w:r w:rsidRPr="001B53A8">
        <w:rPr>
          <w:lang w:val="sr-Latn-BA"/>
        </w:rPr>
        <w:t>investicionog</w:t>
      </w:r>
      <w:r w:rsidR="009628CE" w:rsidRPr="001B53A8">
        <w:rPr>
          <w:lang w:val="sr-Latn-BA"/>
        </w:rPr>
        <w:t xml:space="preserve"> </w:t>
      </w:r>
      <w:r w:rsidRPr="001B53A8">
        <w:rPr>
          <w:lang w:val="sr-Latn-BA"/>
        </w:rPr>
        <w:t>savjetnika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brokera</w:t>
      </w:r>
      <w:r w:rsidR="009628CE" w:rsidRPr="001B53A8">
        <w:rPr>
          <w:lang w:val="sr-Latn-BA"/>
        </w:rPr>
        <w:t xml:space="preserve"> </w:t>
      </w:r>
      <w:r w:rsidRPr="001B53A8">
        <w:rPr>
          <w:lang w:val="sr-Latn-BA"/>
        </w:rPr>
        <w:t>su</w:t>
      </w:r>
      <w:r w:rsidR="009628CE" w:rsidRPr="001B53A8">
        <w:rPr>
          <w:lang w:val="sr-Latn-BA"/>
        </w:rPr>
        <w:t xml:space="preserve"> </w:t>
      </w:r>
      <w:r w:rsidRPr="001B53A8">
        <w:rPr>
          <w:lang w:val="sr-Latn-BA"/>
        </w:rPr>
        <w:t>organizovani</w:t>
      </w:r>
      <w:r w:rsidR="009628CE" w:rsidRPr="001B53A8">
        <w:rPr>
          <w:lang w:val="sr-Latn-BA"/>
        </w:rPr>
        <w:t xml:space="preserve"> </w:t>
      </w:r>
      <w:r w:rsidRPr="001B53A8">
        <w:rPr>
          <w:lang w:val="sr-Latn-BA"/>
        </w:rPr>
        <w:t>jednom</w:t>
      </w:r>
      <w:r w:rsidR="009628CE" w:rsidRPr="001B53A8">
        <w:rPr>
          <w:lang w:val="sr-Latn-BA"/>
        </w:rPr>
        <w:t xml:space="preserve"> </w:t>
      </w:r>
      <w:r w:rsidRPr="001B53A8">
        <w:rPr>
          <w:lang w:val="sr-Latn-BA"/>
        </w:rPr>
        <w:t>mjesečno</w:t>
      </w:r>
      <w:r w:rsidR="009628CE" w:rsidRPr="001B53A8">
        <w:rPr>
          <w:lang w:val="sr-Latn-BA"/>
        </w:rPr>
        <w:t xml:space="preserve">. </w:t>
      </w:r>
      <w:r w:rsidRPr="001B53A8">
        <w:rPr>
          <w:lang w:val="sr-Latn-BA"/>
        </w:rPr>
        <w:t>Ispiti</w:t>
      </w:r>
      <w:r w:rsidR="009628CE" w:rsidRPr="001B53A8">
        <w:rPr>
          <w:lang w:val="sr-Latn-BA"/>
        </w:rPr>
        <w:t xml:space="preserve"> </w:t>
      </w:r>
      <w:r w:rsidRPr="001B53A8">
        <w:rPr>
          <w:lang w:val="sr-Latn-BA"/>
        </w:rPr>
        <w:t>su</w:t>
      </w:r>
      <w:r w:rsidR="009628CE" w:rsidRPr="001B53A8">
        <w:rPr>
          <w:lang w:val="sr-Latn-BA"/>
        </w:rPr>
        <w:t xml:space="preserve"> </w:t>
      </w:r>
      <w:r w:rsidRPr="001B53A8">
        <w:rPr>
          <w:lang w:val="sr-Latn-BA"/>
        </w:rPr>
        <w:t>održavani</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skladu</w:t>
      </w:r>
      <w:r w:rsidR="009628CE" w:rsidRPr="001B53A8">
        <w:rPr>
          <w:lang w:val="sr-Latn-BA"/>
        </w:rPr>
        <w:t xml:space="preserve"> </w:t>
      </w:r>
      <w:r w:rsidRPr="001B53A8">
        <w:rPr>
          <w:lang w:val="sr-Latn-BA"/>
        </w:rPr>
        <w:t>sa</w:t>
      </w:r>
      <w:r w:rsidR="009628CE" w:rsidRPr="001B53A8">
        <w:rPr>
          <w:lang w:val="sr-Latn-BA"/>
        </w:rPr>
        <w:t xml:space="preserve"> </w:t>
      </w:r>
      <w:r w:rsidRPr="001B53A8">
        <w:rPr>
          <w:lang w:val="sr-Latn-BA"/>
        </w:rPr>
        <w:t>pristiglim</w:t>
      </w:r>
      <w:r w:rsidR="009628CE" w:rsidRPr="001B53A8">
        <w:rPr>
          <w:lang w:val="sr-Latn-BA"/>
        </w:rPr>
        <w:t xml:space="preserve"> </w:t>
      </w:r>
      <w:r w:rsidRPr="001B53A8">
        <w:rPr>
          <w:lang w:val="sr-Latn-BA"/>
        </w:rPr>
        <w:t>prijavama</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određeni</w:t>
      </w:r>
      <w:r w:rsidR="009628CE" w:rsidRPr="001B53A8">
        <w:rPr>
          <w:lang w:val="sr-Latn-BA"/>
        </w:rPr>
        <w:t xml:space="preserve"> </w:t>
      </w:r>
      <w:r w:rsidRPr="001B53A8">
        <w:rPr>
          <w:lang w:val="sr-Latn-BA"/>
        </w:rPr>
        <w:t>ispitni</w:t>
      </w:r>
      <w:r w:rsidR="009628CE" w:rsidRPr="001B53A8">
        <w:rPr>
          <w:lang w:val="sr-Latn-BA"/>
        </w:rPr>
        <w:t xml:space="preserve"> </w:t>
      </w:r>
      <w:r w:rsidRPr="001B53A8">
        <w:rPr>
          <w:lang w:val="sr-Latn-BA"/>
        </w:rPr>
        <w:t>rok</w:t>
      </w:r>
      <w:r w:rsidR="009628CE" w:rsidRPr="001B53A8">
        <w:rPr>
          <w:lang w:val="sr-Latn-BA"/>
        </w:rPr>
        <w:t>.</w:t>
      </w:r>
    </w:p>
    <w:p w14:paraId="10D59D14" w14:textId="523607CB" w:rsidR="00E072A1" w:rsidRPr="001B53A8" w:rsidRDefault="00003F34" w:rsidP="009813BA">
      <w:pPr>
        <w:spacing w:after="0" w:line="240" w:lineRule="auto"/>
        <w:ind w:firstLine="567"/>
        <w:rPr>
          <w:lang w:val="sr-Latn-BA"/>
        </w:rPr>
      </w:pPr>
      <w:r w:rsidRPr="001B53A8">
        <w:rPr>
          <w:noProof/>
          <w:lang w:val="sr-Latn-BA"/>
        </w:rPr>
        <w:t>U</w:t>
      </w:r>
      <w:r w:rsidR="00BF5474" w:rsidRPr="001B53A8">
        <w:rPr>
          <w:noProof/>
          <w:lang w:val="sr-Latn-BA"/>
        </w:rPr>
        <w:t xml:space="preserve"> 2023. </w:t>
      </w:r>
      <w:r w:rsidRPr="001B53A8">
        <w:rPr>
          <w:noProof/>
          <w:lang w:val="sr-Latn-BA"/>
        </w:rPr>
        <w:t>godini</w:t>
      </w:r>
      <w:r w:rsidR="00BF5474" w:rsidRPr="001B53A8">
        <w:rPr>
          <w:noProof/>
          <w:lang w:val="sr-Latn-BA"/>
        </w:rPr>
        <w:t xml:space="preserve"> </w:t>
      </w:r>
      <w:r w:rsidRPr="001B53A8">
        <w:rPr>
          <w:noProof/>
          <w:lang w:val="sr-Latn-BA"/>
        </w:rPr>
        <w:t>održan</w:t>
      </w:r>
      <w:r w:rsidR="00BF5474" w:rsidRPr="001B53A8">
        <w:rPr>
          <w:noProof/>
          <w:lang w:val="sr-Latn-BA"/>
        </w:rPr>
        <w:t xml:space="preserve"> </w:t>
      </w:r>
      <w:r w:rsidRPr="001B53A8">
        <w:rPr>
          <w:noProof/>
          <w:lang w:val="sr-Latn-BA"/>
        </w:rPr>
        <w:t>je</w:t>
      </w:r>
      <w:r w:rsidR="00BF5474" w:rsidRPr="001B53A8">
        <w:rPr>
          <w:noProof/>
          <w:lang w:val="sr-Latn-BA"/>
        </w:rPr>
        <w:t xml:space="preserve"> </w:t>
      </w:r>
      <w:r w:rsidRPr="001B53A8">
        <w:rPr>
          <w:noProof/>
          <w:lang w:val="sr-Latn-BA"/>
        </w:rPr>
        <w:t>jedan</w:t>
      </w:r>
      <w:r w:rsidR="00BF5474" w:rsidRPr="001B53A8">
        <w:rPr>
          <w:noProof/>
          <w:lang w:val="sr-Latn-BA"/>
        </w:rPr>
        <w:t xml:space="preserve"> </w:t>
      </w:r>
      <w:r w:rsidRPr="001B53A8">
        <w:rPr>
          <w:noProof/>
          <w:lang w:val="sr-Latn-BA"/>
        </w:rPr>
        <w:t>ispitni</w:t>
      </w:r>
      <w:r w:rsidR="00BF5474" w:rsidRPr="001B53A8">
        <w:rPr>
          <w:noProof/>
          <w:lang w:val="sr-Latn-BA"/>
        </w:rPr>
        <w:t xml:space="preserve"> </w:t>
      </w:r>
      <w:r w:rsidRPr="001B53A8">
        <w:rPr>
          <w:noProof/>
          <w:lang w:val="sr-Latn-BA"/>
        </w:rPr>
        <w:t>rok</w:t>
      </w:r>
      <w:r w:rsidR="00BF5474" w:rsidRPr="001B53A8">
        <w:rPr>
          <w:noProof/>
          <w:lang w:val="sr-Latn-BA"/>
        </w:rPr>
        <w:t xml:space="preserve"> </w:t>
      </w:r>
      <w:r w:rsidRPr="001B53A8">
        <w:rPr>
          <w:noProof/>
          <w:lang w:val="sr-Latn-BA"/>
        </w:rPr>
        <w:t>na</w:t>
      </w:r>
      <w:r w:rsidR="00BF5474" w:rsidRPr="001B53A8">
        <w:rPr>
          <w:noProof/>
          <w:lang w:val="sr-Latn-BA"/>
        </w:rPr>
        <w:t xml:space="preserve"> </w:t>
      </w:r>
      <w:r w:rsidRPr="001B53A8">
        <w:rPr>
          <w:noProof/>
          <w:lang w:val="sr-Latn-BA"/>
        </w:rPr>
        <w:t>kojem</w:t>
      </w:r>
      <w:r w:rsidR="00BF5474" w:rsidRPr="001B53A8">
        <w:rPr>
          <w:noProof/>
          <w:lang w:val="sr-Latn-BA"/>
        </w:rPr>
        <w:t xml:space="preserve"> </w:t>
      </w:r>
      <w:r w:rsidRPr="001B53A8">
        <w:rPr>
          <w:noProof/>
          <w:lang w:val="sr-Latn-BA"/>
        </w:rPr>
        <w:t>je</w:t>
      </w:r>
      <w:r w:rsidR="00BF5474" w:rsidRPr="001B53A8">
        <w:rPr>
          <w:noProof/>
          <w:lang w:val="sr-Latn-BA"/>
        </w:rPr>
        <w:t xml:space="preserve"> </w:t>
      </w:r>
      <w:r w:rsidRPr="001B53A8">
        <w:rPr>
          <w:noProof/>
          <w:lang w:val="sr-Latn-BA"/>
        </w:rPr>
        <w:t>jedan</w:t>
      </w:r>
      <w:r w:rsidR="00BF5474" w:rsidRPr="001B53A8">
        <w:rPr>
          <w:noProof/>
          <w:lang w:val="sr-Latn-BA"/>
        </w:rPr>
        <w:t xml:space="preserve"> </w:t>
      </w:r>
      <w:r w:rsidRPr="001B53A8">
        <w:rPr>
          <w:noProof/>
          <w:lang w:val="sr-Latn-BA"/>
        </w:rPr>
        <w:t>kandidat</w:t>
      </w:r>
      <w:r w:rsidR="00BF5474" w:rsidRPr="001B53A8">
        <w:rPr>
          <w:noProof/>
          <w:lang w:val="sr-Latn-BA"/>
        </w:rPr>
        <w:t xml:space="preserve"> </w:t>
      </w:r>
      <w:r w:rsidRPr="001B53A8">
        <w:rPr>
          <w:noProof/>
          <w:lang w:val="sr-Latn-BA"/>
        </w:rPr>
        <w:t>polagao</w:t>
      </w:r>
      <w:r w:rsidR="00BF5474" w:rsidRPr="001B53A8">
        <w:rPr>
          <w:noProof/>
          <w:lang w:val="sr-Latn-BA"/>
        </w:rPr>
        <w:t xml:space="preserve"> </w:t>
      </w:r>
      <w:r w:rsidRPr="001B53A8">
        <w:rPr>
          <w:noProof/>
          <w:lang w:val="sr-Latn-BA"/>
        </w:rPr>
        <w:t>ispit</w:t>
      </w:r>
      <w:r w:rsidR="00BF5474" w:rsidRPr="001B53A8">
        <w:rPr>
          <w:noProof/>
          <w:lang w:val="sr-Latn-BA"/>
        </w:rPr>
        <w:t xml:space="preserve"> </w:t>
      </w:r>
      <w:r w:rsidRPr="001B53A8">
        <w:rPr>
          <w:noProof/>
          <w:lang w:val="sr-Latn-BA"/>
        </w:rPr>
        <w:t>za</w:t>
      </w:r>
      <w:r w:rsidR="00BF5474" w:rsidRPr="001B53A8">
        <w:rPr>
          <w:noProof/>
          <w:lang w:val="sr-Latn-BA"/>
        </w:rPr>
        <w:t xml:space="preserve"> </w:t>
      </w:r>
      <w:r w:rsidRPr="001B53A8">
        <w:rPr>
          <w:noProof/>
          <w:lang w:val="sr-Latn-BA"/>
        </w:rPr>
        <w:t>sticanje</w:t>
      </w:r>
      <w:r w:rsidR="00BF5474" w:rsidRPr="001B53A8">
        <w:rPr>
          <w:noProof/>
          <w:lang w:val="sr-Latn-BA"/>
        </w:rPr>
        <w:t xml:space="preserve"> </w:t>
      </w:r>
      <w:r w:rsidRPr="001B53A8">
        <w:rPr>
          <w:noProof/>
          <w:lang w:val="sr-Latn-BA"/>
        </w:rPr>
        <w:t>zvanja</w:t>
      </w:r>
      <w:r w:rsidR="00BF5474" w:rsidRPr="001B53A8">
        <w:rPr>
          <w:noProof/>
          <w:lang w:val="sr-Latn-BA"/>
        </w:rPr>
        <w:t xml:space="preserve"> </w:t>
      </w:r>
      <w:r w:rsidRPr="001B53A8">
        <w:rPr>
          <w:noProof/>
          <w:lang w:val="sr-Latn-BA"/>
        </w:rPr>
        <w:t>broker</w:t>
      </w:r>
      <w:r w:rsidR="00BF5474" w:rsidRPr="001B53A8">
        <w:rPr>
          <w:noProof/>
          <w:lang w:val="sr-Latn-BA"/>
        </w:rPr>
        <w:t xml:space="preserve"> </w:t>
      </w:r>
      <w:r w:rsidRPr="001B53A8">
        <w:rPr>
          <w:noProof/>
          <w:lang w:val="sr-Latn-BA"/>
        </w:rPr>
        <w:t>i</w:t>
      </w:r>
      <w:r w:rsidR="00BF5474" w:rsidRPr="001B53A8">
        <w:rPr>
          <w:noProof/>
          <w:lang w:val="sr-Latn-BA"/>
        </w:rPr>
        <w:t xml:space="preserve"> </w:t>
      </w:r>
      <w:r w:rsidRPr="001B53A8">
        <w:rPr>
          <w:noProof/>
          <w:lang w:val="sr-Latn-BA"/>
        </w:rPr>
        <w:t>jedan</w:t>
      </w:r>
      <w:r w:rsidR="00BF5474" w:rsidRPr="001B53A8">
        <w:rPr>
          <w:noProof/>
          <w:lang w:val="sr-Latn-BA"/>
        </w:rPr>
        <w:t xml:space="preserve"> </w:t>
      </w:r>
      <w:r w:rsidRPr="001B53A8">
        <w:rPr>
          <w:noProof/>
          <w:lang w:val="sr-Latn-BA"/>
        </w:rPr>
        <w:t>kandidat</w:t>
      </w:r>
      <w:r w:rsidR="00BF5474" w:rsidRPr="001B53A8">
        <w:rPr>
          <w:noProof/>
          <w:lang w:val="sr-Latn-BA"/>
        </w:rPr>
        <w:t xml:space="preserve"> </w:t>
      </w:r>
      <w:r w:rsidRPr="001B53A8">
        <w:rPr>
          <w:noProof/>
          <w:lang w:val="sr-Latn-BA"/>
        </w:rPr>
        <w:t>polagao</w:t>
      </w:r>
      <w:r w:rsidR="00BF5474" w:rsidRPr="001B53A8">
        <w:rPr>
          <w:noProof/>
          <w:lang w:val="sr-Latn-BA"/>
        </w:rPr>
        <w:t xml:space="preserve"> </w:t>
      </w:r>
      <w:r w:rsidRPr="001B53A8">
        <w:rPr>
          <w:noProof/>
          <w:lang w:val="sr-Latn-BA"/>
        </w:rPr>
        <w:t>ispit</w:t>
      </w:r>
      <w:r w:rsidR="00BF5474" w:rsidRPr="001B53A8">
        <w:rPr>
          <w:noProof/>
          <w:lang w:val="sr-Latn-BA"/>
        </w:rPr>
        <w:t xml:space="preserve"> </w:t>
      </w:r>
      <w:r w:rsidRPr="001B53A8">
        <w:rPr>
          <w:noProof/>
          <w:lang w:val="sr-Latn-BA"/>
        </w:rPr>
        <w:t>za</w:t>
      </w:r>
      <w:r w:rsidR="00BF5474" w:rsidRPr="001B53A8">
        <w:rPr>
          <w:noProof/>
          <w:lang w:val="sr-Latn-BA"/>
        </w:rPr>
        <w:t xml:space="preserve"> </w:t>
      </w:r>
      <w:r w:rsidRPr="001B53A8">
        <w:rPr>
          <w:noProof/>
          <w:lang w:val="sr-Latn-BA"/>
        </w:rPr>
        <w:t>sticanje</w:t>
      </w:r>
      <w:r w:rsidR="00BF5474" w:rsidRPr="001B53A8">
        <w:rPr>
          <w:noProof/>
          <w:lang w:val="sr-Latn-BA"/>
        </w:rPr>
        <w:t xml:space="preserve"> </w:t>
      </w:r>
      <w:r w:rsidRPr="001B53A8">
        <w:rPr>
          <w:noProof/>
          <w:lang w:val="sr-Latn-BA"/>
        </w:rPr>
        <w:t>zvanja</w:t>
      </w:r>
      <w:r w:rsidR="00BF5474" w:rsidRPr="001B53A8">
        <w:rPr>
          <w:noProof/>
          <w:lang w:val="sr-Latn-BA"/>
        </w:rPr>
        <w:t xml:space="preserve"> </w:t>
      </w:r>
      <w:r w:rsidRPr="001B53A8">
        <w:rPr>
          <w:noProof/>
          <w:lang w:val="sr-Latn-BA"/>
        </w:rPr>
        <w:t>investicioni</w:t>
      </w:r>
      <w:r w:rsidR="00BF5474" w:rsidRPr="001B53A8">
        <w:rPr>
          <w:noProof/>
          <w:lang w:val="sr-Latn-BA"/>
        </w:rPr>
        <w:t xml:space="preserve"> </w:t>
      </w:r>
      <w:r w:rsidRPr="001B53A8">
        <w:rPr>
          <w:noProof/>
          <w:lang w:val="sr-Latn-BA"/>
        </w:rPr>
        <w:t>menadžer</w:t>
      </w:r>
      <w:r w:rsidR="00BF5474" w:rsidRPr="001B53A8">
        <w:rPr>
          <w:noProof/>
          <w:lang w:val="sr-Latn-BA"/>
        </w:rPr>
        <w:t xml:space="preserve">. </w:t>
      </w:r>
      <w:r w:rsidRPr="001B53A8">
        <w:rPr>
          <w:noProof/>
          <w:lang w:val="sr-Latn-BA"/>
        </w:rPr>
        <w:t>Nakon</w:t>
      </w:r>
      <w:r w:rsidR="00BF5474" w:rsidRPr="001B53A8">
        <w:rPr>
          <w:noProof/>
          <w:lang w:val="sr-Latn-BA"/>
        </w:rPr>
        <w:t xml:space="preserve"> </w:t>
      </w:r>
      <w:r w:rsidRPr="001B53A8">
        <w:rPr>
          <w:noProof/>
          <w:lang w:val="sr-Latn-BA"/>
        </w:rPr>
        <w:t>obrade</w:t>
      </w:r>
      <w:r w:rsidR="00BF5474" w:rsidRPr="001B53A8">
        <w:rPr>
          <w:noProof/>
          <w:lang w:val="sr-Latn-BA"/>
        </w:rPr>
        <w:t xml:space="preserve"> </w:t>
      </w:r>
      <w:r w:rsidRPr="001B53A8">
        <w:rPr>
          <w:noProof/>
          <w:lang w:val="sr-Latn-BA"/>
        </w:rPr>
        <w:t>rezultata</w:t>
      </w:r>
      <w:r w:rsidR="00BF5474" w:rsidRPr="001B53A8">
        <w:rPr>
          <w:noProof/>
          <w:lang w:val="sr-Latn-BA"/>
        </w:rPr>
        <w:t xml:space="preserve"> </w:t>
      </w:r>
      <w:r w:rsidRPr="001B53A8">
        <w:rPr>
          <w:noProof/>
          <w:lang w:val="sr-Latn-BA"/>
        </w:rPr>
        <w:t>urađenih</w:t>
      </w:r>
      <w:r w:rsidR="00BF5474" w:rsidRPr="001B53A8">
        <w:rPr>
          <w:noProof/>
          <w:lang w:val="sr-Latn-BA"/>
        </w:rPr>
        <w:t xml:space="preserve"> </w:t>
      </w:r>
      <w:r w:rsidRPr="001B53A8">
        <w:rPr>
          <w:noProof/>
          <w:lang w:val="sr-Latn-BA"/>
        </w:rPr>
        <w:t>testova</w:t>
      </w:r>
      <w:r w:rsidR="00BF5474" w:rsidRPr="001B53A8">
        <w:rPr>
          <w:noProof/>
          <w:lang w:val="sr-Latn-BA"/>
        </w:rPr>
        <w:t xml:space="preserve">, </w:t>
      </w:r>
      <w:r w:rsidRPr="001B53A8">
        <w:rPr>
          <w:noProof/>
          <w:lang w:val="sr-Latn-BA"/>
        </w:rPr>
        <w:t>utvrđeno</w:t>
      </w:r>
      <w:r w:rsidR="00BF5474" w:rsidRPr="001B53A8">
        <w:rPr>
          <w:noProof/>
          <w:lang w:val="sr-Latn-BA"/>
        </w:rPr>
        <w:t xml:space="preserve"> </w:t>
      </w:r>
      <w:r w:rsidRPr="001B53A8">
        <w:rPr>
          <w:noProof/>
          <w:lang w:val="sr-Latn-BA"/>
        </w:rPr>
        <w:t>je</w:t>
      </w:r>
      <w:r w:rsidR="00BF5474" w:rsidRPr="001B53A8">
        <w:rPr>
          <w:noProof/>
          <w:lang w:val="sr-Latn-BA"/>
        </w:rPr>
        <w:t xml:space="preserve"> </w:t>
      </w:r>
      <w:r w:rsidRPr="001B53A8">
        <w:rPr>
          <w:noProof/>
          <w:lang w:val="sr-Latn-BA"/>
        </w:rPr>
        <w:t>da</w:t>
      </w:r>
      <w:r w:rsidR="00BF5474" w:rsidRPr="001B53A8">
        <w:rPr>
          <w:noProof/>
          <w:lang w:val="sr-Latn-BA"/>
        </w:rPr>
        <w:t xml:space="preserve"> </w:t>
      </w:r>
      <w:r w:rsidRPr="001B53A8">
        <w:rPr>
          <w:noProof/>
          <w:lang w:val="sr-Latn-BA"/>
        </w:rPr>
        <w:t>ispit</w:t>
      </w:r>
      <w:r w:rsidR="00BF5474" w:rsidRPr="001B53A8">
        <w:rPr>
          <w:noProof/>
          <w:lang w:val="sr-Latn-BA"/>
        </w:rPr>
        <w:t xml:space="preserve"> </w:t>
      </w:r>
      <w:r w:rsidRPr="001B53A8">
        <w:rPr>
          <w:noProof/>
          <w:lang w:val="sr-Latn-BA"/>
        </w:rPr>
        <w:t>za</w:t>
      </w:r>
      <w:r w:rsidR="00BF5474" w:rsidRPr="001B53A8">
        <w:rPr>
          <w:noProof/>
          <w:lang w:val="sr-Latn-BA"/>
        </w:rPr>
        <w:t xml:space="preserve"> </w:t>
      </w:r>
      <w:r w:rsidRPr="001B53A8">
        <w:rPr>
          <w:noProof/>
          <w:lang w:val="sr-Latn-BA"/>
        </w:rPr>
        <w:t>sticanje</w:t>
      </w:r>
      <w:r w:rsidR="00BF5474" w:rsidRPr="001B53A8">
        <w:rPr>
          <w:noProof/>
          <w:lang w:val="sr-Latn-BA"/>
        </w:rPr>
        <w:t xml:space="preserve"> </w:t>
      </w:r>
      <w:r w:rsidRPr="001B53A8">
        <w:rPr>
          <w:lang w:val="sr-Latn-BA"/>
        </w:rPr>
        <w:t>zvanja</w:t>
      </w:r>
      <w:r w:rsidR="00BF5474" w:rsidRPr="001B53A8">
        <w:rPr>
          <w:noProof/>
          <w:lang w:val="sr-Latn-BA"/>
        </w:rPr>
        <w:t xml:space="preserve"> </w:t>
      </w:r>
      <w:r w:rsidRPr="001B53A8">
        <w:rPr>
          <w:noProof/>
          <w:lang w:val="sr-Latn-BA"/>
        </w:rPr>
        <w:t>broker</w:t>
      </w:r>
      <w:r w:rsidR="00BF5474" w:rsidRPr="001B53A8">
        <w:rPr>
          <w:noProof/>
          <w:lang w:val="sr-Latn-BA"/>
        </w:rPr>
        <w:t xml:space="preserve"> </w:t>
      </w:r>
      <w:r w:rsidRPr="001B53A8">
        <w:rPr>
          <w:noProof/>
          <w:lang w:val="sr-Latn-BA"/>
        </w:rPr>
        <w:t>kandidat</w:t>
      </w:r>
      <w:r w:rsidR="00A277DE" w:rsidRPr="001B53A8">
        <w:rPr>
          <w:noProof/>
          <w:lang w:val="sr-Latn-BA"/>
        </w:rPr>
        <w:t xml:space="preserve"> </w:t>
      </w:r>
      <w:r w:rsidRPr="001B53A8">
        <w:rPr>
          <w:noProof/>
          <w:lang w:val="sr-Latn-BA"/>
        </w:rPr>
        <w:t>nije</w:t>
      </w:r>
      <w:r w:rsidR="00BF5474" w:rsidRPr="001B53A8">
        <w:rPr>
          <w:noProof/>
          <w:lang w:val="sr-Latn-BA"/>
        </w:rPr>
        <w:t xml:space="preserve"> </w:t>
      </w:r>
      <w:r w:rsidRPr="001B53A8">
        <w:rPr>
          <w:noProof/>
          <w:lang w:val="sr-Latn-BA"/>
        </w:rPr>
        <w:t>položio</w:t>
      </w:r>
      <w:r w:rsidR="00A277DE" w:rsidRPr="001B53A8">
        <w:rPr>
          <w:noProof/>
          <w:lang w:val="sr-Latn-BA"/>
        </w:rPr>
        <w:t xml:space="preserve"> </w:t>
      </w:r>
      <w:r w:rsidRPr="001B53A8">
        <w:rPr>
          <w:noProof/>
          <w:lang w:val="sr-Latn-BA"/>
        </w:rPr>
        <w:t>ispit</w:t>
      </w:r>
      <w:r w:rsidR="00BF5474" w:rsidRPr="001B53A8">
        <w:rPr>
          <w:noProof/>
          <w:lang w:val="sr-Latn-BA"/>
        </w:rPr>
        <w:t xml:space="preserve">, </w:t>
      </w:r>
      <w:r w:rsidRPr="001B53A8">
        <w:rPr>
          <w:noProof/>
          <w:lang w:val="sr-Latn-BA"/>
        </w:rPr>
        <w:t>a</w:t>
      </w:r>
      <w:r w:rsidR="00BF5474" w:rsidRPr="001B53A8">
        <w:rPr>
          <w:noProof/>
          <w:lang w:val="sr-Latn-BA"/>
        </w:rPr>
        <w:t xml:space="preserve"> </w:t>
      </w:r>
      <w:r w:rsidRPr="001B53A8">
        <w:rPr>
          <w:noProof/>
          <w:lang w:val="sr-Latn-BA"/>
        </w:rPr>
        <w:t>za</w:t>
      </w:r>
      <w:r w:rsidR="00BF5474" w:rsidRPr="001B53A8">
        <w:rPr>
          <w:noProof/>
          <w:lang w:val="sr-Latn-BA"/>
        </w:rPr>
        <w:t xml:space="preserve"> </w:t>
      </w:r>
      <w:r w:rsidRPr="001B53A8">
        <w:rPr>
          <w:noProof/>
          <w:lang w:val="sr-Latn-BA"/>
        </w:rPr>
        <w:t>sticanje</w:t>
      </w:r>
      <w:r w:rsidR="00BF5474" w:rsidRPr="001B53A8">
        <w:rPr>
          <w:noProof/>
          <w:lang w:val="sr-Latn-BA"/>
        </w:rPr>
        <w:t xml:space="preserve"> </w:t>
      </w:r>
      <w:r w:rsidRPr="001B53A8">
        <w:rPr>
          <w:noProof/>
          <w:lang w:val="sr-Latn-BA"/>
        </w:rPr>
        <w:t>zvanja</w:t>
      </w:r>
      <w:r w:rsidR="00BF5474" w:rsidRPr="001B53A8">
        <w:rPr>
          <w:noProof/>
          <w:lang w:val="sr-Latn-BA"/>
        </w:rPr>
        <w:t xml:space="preserve"> </w:t>
      </w:r>
      <w:r w:rsidRPr="001B53A8">
        <w:rPr>
          <w:noProof/>
          <w:lang w:val="sr-Latn-BA"/>
        </w:rPr>
        <w:t>investicioni</w:t>
      </w:r>
      <w:r w:rsidR="00BF5474" w:rsidRPr="001B53A8">
        <w:rPr>
          <w:noProof/>
          <w:lang w:val="sr-Latn-BA"/>
        </w:rPr>
        <w:t xml:space="preserve"> </w:t>
      </w:r>
      <w:r w:rsidRPr="001B53A8">
        <w:rPr>
          <w:noProof/>
          <w:lang w:val="sr-Latn-BA"/>
        </w:rPr>
        <w:t>mendžer</w:t>
      </w:r>
      <w:r w:rsidR="00BF5474" w:rsidRPr="001B53A8">
        <w:rPr>
          <w:noProof/>
          <w:lang w:val="sr-Latn-BA"/>
        </w:rPr>
        <w:t xml:space="preserve"> </w:t>
      </w:r>
      <w:r w:rsidRPr="001B53A8">
        <w:rPr>
          <w:noProof/>
          <w:lang w:val="sr-Latn-BA"/>
        </w:rPr>
        <w:t>kandidat</w:t>
      </w:r>
      <w:r w:rsidR="00A277DE" w:rsidRPr="001B53A8">
        <w:rPr>
          <w:noProof/>
          <w:lang w:val="sr-Latn-BA"/>
        </w:rPr>
        <w:t xml:space="preserve"> </w:t>
      </w:r>
      <w:r w:rsidRPr="001B53A8">
        <w:rPr>
          <w:noProof/>
          <w:lang w:val="sr-Latn-BA"/>
        </w:rPr>
        <w:t>je</w:t>
      </w:r>
      <w:r w:rsidR="00A277DE" w:rsidRPr="001B53A8">
        <w:rPr>
          <w:noProof/>
          <w:lang w:val="sr-Latn-BA"/>
        </w:rPr>
        <w:t xml:space="preserve"> </w:t>
      </w:r>
      <w:r w:rsidRPr="001B53A8">
        <w:rPr>
          <w:noProof/>
          <w:lang w:val="sr-Latn-BA"/>
        </w:rPr>
        <w:t>položio</w:t>
      </w:r>
      <w:r w:rsidR="00BF5474" w:rsidRPr="001B53A8">
        <w:rPr>
          <w:noProof/>
          <w:lang w:val="sr-Latn-BA"/>
        </w:rPr>
        <w:t xml:space="preserve"> </w:t>
      </w:r>
      <w:r w:rsidRPr="001B53A8">
        <w:rPr>
          <w:noProof/>
          <w:lang w:val="sr-Latn-BA"/>
        </w:rPr>
        <w:t>ispit</w:t>
      </w:r>
      <w:r w:rsidR="00BF5474" w:rsidRPr="001B53A8">
        <w:rPr>
          <w:lang w:val="sr-Latn-BA"/>
        </w:rPr>
        <w:t>.</w:t>
      </w:r>
    </w:p>
    <w:p w14:paraId="70E65276" w14:textId="1A597337" w:rsidR="009813BA" w:rsidRPr="001B53A8" w:rsidRDefault="00003F34" w:rsidP="009813BA">
      <w:pPr>
        <w:pStyle w:val="Heading2"/>
        <w:spacing w:before="240" w:after="0" w:line="240" w:lineRule="auto"/>
        <w:ind w:left="578" w:hanging="578"/>
        <w:rPr>
          <w:rFonts w:ascii="Times New Roman" w:hAnsi="Times New Roman"/>
          <w:sz w:val="24"/>
          <w:lang w:val="sr-Latn-BA"/>
        </w:rPr>
      </w:pPr>
      <w:bookmarkStart w:id="69" w:name="_Toc167962119"/>
      <w:bookmarkStart w:id="70" w:name="_Hlk144893653"/>
      <w:r w:rsidRPr="001B53A8">
        <w:rPr>
          <w:rFonts w:ascii="Times New Roman" w:hAnsi="Times New Roman"/>
          <w:sz w:val="24"/>
          <w:lang w:val="sr-Latn-BA"/>
        </w:rPr>
        <w:lastRenderedPageBreak/>
        <w:t>Evidencija</w:t>
      </w:r>
      <w:r w:rsidR="009813BA" w:rsidRPr="001B53A8">
        <w:rPr>
          <w:rFonts w:ascii="Times New Roman" w:hAnsi="Times New Roman"/>
          <w:sz w:val="24"/>
          <w:lang w:val="sr-Latn-BA"/>
        </w:rPr>
        <w:t xml:space="preserve"> </w:t>
      </w:r>
      <w:r w:rsidRPr="001B53A8">
        <w:rPr>
          <w:rFonts w:ascii="Times New Roman" w:hAnsi="Times New Roman"/>
          <w:sz w:val="24"/>
          <w:lang w:val="sr-Latn-BA"/>
        </w:rPr>
        <w:t>pružalaca</w:t>
      </w:r>
      <w:r w:rsidR="009813BA" w:rsidRPr="001B53A8">
        <w:rPr>
          <w:rFonts w:ascii="Times New Roman" w:hAnsi="Times New Roman"/>
          <w:sz w:val="24"/>
          <w:lang w:val="sr-Latn-BA"/>
        </w:rPr>
        <w:t xml:space="preserve"> </w:t>
      </w:r>
      <w:r w:rsidRPr="001B53A8">
        <w:rPr>
          <w:rFonts w:ascii="Times New Roman" w:hAnsi="Times New Roman"/>
          <w:sz w:val="24"/>
          <w:lang w:val="sr-Latn-BA"/>
        </w:rPr>
        <w:t>usluga</w:t>
      </w:r>
      <w:r w:rsidR="009813BA" w:rsidRPr="001B53A8">
        <w:rPr>
          <w:rFonts w:ascii="Times New Roman" w:hAnsi="Times New Roman"/>
          <w:sz w:val="24"/>
          <w:lang w:val="sr-Latn-BA"/>
        </w:rPr>
        <w:t xml:space="preserve"> </w:t>
      </w:r>
      <w:r w:rsidRPr="001B53A8">
        <w:rPr>
          <w:rFonts w:ascii="Times New Roman" w:hAnsi="Times New Roman"/>
          <w:sz w:val="24"/>
          <w:lang w:val="sr-Latn-BA"/>
        </w:rPr>
        <w:t>povezanih</w:t>
      </w:r>
      <w:r w:rsidR="009813BA" w:rsidRPr="001B53A8">
        <w:rPr>
          <w:rFonts w:ascii="Times New Roman" w:hAnsi="Times New Roman"/>
          <w:sz w:val="24"/>
          <w:lang w:val="sr-Latn-BA"/>
        </w:rPr>
        <w:t xml:space="preserve"> </w:t>
      </w:r>
      <w:r w:rsidRPr="001B53A8">
        <w:rPr>
          <w:rFonts w:ascii="Times New Roman" w:hAnsi="Times New Roman"/>
          <w:sz w:val="24"/>
          <w:lang w:val="sr-Latn-BA"/>
        </w:rPr>
        <w:t>sa</w:t>
      </w:r>
      <w:r w:rsidR="009813BA" w:rsidRPr="001B53A8">
        <w:rPr>
          <w:rFonts w:ascii="Times New Roman" w:hAnsi="Times New Roman"/>
          <w:sz w:val="24"/>
          <w:lang w:val="sr-Latn-BA"/>
        </w:rPr>
        <w:t xml:space="preserve"> </w:t>
      </w:r>
      <w:r w:rsidRPr="001B53A8">
        <w:rPr>
          <w:rFonts w:ascii="Times New Roman" w:hAnsi="Times New Roman"/>
          <w:sz w:val="24"/>
          <w:lang w:val="sr-Latn-BA"/>
        </w:rPr>
        <w:t>virtuelnim</w:t>
      </w:r>
      <w:r w:rsidR="009813BA" w:rsidRPr="001B53A8">
        <w:rPr>
          <w:rFonts w:ascii="Times New Roman" w:hAnsi="Times New Roman"/>
          <w:sz w:val="24"/>
          <w:lang w:val="sr-Latn-BA"/>
        </w:rPr>
        <w:t xml:space="preserve"> </w:t>
      </w:r>
      <w:r w:rsidRPr="001B53A8">
        <w:rPr>
          <w:rFonts w:ascii="Times New Roman" w:hAnsi="Times New Roman"/>
          <w:sz w:val="24"/>
          <w:lang w:val="sr-Latn-BA"/>
        </w:rPr>
        <w:t>valutama</w:t>
      </w:r>
      <w:bookmarkEnd w:id="69"/>
    </w:p>
    <w:p w14:paraId="4EF67A31" w14:textId="2FAA6D0C" w:rsidR="009813BA" w:rsidRPr="001B53A8" w:rsidRDefault="00003F34" w:rsidP="009813BA">
      <w:pPr>
        <w:spacing w:after="0" w:line="240" w:lineRule="auto"/>
        <w:ind w:firstLine="567"/>
        <w:rPr>
          <w:rFonts w:asciiTheme="minorHAnsi" w:eastAsia="Calibri" w:hAnsiTheme="minorHAnsi"/>
          <w:lang w:val="sr-Latn-BA"/>
        </w:rPr>
      </w:pPr>
      <w:r w:rsidRPr="001B53A8">
        <w:rPr>
          <w:bCs/>
          <w:lang w:val="sr-Latn-BA"/>
        </w:rPr>
        <w:t>Zakonom</w:t>
      </w:r>
      <w:r w:rsidR="009813BA" w:rsidRPr="001B53A8">
        <w:rPr>
          <w:bCs/>
          <w:lang w:val="sr-Latn-BA"/>
        </w:rPr>
        <w:t xml:space="preserve"> </w:t>
      </w:r>
      <w:r w:rsidRPr="001B53A8">
        <w:rPr>
          <w:bCs/>
          <w:lang w:val="sr-Latn-BA"/>
        </w:rPr>
        <w:t>o</w:t>
      </w:r>
      <w:r w:rsidR="009813BA" w:rsidRPr="001B53A8">
        <w:rPr>
          <w:bCs/>
          <w:lang w:val="sr-Latn-BA"/>
        </w:rPr>
        <w:t xml:space="preserve"> </w:t>
      </w:r>
      <w:r w:rsidRPr="001B53A8">
        <w:rPr>
          <w:bCs/>
          <w:lang w:val="sr-Latn-BA"/>
        </w:rPr>
        <w:t>izmjenama</w:t>
      </w:r>
      <w:r w:rsidR="009813BA" w:rsidRPr="001B53A8">
        <w:rPr>
          <w:bCs/>
          <w:lang w:val="sr-Latn-BA"/>
        </w:rPr>
        <w:t xml:space="preserve"> </w:t>
      </w:r>
      <w:r w:rsidRPr="001B53A8">
        <w:rPr>
          <w:bCs/>
          <w:lang w:val="sr-Latn-BA"/>
        </w:rPr>
        <w:t>i</w:t>
      </w:r>
      <w:r w:rsidR="009813BA" w:rsidRPr="001B53A8">
        <w:rPr>
          <w:bCs/>
          <w:lang w:val="sr-Latn-BA"/>
        </w:rPr>
        <w:t xml:space="preserve"> </w:t>
      </w:r>
      <w:r w:rsidRPr="001B53A8">
        <w:rPr>
          <w:bCs/>
          <w:lang w:val="sr-Latn-BA"/>
        </w:rPr>
        <w:t>dopunama</w:t>
      </w:r>
      <w:r w:rsidR="009813BA" w:rsidRPr="001B53A8">
        <w:rPr>
          <w:bCs/>
          <w:lang w:val="sr-Latn-BA"/>
        </w:rPr>
        <w:t xml:space="preserve"> </w:t>
      </w:r>
      <w:r w:rsidRPr="001B53A8">
        <w:rPr>
          <w:bCs/>
          <w:lang w:val="sr-Latn-BA"/>
        </w:rPr>
        <w:t>Zakona</w:t>
      </w:r>
      <w:r w:rsidR="009813BA" w:rsidRPr="001B53A8">
        <w:rPr>
          <w:bCs/>
          <w:lang w:val="sr-Latn-BA"/>
        </w:rPr>
        <w:t xml:space="preserve"> </w:t>
      </w:r>
      <w:r w:rsidRPr="001B53A8">
        <w:rPr>
          <w:bCs/>
          <w:lang w:val="sr-Latn-BA"/>
        </w:rPr>
        <w:t>o</w:t>
      </w:r>
      <w:r w:rsidR="009813BA" w:rsidRPr="001B53A8">
        <w:rPr>
          <w:bCs/>
          <w:lang w:val="sr-Latn-BA"/>
        </w:rPr>
        <w:t xml:space="preserve"> </w:t>
      </w:r>
      <w:r w:rsidRPr="001B53A8">
        <w:rPr>
          <w:bCs/>
          <w:lang w:val="sr-Latn-BA"/>
        </w:rPr>
        <w:t>tržištu</w:t>
      </w:r>
      <w:r w:rsidR="009813BA" w:rsidRPr="001B53A8">
        <w:rPr>
          <w:bCs/>
          <w:lang w:val="sr-Latn-BA"/>
        </w:rPr>
        <w:t xml:space="preserve"> </w:t>
      </w:r>
      <w:r w:rsidRPr="001B53A8">
        <w:rPr>
          <w:bCs/>
          <w:lang w:val="sr-Latn-BA"/>
        </w:rPr>
        <w:t>hartija</w:t>
      </w:r>
      <w:r w:rsidR="009813BA" w:rsidRPr="001B53A8">
        <w:rPr>
          <w:bCs/>
          <w:lang w:val="sr-Latn-BA"/>
        </w:rPr>
        <w:t xml:space="preserve"> </w:t>
      </w:r>
      <w:r w:rsidRPr="001B53A8">
        <w:rPr>
          <w:bCs/>
          <w:lang w:val="sr-Latn-BA"/>
        </w:rPr>
        <w:t>od</w:t>
      </w:r>
      <w:r w:rsidR="009813BA" w:rsidRPr="001B53A8">
        <w:rPr>
          <w:bCs/>
          <w:lang w:val="sr-Latn-BA"/>
        </w:rPr>
        <w:t xml:space="preserve"> </w:t>
      </w:r>
      <w:r w:rsidRPr="001B53A8">
        <w:rPr>
          <w:bCs/>
          <w:lang w:val="sr-Latn-BA"/>
        </w:rPr>
        <w:t>vrijednosti</w:t>
      </w:r>
      <w:r w:rsidR="009813BA" w:rsidRPr="001B53A8">
        <w:rPr>
          <w:bCs/>
          <w:lang w:val="sr-Latn-BA"/>
        </w:rPr>
        <w:t xml:space="preserve"> </w:t>
      </w:r>
      <w:r w:rsidRPr="001B53A8">
        <w:rPr>
          <w:bCs/>
          <w:lang w:val="sr-Latn-BA"/>
        </w:rPr>
        <w:t>koji</w:t>
      </w:r>
      <w:r w:rsidR="009813BA" w:rsidRPr="001B53A8">
        <w:rPr>
          <w:bCs/>
          <w:lang w:val="sr-Latn-BA"/>
        </w:rPr>
        <w:t xml:space="preserve"> </w:t>
      </w:r>
      <w:r w:rsidRPr="001B53A8">
        <w:rPr>
          <w:bCs/>
          <w:lang w:val="sr-Latn-BA"/>
        </w:rPr>
        <w:t>je</w:t>
      </w:r>
      <w:r w:rsidR="009813BA" w:rsidRPr="001B53A8">
        <w:rPr>
          <w:bCs/>
          <w:lang w:val="sr-Latn-BA"/>
        </w:rPr>
        <w:t xml:space="preserve"> </w:t>
      </w:r>
      <w:r w:rsidRPr="001B53A8">
        <w:rPr>
          <w:bCs/>
          <w:lang w:val="sr-Latn-BA"/>
        </w:rPr>
        <w:t>objavlјen</w:t>
      </w:r>
      <w:r w:rsidR="009813BA" w:rsidRPr="001B53A8">
        <w:rPr>
          <w:bCs/>
          <w:lang w:val="sr-Latn-BA"/>
        </w:rPr>
        <w:t xml:space="preserve"> </w:t>
      </w:r>
      <w:r w:rsidRPr="001B53A8">
        <w:rPr>
          <w:bCs/>
          <w:lang w:val="sr-Latn-BA"/>
        </w:rPr>
        <w:t>u</w:t>
      </w:r>
      <w:r w:rsidR="009813BA" w:rsidRPr="001B53A8">
        <w:rPr>
          <w:bCs/>
          <w:lang w:val="sr-Latn-BA"/>
        </w:rPr>
        <w:t xml:space="preserve"> </w:t>
      </w:r>
      <w:r w:rsidRPr="001B53A8">
        <w:rPr>
          <w:bCs/>
          <w:lang w:val="sr-Latn-BA"/>
        </w:rPr>
        <w:t>Službenom</w:t>
      </w:r>
      <w:r w:rsidR="009813BA" w:rsidRPr="001B53A8">
        <w:rPr>
          <w:bCs/>
          <w:lang w:val="sr-Latn-BA"/>
        </w:rPr>
        <w:t xml:space="preserve"> </w:t>
      </w:r>
      <w:r w:rsidRPr="001B53A8">
        <w:rPr>
          <w:bCs/>
          <w:lang w:val="sr-Latn-BA"/>
        </w:rPr>
        <w:t>glasniku</w:t>
      </w:r>
      <w:r w:rsidR="009813BA" w:rsidRPr="001B53A8">
        <w:rPr>
          <w:bCs/>
          <w:lang w:val="sr-Latn-BA"/>
        </w:rPr>
        <w:t xml:space="preserve"> </w:t>
      </w:r>
      <w:r w:rsidRPr="001B53A8">
        <w:rPr>
          <w:bCs/>
          <w:lang w:val="sr-Latn-BA"/>
        </w:rPr>
        <w:t>Republike</w:t>
      </w:r>
      <w:r w:rsidR="009813BA" w:rsidRPr="001B53A8">
        <w:rPr>
          <w:bCs/>
          <w:lang w:val="sr-Latn-BA"/>
        </w:rPr>
        <w:t xml:space="preserve"> </w:t>
      </w:r>
      <w:r w:rsidRPr="001B53A8">
        <w:rPr>
          <w:bCs/>
          <w:lang w:val="sr-Latn-BA"/>
        </w:rPr>
        <w:t>Srpske</w:t>
      </w:r>
      <w:r w:rsidR="009813BA" w:rsidRPr="001B53A8">
        <w:rPr>
          <w:bCs/>
          <w:lang w:val="sr-Latn-BA"/>
        </w:rPr>
        <w:t xml:space="preserve"> </w:t>
      </w:r>
      <w:r w:rsidRPr="001B53A8">
        <w:rPr>
          <w:bCs/>
          <w:lang w:val="sr-Latn-BA"/>
        </w:rPr>
        <w:t>dana</w:t>
      </w:r>
      <w:r w:rsidR="009813BA" w:rsidRPr="001B53A8">
        <w:rPr>
          <w:bCs/>
          <w:lang w:val="sr-Latn-BA"/>
        </w:rPr>
        <w:t xml:space="preserve"> 05.07.2022. </w:t>
      </w:r>
      <w:r w:rsidRPr="001B53A8">
        <w:rPr>
          <w:bCs/>
          <w:lang w:val="sr-Latn-BA"/>
        </w:rPr>
        <w:t>godine</w:t>
      </w:r>
      <w:r w:rsidR="009813BA" w:rsidRPr="001B53A8">
        <w:rPr>
          <w:bCs/>
          <w:lang w:val="sr-Latn-BA"/>
        </w:rPr>
        <w:t>,</w:t>
      </w:r>
      <w:r w:rsidR="009813BA" w:rsidRPr="001B53A8">
        <w:rPr>
          <w:rStyle w:val="FootnoteReference"/>
          <w:bCs/>
          <w:lang w:val="sr-Latn-BA"/>
        </w:rPr>
        <w:footnoteReference w:id="17"/>
      </w:r>
      <w:r w:rsidR="009813BA" w:rsidRPr="001B53A8">
        <w:rPr>
          <w:rFonts w:eastAsia="Calibri"/>
          <w:lang w:val="sr-Latn-BA"/>
        </w:rPr>
        <w:t xml:space="preserve"> </w:t>
      </w:r>
      <w:r w:rsidRPr="001B53A8">
        <w:rPr>
          <w:rFonts w:eastAsia="Calibri"/>
          <w:lang w:val="sr-Latn-BA"/>
        </w:rPr>
        <w:t>Komisija</w:t>
      </w:r>
      <w:r w:rsidR="009813BA" w:rsidRPr="001B53A8">
        <w:rPr>
          <w:rFonts w:eastAsia="Calibri"/>
          <w:lang w:val="sr-Latn-BA"/>
        </w:rPr>
        <w:t xml:space="preserve"> </w:t>
      </w:r>
      <w:r w:rsidRPr="001B53A8">
        <w:rPr>
          <w:rFonts w:eastAsia="Calibri"/>
          <w:lang w:val="sr-Latn-BA"/>
        </w:rPr>
        <w:t>je</w:t>
      </w:r>
      <w:r w:rsidR="009813BA" w:rsidRPr="001B53A8">
        <w:rPr>
          <w:rFonts w:asciiTheme="minorHAnsi" w:eastAsia="Calibri" w:hAnsiTheme="minorHAnsi"/>
          <w:lang w:val="sr-Latn-BA"/>
        </w:rPr>
        <w:t xml:space="preserve"> </w:t>
      </w:r>
      <w:r w:rsidRPr="001B53A8">
        <w:rPr>
          <w:rFonts w:eastAsia="Calibri"/>
          <w:lang w:val="sr-Latn-BA"/>
        </w:rPr>
        <w:t>određena</w:t>
      </w:r>
      <w:r w:rsidR="009813BA" w:rsidRPr="001B53A8">
        <w:rPr>
          <w:rFonts w:eastAsia="Calibri"/>
          <w:lang w:val="sr-Latn-BA"/>
        </w:rPr>
        <w:t xml:space="preserve"> </w:t>
      </w:r>
      <w:r w:rsidRPr="001B53A8">
        <w:rPr>
          <w:rFonts w:eastAsia="Calibri"/>
          <w:lang w:val="sr-Latn-BA"/>
        </w:rPr>
        <w:t>kao</w:t>
      </w:r>
      <w:r w:rsidR="009813BA" w:rsidRPr="001B53A8">
        <w:rPr>
          <w:rFonts w:eastAsia="Calibri"/>
          <w:lang w:val="sr-Latn-BA"/>
        </w:rPr>
        <w:t xml:space="preserve"> </w:t>
      </w:r>
      <w:r w:rsidRPr="001B53A8">
        <w:rPr>
          <w:rFonts w:eastAsia="Calibri"/>
          <w:lang w:val="sr-Latn-BA"/>
        </w:rPr>
        <w:t>nadležna</w:t>
      </w:r>
      <w:r w:rsidR="009813BA" w:rsidRPr="001B53A8">
        <w:rPr>
          <w:rFonts w:eastAsia="Calibri"/>
          <w:lang w:val="sr-Latn-BA"/>
        </w:rPr>
        <w:t xml:space="preserve"> </w:t>
      </w:r>
      <w:r w:rsidRPr="001B53A8">
        <w:rPr>
          <w:rFonts w:eastAsia="Calibri"/>
          <w:lang w:val="sr-Latn-BA"/>
        </w:rPr>
        <w:t>da</w:t>
      </w:r>
      <w:r w:rsidR="009813BA" w:rsidRPr="001B53A8">
        <w:rPr>
          <w:rFonts w:eastAsia="Calibri"/>
          <w:lang w:val="sr-Latn-BA"/>
        </w:rPr>
        <w:t xml:space="preserve"> </w:t>
      </w:r>
      <w:r w:rsidRPr="001B53A8">
        <w:rPr>
          <w:rFonts w:eastAsia="Calibri"/>
          <w:lang w:val="sr-Latn-BA"/>
        </w:rPr>
        <w:t>vodi</w:t>
      </w:r>
      <w:r w:rsidR="00A277DE" w:rsidRPr="001B53A8">
        <w:rPr>
          <w:rFonts w:eastAsia="Calibri"/>
          <w:lang w:val="sr-Latn-BA"/>
        </w:rPr>
        <w:t xml:space="preserve"> </w:t>
      </w:r>
      <w:r w:rsidRPr="001B53A8">
        <w:rPr>
          <w:rFonts w:eastAsia="Calibri"/>
          <w:lang w:val="sr-Latn-BA"/>
        </w:rPr>
        <w:t>evidenciju</w:t>
      </w:r>
      <w:r w:rsidR="00A277DE" w:rsidRPr="001B53A8">
        <w:rPr>
          <w:rFonts w:eastAsia="Calibri"/>
          <w:lang w:val="sr-Latn-BA"/>
        </w:rPr>
        <w:t xml:space="preserve"> </w:t>
      </w:r>
      <w:r w:rsidRPr="001B53A8">
        <w:rPr>
          <w:rFonts w:eastAsia="Calibri"/>
          <w:lang w:val="sr-Latn-BA"/>
        </w:rPr>
        <w:t>vršilaca</w:t>
      </w:r>
      <w:r w:rsidR="00A277DE" w:rsidRPr="001B53A8">
        <w:rPr>
          <w:rFonts w:eastAsia="Calibri"/>
          <w:lang w:val="sr-Latn-BA"/>
        </w:rPr>
        <w:t xml:space="preserve"> </w:t>
      </w:r>
      <w:r w:rsidRPr="001B53A8">
        <w:rPr>
          <w:rFonts w:eastAsia="Calibri"/>
          <w:lang w:val="sr-Latn-BA"/>
        </w:rPr>
        <w:t>usluga</w:t>
      </w:r>
      <w:r w:rsidR="00A277DE" w:rsidRPr="001B53A8">
        <w:rPr>
          <w:rFonts w:eastAsia="Calibri"/>
          <w:lang w:val="sr-Latn-BA"/>
        </w:rPr>
        <w:t xml:space="preserve"> </w:t>
      </w:r>
      <w:r w:rsidRPr="001B53A8">
        <w:rPr>
          <w:rFonts w:eastAsia="Calibri"/>
          <w:lang w:val="sr-Latn-BA"/>
        </w:rPr>
        <w:t>povezanih</w:t>
      </w:r>
      <w:r w:rsidR="00A277DE" w:rsidRPr="001B53A8">
        <w:rPr>
          <w:rFonts w:eastAsia="Calibri"/>
          <w:lang w:val="sr-Latn-BA"/>
        </w:rPr>
        <w:t xml:space="preserve"> </w:t>
      </w:r>
      <w:r w:rsidRPr="001B53A8">
        <w:rPr>
          <w:rFonts w:eastAsia="Calibri"/>
          <w:lang w:val="sr-Latn-BA"/>
        </w:rPr>
        <w:t>sa</w:t>
      </w:r>
      <w:r w:rsidR="00A277DE" w:rsidRPr="001B53A8">
        <w:rPr>
          <w:rFonts w:eastAsia="Calibri"/>
          <w:lang w:val="sr-Latn-BA"/>
        </w:rPr>
        <w:t xml:space="preserve"> </w:t>
      </w:r>
      <w:r w:rsidRPr="001B53A8">
        <w:rPr>
          <w:rFonts w:eastAsia="Calibri"/>
          <w:lang w:val="sr-Latn-BA"/>
        </w:rPr>
        <w:t>virtuelnim</w:t>
      </w:r>
      <w:r w:rsidR="00A277DE" w:rsidRPr="001B53A8">
        <w:rPr>
          <w:rFonts w:eastAsia="Calibri"/>
          <w:lang w:val="sr-Latn-BA"/>
        </w:rPr>
        <w:t xml:space="preserve"> </w:t>
      </w:r>
      <w:r w:rsidRPr="001B53A8">
        <w:rPr>
          <w:rFonts w:eastAsia="Calibri"/>
          <w:lang w:val="sr-Latn-BA"/>
        </w:rPr>
        <w:t>valutama</w:t>
      </w:r>
      <w:r w:rsidR="00A277DE" w:rsidRPr="001B53A8">
        <w:rPr>
          <w:rFonts w:eastAsia="Calibri"/>
          <w:lang w:val="sr-Latn-BA"/>
        </w:rPr>
        <w:t xml:space="preserve">, </w:t>
      </w:r>
      <w:r w:rsidRPr="001B53A8">
        <w:rPr>
          <w:rFonts w:eastAsia="Calibri"/>
          <w:lang w:val="sr-Latn-BA"/>
        </w:rPr>
        <w:t>te</w:t>
      </w:r>
      <w:r w:rsidR="00A277DE" w:rsidRPr="001B53A8">
        <w:rPr>
          <w:rFonts w:eastAsia="Calibri"/>
          <w:lang w:val="sr-Latn-BA"/>
        </w:rPr>
        <w:t xml:space="preserve"> </w:t>
      </w:r>
      <w:r w:rsidRPr="001B53A8">
        <w:rPr>
          <w:rFonts w:eastAsia="Calibri"/>
          <w:lang w:val="sr-Latn-BA"/>
        </w:rPr>
        <w:t>da</w:t>
      </w:r>
      <w:r w:rsidR="00A277DE" w:rsidRPr="001B53A8">
        <w:rPr>
          <w:rFonts w:eastAsia="Calibri"/>
          <w:lang w:val="sr-Latn-BA"/>
        </w:rPr>
        <w:t xml:space="preserve"> </w:t>
      </w:r>
      <w:r w:rsidRPr="001B53A8">
        <w:rPr>
          <w:rFonts w:eastAsia="Calibri"/>
          <w:lang w:val="sr-Latn-BA"/>
        </w:rPr>
        <w:t>vrši</w:t>
      </w:r>
      <w:r w:rsidR="009813BA" w:rsidRPr="001B53A8">
        <w:rPr>
          <w:rFonts w:eastAsia="Calibri"/>
          <w:lang w:val="sr-Latn-BA"/>
        </w:rPr>
        <w:t xml:space="preserve"> </w:t>
      </w:r>
      <w:r w:rsidRPr="001B53A8">
        <w:rPr>
          <w:rFonts w:eastAsia="Calibri"/>
          <w:lang w:val="sr-Latn-BA"/>
        </w:rPr>
        <w:t>nadzor</w:t>
      </w:r>
      <w:r w:rsidR="009813BA" w:rsidRPr="001B53A8">
        <w:rPr>
          <w:rFonts w:eastAsia="Calibri"/>
          <w:lang w:val="sr-Latn-BA"/>
        </w:rPr>
        <w:t xml:space="preserve"> </w:t>
      </w:r>
      <w:r w:rsidRPr="001B53A8">
        <w:rPr>
          <w:lang w:val="sr-Latn-BA"/>
        </w:rPr>
        <w:t>usklađenosti</w:t>
      </w:r>
      <w:r w:rsidR="009813BA" w:rsidRPr="001B53A8">
        <w:rPr>
          <w:rFonts w:eastAsia="Calibri"/>
          <w:lang w:val="sr-Latn-BA"/>
        </w:rPr>
        <w:t xml:space="preserve"> </w:t>
      </w:r>
      <w:r w:rsidRPr="001B53A8">
        <w:rPr>
          <w:rFonts w:eastAsia="Calibri"/>
          <w:lang w:val="sr-Latn-BA"/>
        </w:rPr>
        <w:t>poslovanja</w:t>
      </w:r>
      <w:r w:rsidR="009813BA" w:rsidRPr="001B53A8">
        <w:rPr>
          <w:rFonts w:eastAsia="Calibri"/>
          <w:lang w:val="sr-Latn-BA"/>
        </w:rPr>
        <w:t xml:space="preserve"> </w:t>
      </w:r>
      <w:r w:rsidRPr="001B53A8">
        <w:rPr>
          <w:rFonts w:eastAsia="Calibri"/>
          <w:lang w:val="sr-Latn-BA"/>
        </w:rPr>
        <w:t>sa</w:t>
      </w:r>
      <w:r w:rsidR="009813BA" w:rsidRPr="001B53A8">
        <w:rPr>
          <w:rFonts w:eastAsia="Calibri"/>
          <w:lang w:val="sr-Latn-BA"/>
        </w:rPr>
        <w:t xml:space="preserve"> </w:t>
      </w:r>
      <w:r w:rsidRPr="001B53A8">
        <w:rPr>
          <w:rFonts w:eastAsia="Calibri"/>
          <w:lang w:val="sr-Latn-BA"/>
        </w:rPr>
        <w:t>zakonom</w:t>
      </w:r>
      <w:r w:rsidR="009813BA" w:rsidRPr="001B53A8">
        <w:rPr>
          <w:rFonts w:eastAsia="Calibri"/>
          <w:lang w:val="sr-Latn-BA"/>
        </w:rPr>
        <w:t xml:space="preserve"> </w:t>
      </w:r>
      <w:r w:rsidRPr="001B53A8">
        <w:rPr>
          <w:rFonts w:eastAsia="Calibri"/>
          <w:lang w:val="sr-Latn-BA"/>
        </w:rPr>
        <w:t>i</w:t>
      </w:r>
      <w:r w:rsidR="009813BA" w:rsidRPr="001B53A8">
        <w:rPr>
          <w:rFonts w:eastAsia="Calibri"/>
          <w:lang w:val="sr-Latn-BA"/>
        </w:rPr>
        <w:t xml:space="preserve"> </w:t>
      </w:r>
      <w:r w:rsidRPr="001B53A8">
        <w:rPr>
          <w:rFonts w:eastAsia="Calibri"/>
          <w:lang w:val="sr-Latn-BA"/>
        </w:rPr>
        <w:t>drugim</w:t>
      </w:r>
      <w:r w:rsidR="009813BA" w:rsidRPr="001B53A8">
        <w:rPr>
          <w:rFonts w:eastAsia="Calibri"/>
          <w:lang w:val="sr-Latn-BA"/>
        </w:rPr>
        <w:t xml:space="preserve"> </w:t>
      </w:r>
      <w:r w:rsidRPr="001B53A8">
        <w:rPr>
          <w:rFonts w:eastAsia="Calibri"/>
          <w:lang w:val="sr-Latn-BA"/>
        </w:rPr>
        <w:t>propisima</w:t>
      </w:r>
      <w:r w:rsidR="009813BA" w:rsidRPr="001B53A8">
        <w:rPr>
          <w:rFonts w:eastAsia="Calibri"/>
          <w:lang w:val="sr-Latn-BA"/>
        </w:rPr>
        <w:t xml:space="preserve"> </w:t>
      </w:r>
      <w:r w:rsidRPr="001B53A8">
        <w:rPr>
          <w:rFonts w:eastAsia="Calibri"/>
          <w:lang w:val="sr-Latn-BA"/>
        </w:rPr>
        <w:t>kojima</w:t>
      </w:r>
      <w:r w:rsidR="009813BA" w:rsidRPr="001B53A8">
        <w:rPr>
          <w:rFonts w:eastAsia="Calibri"/>
          <w:lang w:val="sr-Latn-BA"/>
        </w:rPr>
        <w:t xml:space="preserve"> </w:t>
      </w:r>
      <w:r w:rsidRPr="001B53A8">
        <w:rPr>
          <w:rFonts w:eastAsia="Calibri"/>
          <w:lang w:val="sr-Latn-BA"/>
        </w:rPr>
        <w:t>se</w:t>
      </w:r>
      <w:r w:rsidR="009813BA" w:rsidRPr="001B53A8">
        <w:rPr>
          <w:rFonts w:eastAsia="Calibri"/>
          <w:lang w:val="sr-Latn-BA"/>
        </w:rPr>
        <w:t xml:space="preserve"> </w:t>
      </w:r>
      <w:r w:rsidRPr="001B53A8">
        <w:rPr>
          <w:rFonts w:eastAsia="Calibri"/>
          <w:lang w:val="sr-Latn-BA"/>
        </w:rPr>
        <w:t>uređuje</w:t>
      </w:r>
      <w:r w:rsidR="009813BA" w:rsidRPr="001B53A8">
        <w:rPr>
          <w:rFonts w:eastAsia="Calibri"/>
          <w:lang w:val="sr-Latn-BA"/>
        </w:rPr>
        <w:t xml:space="preserve"> </w:t>
      </w:r>
      <w:r w:rsidRPr="001B53A8">
        <w:rPr>
          <w:rFonts w:eastAsia="Calibri"/>
          <w:lang w:val="sr-Latn-BA"/>
        </w:rPr>
        <w:t>sprečavanje</w:t>
      </w:r>
      <w:r w:rsidR="009813BA" w:rsidRPr="001B53A8">
        <w:rPr>
          <w:rFonts w:eastAsia="Calibri"/>
          <w:lang w:val="sr-Latn-BA"/>
        </w:rPr>
        <w:t xml:space="preserve"> </w:t>
      </w:r>
      <w:r w:rsidRPr="001B53A8">
        <w:rPr>
          <w:rFonts w:eastAsia="Calibri"/>
          <w:lang w:val="sr-Latn-BA"/>
        </w:rPr>
        <w:t>pranja</w:t>
      </w:r>
      <w:r w:rsidR="009813BA" w:rsidRPr="001B53A8">
        <w:rPr>
          <w:rFonts w:eastAsia="Calibri"/>
          <w:lang w:val="sr-Latn-BA"/>
        </w:rPr>
        <w:t xml:space="preserve"> </w:t>
      </w:r>
      <w:r w:rsidRPr="001B53A8">
        <w:rPr>
          <w:rFonts w:eastAsia="Calibri"/>
          <w:lang w:val="sr-Latn-BA"/>
        </w:rPr>
        <w:t>novca</w:t>
      </w:r>
      <w:r w:rsidR="009813BA" w:rsidRPr="001B53A8">
        <w:rPr>
          <w:rFonts w:eastAsia="Calibri"/>
          <w:lang w:val="sr-Latn-BA"/>
        </w:rPr>
        <w:t xml:space="preserve"> </w:t>
      </w:r>
      <w:r w:rsidRPr="001B53A8">
        <w:rPr>
          <w:rFonts w:eastAsia="Calibri"/>
          <w:lang w:val="sr-Latn-BA"/>
        </w:rPr>
        <w:t>i</w:t>
      </w:r>
      <w:r w:rsidR="009813BA" w:rsidRPr="001B53A8">
        <w:rPr>
          <w:rFonts w:eastAsia="Calibri"/>
          <w:lang w:val="sr-Latn-BA"/>
        </w:rPr>
        <w:t xml:space="preserve"> </w:t>
      </w:r>
      <w:r w:rsidRPr="001B53A8">
        <w:rPr>
          <w:rFonts w:eastAsia="Calibri"/>
          <w:lang w:val="sr-Latn-BA"/>
        </w:rPr>
        <w:t>finansiranja</w:t>
      </w:r>
      <w:r w:rsidR="009813BA" w:rsidRPr="001B53A8">
        <w:rPr>
          <w:rFonts w:eastAsia="Calibri"/>
          <w:lang w:val="sr-Latn-BA"/>
        </w:rPr>
        <w:t xml:space="preserve"> </w:t>
      </w:r>
      <w:r w:rsidRPr="001B53A8">
        <w:rPr>
          <w:rFonts w:eastAsia="Calibri"/>
          <w:lang w:val="sr-Latn-BA"/>
        </w:rPr>
        <w:t>terorističkih</w:t>
      </w:r>
      <w:r w:rsidR="009813BA" w:rsidRPr="001B53A8">
        <w:rPr>
          <w:rFonts w:eastAsia="Calibri"/>
          <w:lang w:val="sr-Latn-BA"/>
        </w:rPr>
        <w:t xml:space="preserve"> </w:t>
      </w:r>
      <w:r w:rsidRPr="001B53A8">
        <w:rPr>
          <w:rFonts w:eastAsia="Calibri"/>
          <w:lang w:val="sr-Latn-BA"/>
        </w:rPr>
        <w:t>aktivnosti</w:t>
      </w:r>
      <w:r w:rsidR="009813BA" w:rsidRPr="001B53A8">
        <w:rPr>
          <w:rFonts w:eastAsia="Calibri"/>
          <w:lang w:val="sr-Latn-BA"/>
        </w:rPr>
        <w:t xml:space="preserve">, </w:t>
      </w:r>
      <w:r w:rsidRPr="001B53A8">
        <w:rPr>
          <w:rFonts w:eastAsia="Calibri"/>
          <w:lang w:val="sr-Latn-BA"/>
        </w:rPr>
        <w:t>da</w:t>
      </w:r>
      <w:r w:rsidR="009813BA" w:rsidRPr="001B53A8">
        <w:rPr>
          <w:rFonts w:eastAsia="Calibri"/>
          <w:lang w:val="sr-Latn-BA"/>
        </w:rPr>
        <w:t xml:space="preserve"> </w:t>
      </w:r>
      <w:r w:rsidRPr="001B53A8">
        <w:rPr>
          <w:rFonts w:eastAsia="Calibri"/>
          <w:lang w:val="sr-Latn-BA"/>
        </w:rPr>
        <w:t>preduzima</w:t>
      </w:r>
      <w:r w:rsidR="009813BA" w:rsidRPr="001B53A8">
        <w:rPr>
          <w:rFonts w:eastAsia="Calibri"/>
          <w:lang w:val="sr-Latn-BA"/>
        </w:rPr>
        <w:t xml:space="preserve"> </w:t>
      </w:r>
      <w:r w:rsidRPr="001B53A8">
        <w:rPr>
          <w:rFonts w:eastAsia="Calibri"/>
          <w:lang w:val="sr-Latn-BA"/>
        </w:rPr>
        <w:t>mjere</w:t>
      </w:r>
      <w:r w:rsidR="009813BA" w:rsidRPr="001B53A8">
        <w:rPr>
          <w:rFonts w:eastAsia="Calibri"/>
          <w:lang w:val="sr-Latn-BA"/>
        </w:rPr>
        <w:t xml:space="preserve"> </w:t>
      </w:r>
      <w:r w:rsidRPr="001B53A8">
        <w:rPr>
          <w:rFonts w:eastAsia="Calibri"/>
          <w:lang w:val="sr-Latn-BA"/>
        </w:rPr>
        <w:t>u</w:t>
      </w:r>
      <w:r w:rsidR="009813BA" w:rsidRPr="001B53A8">
        <w:rPr>
          <w:rFonts w:eastAsia="Calibri"/>
          <w:lang w:val="sr-Latn-BA"/>
        </w:rPr>
        <w:t xml:space="preserve"> </w:t>
      </w:r>
      <w:r w:rsidRPr="001B53A8">
        <w:rPr>
          <w:rFonts w:eastAsia="Calibri"/>
          <w:lang w:val="sr-Latn-BA"/>
        </w:rPr>
        <w:t>vezi</w:t>
      </w:r>
      <w:r w:rsidR="009813BA" w:rsidRPr="001B53A8">
        <w:rPr>
          <w:rFonts w:eastAsia="Calibri"/>
          <w:lang w:val="sr-Latn-BA"/>
        </w:rPr>
        <w:t xml:space="preserve"> </w:t>
      </w:r>
      <w:r w:rsidRPr="001B53A8">
        <w:rPr>
          <w:rFonts w:eastAsia="Calibri"/>
          <w:lang w:val="sr-Latn-BA"/>
        </w:rPr>
        <w:t>sa</w:t>
      </w:r>
      <w:r w:rsidR="009813BA" w:rsidRPr="001B53A8">
        <w:rPr>
          <w:rFonts w:eastAsia="Calibri"/>
          <w:lang w:val="sr-Latn-BA"/>
        </w:rPr>
        <w:t xml:space="preserve"> </w:t>
      </w:r>
      <w:r w:rsidRPr="001B53A8">
        <w:rPr>
          <w:rFonts w:eastAsia="Calibri"/>
          <w:lang w:val="sr-Latn-BA"/>
        </w:rPr>
        <w:t>tim</w:t>
      </w:r>
      <w:r w:rsidR="009813BA" w:rsidRPr="001B53A8">
        <w:rPr>
          <w:rFonts w:eastAsia="Calibri"/>
          <w:lang w:val="sr-Latn-BA"/>
        </w:rPr>
        <w:t xml:space="preserve"> </w:t>
      </w:r>
      <w:r w:rsidRPr="001B53A8">
        <w:rPr>
          <w:rFonts w:eastAsia="Calibri"/>
          <w:lang w:val="sr-Latn-BA"/>
        </w:rPr>
        <w:t>propisima</w:t>
      </w:r>
      <w:r w:rsidR="009813BA" w:rsidRPr="001B53A8">
        <w:rPr>
          <w:rFonts w:eastAsia="Calibri"/>
          <w:lang w:val="sr-Latn-BA"/>
        </w:rPr>
        <w:t xml:space="preserve"> </w:t>
      </w:r>
      <w:r w:rsidRPr="001B53A8">
        <w:rPr>
          <w:rFonts w:eastAsia="Calibri"/>
          <w:lang w:val="sr-Latn-BA"/>
        </w:rPr>
        <w:t>nad</w:t>
      </w:r>
      <w:r w:rsidR="009813BA" w:rsidRPr="001B53A8">
        <w:rPr>
          <w:rFonts w:eastAsia="Calibri"/>
          <w:lang w:val="sr-Latn-BA"/>
        </w:rPr>
        <w:t xml:space="preserve"> </w:t>
      </w:r>
      <w:r w:rsidRPr="001B53A8">
        <w:rPr>
          <w:rFonts w:eastAsia="Calibri"/>
          <w:lang w:val="sr-Latn-BA"/>
        </w:rPr>
        <w:t>licima</w:t>
      </w:r>
      <w:r w:rsidR="009813BA" w:rsidRPr="001B53A8">
        <w:rPr>
          <w:rFonts w:eastAsia="Calibri"/>
          <w:lang w:val="sr-Latn-BA"/>
        </w:rPr>
        <w:t xml:space="preserve"> </w:t>
      </w:r>
      <w:r w:rsidRPr="001B53A8">
        <w:rPr>
          <w:rFonts w:eastAsia="Calibri"/>
          <w:lang w:val="sr-Latn-BA"/>
        </w:rPr>
        <w:t>koja</w:t>
      </w:r>
      <w:r w:rsidR="009813BA" w:rsidRPr="001B53A8">
        <w:rPr>
          <w:rFonts w:eastAsia="Calibri"/>
          <w:lang w:val="sr-Latn-BA"/>
        </w:rPr>
        <w:t xml:space="preserve"> </w:t>
      </w:r>
      <w:r w:rsidRPr="001B53A8">
        <w:rPr>
          <w:rFonts w:eastAsia="Calibri"/>
          <w:lang w:val="sr-Latn-BA"/>
        </w:rPr>
        <w:t>su</w:t>
      </w:r>
      <w:r w:rsidR="009813BA" w:rsidRPr="001B53A8">
        <w:rPr>
          <w:rFonts w:eastAsia="Calibri"/>
          <w:lang w:val="sr-Latn-BA"/>
        </w:rPr>
        <w:t xml:space="preserve"> </w:t>
      </w:r>
      <w:r w:rsidRPr="001B53A8">
        <w:rPr>
          <w:rFonts w:eastAsia="Calibri"/>
          <w:lang w:val="sr-Latn-BA"/>
        </w:rPr>
        <w:t>osnovana</w:t>
      </w:r>
      <w:r w:rsidR="009813BA" w:rsidRPr="001B53A8">
        <w:rPr>
          <w:rFonts w:eastAsia="Calibri"/>
          <w:lang w:val="sr-Latn-BA"/>
        </w:rPr>
        <w:t xml:space="preserve"> </w:t>
      </w:r>
      <w:r w:rsidRPr="001B53A8">
        <w:rPr>
          <w:rFonts w:eastAsia="Calibri"/>
          <w:lang w:val="sr-Latn-BA"/>
        </w:rPr>
        <w:t>u</w:t>
      </w:r>
      <w:r w:rsidR="009813BA" w:rsidRPr="001B53A8">
        <w:rPr>
          <w:rFonts w:eastAsia="Calibri"/>
          <w:lang w:val="sr-Latn-BA"/>
        </w:rPr>
        <w:t xml:space="preserve"> </w:t>
      </w:r>
      <w:r w:rsidRPr="001B53A8">
        <w:rPr>
          <w:rFonts w:eastAsia="Calibri"/>
          <w:lang w:val="sr-Latn-BA"/>
        </w:rPr>
        <w:t>Republici</w:t>
      </w:r>
      <w:r w:rsidR="009813BA" w:rsidRPr="001B53A8">
        <w:rPr>
          <w:rFonts w:eastAsia="Calibri"/>
          <w:lang w:val="sr-Latn-BA"/>
        </w:rPr>
        <w:t xml:space="preserve"> </w:t>
      </w:r>
      <w:r w:rsidRPr="001B53A8">
        <w:rPr>
          <w:rFonts w:eastAsia="Calibri"/>
          <w:lang w:val="sr-Latn-BA"/>
        </w:rPr>
        <w:t>Srpskoj</w:t>
      </w:r>
      <w:r w:rsidR="009813BA" w:rsidRPr="001B53A8">
        <w:rPr>
          <w:rFonts w:eastAsia="Calibri"/>
          <w:lang w:val="sr-Latn-BA"/>
        </w:rPr>
        <w:t xml:space="preserve"> </w:t>
      </w:r>
      <w:r w:rsidRPr="001B53A8">
        <w:rPr>
          <w:rFonts w:eastAsia="Calibri"/>
          <w:lang w:val="sr-Latn-BA"/>
        </w:rPr>
        <w:t>da</w:t>
      </w:r>
      <w:r w:rsidR="009813BA" w:rsidRPr="001B53A8">
        <w:rPr>
          <w:rFonts w:eastAsia="Calibri"/>
          <w:lang w:val="sr-Latn-BA"/>
        </w:rPr>
        <w:t xml:space="preserve"> </w:t>
      </w:r>
      <w:r w:rsidRPr="001B53A8">
        <w:rPr>
          <w:rFonts w:eastAsia="Calibri"/>
          <w:lang w:val="sr-Latn-BA"/>
        </w:rPr>
        <w:t>pružaju</w:t>
      </w:r>
      <w:r w:rsidR="009813BA" w:rsidRPr="001B53A8">
        <w:rPr>
          <w:rFonts w:eastAsia="Calibri"/>
          <w:lang w:val="sr-Latn-BA"/>
        </w:rPr>
        <w:t xml:space="preserve"> </w:t>
      </w:r>
      <w:r w:rsidRPr="001B53A8">
        <w:rPr>
          <w:rFonts w:eastAsia="Calibri"/>
          <w:lang w:val="sr-Latn-BA"/>
        </w:rPr>
        <w:t>usluge</w:t>
      </w:r>
      <w:r w:rsidR="009813BA" w:rsidRPr="001B53A8">
        <w:rPr>
          <w:rFonts w:eastAsia="Calibri"/>
          <w:lang w:val="sr-Latn-BA"/>
        </w:rPr>
        <w:t xml:space="preserve"> </w:t>
      </w:r>
      <w:r w:rsidRPr="001B53A8">
        <w:rPr>
          <w:rFonts w:eastAsia="Calibri"/>
          <w:lang w:val="sr-Latn-BA"/>
        </w:rPr>
        <w:t>povezane</w:t>
      </w:r>
      <w:r w:rsidR="009813BA" w:rsidRPr="001B53A8">
        <w:rPr>
          <w:rFonts w:eastAsia="Calibri"/>
          <w:lang w:val="sr-Latn-BA"/>
        </w:rPr>
        <w:t xml:space="preserve"> </w:t>
      </w:r>
      <w:r w:rsidRPr="001B53A8">
        <w:rPr>
          <w:rFonts w:eastAsia="Calibri"/>
          <w:lang w:val="sr-Latn-BA"/>
        </w:rPr>
        <w:t>sa</w:t>
      </w:r>
      <w:r w:rsidR="009813BA" w:rsidRPr="001B53A8">
        <w:rPr>
          <w:rFonts w:eastAsia="Calibri"/>
          <w:lang w:val="sr-Latn-BA"/>
        </w:rPr>
        <w:t xml:space="preserve"> </w:t>
      </w:r>
      <w:r w:rsidRPr="001B53A8">
        <w:rPr>
          <w:rFonts w:eastAsia="Calibri"/>
          <w:lang w:val="sr-Latn-BA"/>
        </w:rPr>
        <w:t>virtuelnim</w:t>
      </w:r>
      <w:r w:rsidR="009813BA" w:rsidRPr="001B53A8">
        <w:rPr>
          <w:rFonts w:eastAsia="Calibri"/>
          <w:lang w:val="sr-Latn-BA"/>
        </w:rPr>
        <w:t xml:space="preserve"> </w:t>
      </w:r>
      <w:r w:rsidRPr="001B53A8">
        <w:rPr>
          <w:rFonts w:eastAsia="Calibri"/>
          <w:lang w:val="sr-Latn-BA"/>
        </w:rPr>
        <w:t>valutama</w:t>
      </w:r>
      <w:r w:rsidR="009813BA" w:rsidRPr="001B53A8">
        <w:rPr>
          <w:rFonts w:eastAsia="Calibri"/>
          <w:lang w:val="sr-Latn-BA"/>
        </w:rPr>
        <w:t xml:space="preserve">, </w:t>
      </w:r>
      <w:r w:rsidRPr="001B53A8">
        <w:rPr>
          <w:rFonts w:eastAsia="Calibri"/>
          <w:lang w:val="sr-Latn-BA"/>
        </w:rPr>
        <w:t>kao</w:t>
      </w:r>
      <w:r w:rsidR="009813BA" w:rsidRPr="001B53A8">
        <w:rPr>
          <w:rFonts w:eastAsia="Calibri"/>
          <w:lang w:val="sr-Latn-BA"/>
        </w:rPr>
        <w:t xml:space="preserve"> </w:t>
      </w:r>
      <w:r w:rsidRPr="001B53A8">
        <w:rPr>
          <w:rFonts w:eastAsia="Calibri"/>
          <w:lang w:val="sr-Latn-BA"/>
        </w:rPr>
        <w:t>i</w:t>
      </w:r>
      <w:r w:rsidR="009813BA" w:rsidRPr="001B53A8">
        <w:rPr>
          <w:rFonts w:eastAsia="Calibri"/>
          <w:lang w:val="sr-Latn-BA"/>
        </w:rPr>
        <w:t xml:space="preserve"> </w:t>
      </w:r>
      <w:r w:rsidRPr="001B53A8">
        <w:rPr>
          <w:rFonts w:eastAsia="Calibri"/>
          <w:lang w:val="sr-Latn-BA"/>
        </w:rPr>
        <w:t>nad</w:t>
      </w:r>
      <w:r w:rsidR="009813BA" w:rsidRPr="001B53A8">
        <w:rPr>
          <w:rFonts w:eastAsia="Calibri"/>
          <w:lang w:val="sr-Latn-BA"/>
        </w:rPr>
        <w:t xml:space="preserve"> </w:t>
      </w:r>
      <w:r w:rsidRPr="001B53A8">
        <w:rPr>
          <w:rFonts w:eastAsia="Calibri"/>
          <w:lang w:val="sr-Latn-BA"/>
        </w:rPr>
        <w:t>subjektima</w:t>
      </w:r>
      <w:r w:rsidR="009813BA" w:rsidRPr="001B53A8">
        <w:rPr>
          <w:rFonts w:eastAsia="Calibri"/>
          <w:lang w:val="sr-Latn-BA"/>
        </w:rPr>
        <w:t xml:space="preserve"> </w:t>
      </w:r>
      <w:r w:rsidRPr="001B53A8">
        <w:rPr>
          <w:rFonts w:eastAsia="Calibri"/>
          <w:lang w:val="sr-Latn-BA"/>
        </w:rPr>
        <w:t>sa</w:t>
      </w:r>
      <w:r w:rsidR="009813BA" w:rsidRPr="001B53A8">
        <w:rPr>
          <w:rFonts w:eastAsia="Calibri"/>
          <w:lang w:val="sr-Latn-BA"/>
        </w:rPr>
        <w:t xml:space="preserve"> </w:t>
      </w:r>
      <w:r w:rsidRPr="001B53A8">
        <w:rPr>
          <w:rFonts w:eastAsia="Calibri"/>
          <w:lang w:val="sr-Latn-BA"/>
        </w:rPr>
        <w:t>sjedištem</w:t>
      </w:r>
      <w:r w:rsidR="009813BA" w:rsidRPr="001B53A8">
        <w:rPr>
          <w:rFonts w:eastAsia="Calibri"/>
          <w:lang w:val="sr-Latn-BA"/>
        </w:rPr>
        <w:t xml:space="preserve"> </w:t>
      </w:r>
      <w:r w:rsidRPr="001B53A8">
        <w:rPr>
          <w:rFonts w:eastAsia="Calibri"/>
          <w:lang w:val="sr-Latn-BA"/>
        </w:rPr>
        <w:t>izvan</w:t>
      </w:r>
      <w:r w:rsidR="009813BA" w:rsidRPr="001B53A8">
        <w:rPr>
          <w:rFonts w:eastAsia="Calibri"/>
          <w:lang w:val="sr-Latn-BA"/>
        </w:rPr>
        <w:t xml:space="preserve"> </w:t>
      </w:r>
      <w:r w:rsidRPr="001B53A8">
        <w:rPr>
          <w:rFonts w:eastAsia="Calibri"/>
          <w:lang w:val="sr-Latn-BA"/>
        </w:rPr>
        <w:t>Republike</w:t>
      </w:r>
      <w:r w:rsidR="009813BA" w:rsidRPr="001B53A8">
        <w:rPr>
          <w:rFonts w:eastAsia="Calibri"/>
          <w:lang w:val="sr-Latn-BA"/>
        </w:rPr>
        <w:t xml:space="preserve"> </w:t>
      </w:r>
      <w:r w:rsidRPr="001B53A8">
        <w:rPr>
          <w:rFonts w:eastAsia="Calibri"/>
          <w:lang w:val="sr-Latn-BA"/>
        </w:rPr>
        <w:t>Srpske</w:t>
      </w:r>
      <w:r w:rsidR="009813BA" w:rsidRPr="001B53A8">
        <w:rPr>
          <w:rFonts w:eastAsia="Calibri"/>
          <w:lang w:val="sr-Latn-BA"/>
        </w:rPr>
        <w:t xml:space="preserve">, </w:t>
      </w:r>
      <w:r w:rsidRPr="001B53A8">
        <w:rPr>
          <w:rFonts w:eastAsia="Calibri"/>
          <w:lang w:val="sr-Latn-BA"/>
        </w:rPr>
        <w:t>a</w:t>
      </w:r>
      <w:r w:rsidR="009813BA" w:rsidRPr="001B53A8">
        <w:rPr>
          <w:rFonts w:eastAsia="Calibri"/>
          <w:lang w:val="sr-Latn-BA"/>
        </w:rPr>
        <w:t xml:space="preserve"> </w:t>
      </w:r>
      <w:r w:rsidRPr="001B53A8">
        <w:rPr>
          <w:rFonts w:eastAsia="Calibri"/>
          <w:lang w:val="sr-Latn-BA"/>
        </w:rPr>
        <w:t>koji</w:t>
      </w:r>
      <w:r w:rsidR="009813BA" w:rsidRPr="001B53A8">
        <w:rPr>
          <w:rFonts w:eastAsia="Calibri"/>
          <w:lang w:val="sr-Latn-BA"/>
        </w:rPr>
        <w:t xml:space="preserve"> </w:t>
      </w:r>
      <w:r w:rsidRPr="001B53A8">
        <w:rPr>
          <w:rFonts w:eastAsia="Calibri"/>
          <w:lang w:val="sr-Latn-BA"/>
        </w:rPr>
        <w:t>putem</w:t>
      </w:r>
      <w:r w:rsidR="009813BA" w:rsidRPr="001B53A8">
        <w:rPr>
          <w:rFonts w:eastAsia="Calibri"/>
          <w:lang w:val="sr-Latn-BA"/>
        </w:rPr>
        <w:t xml:space="preserve"> </w:t>
      </w:r>
      <w:r w:rsidRPr="001B53A8">
        <w:rPr>
          <w:rFonts w:eastAsia="Calibri"/>
          <w:lang w:val="sr-Latn-BA"/>
        </w:rPr>
        <w:t>ogranka</w:t>
      </w:r>
      <w:r w:rsidR="009813BA" w:rsidRPr="001B53A8">
        <w:rPr>
          <w:rFonts w:eastAsia="Calibri"/>
          <w:lang w:val="sr-Latn-BA"/>
        </w:rPr>
        <w:t xml:space="preserve"> </w:t>
      </w:r>
      <w:r w:rsidRPr="001B53A8">
        <w:rPr>
          <w:rFonts w:eastAsia="Calibri"/>
          <w:lang w:val="sr-Latn-BA"/>
        </w:rPr>
        <w:t>pružaju</w:t>
      </w:r>
      <w:r w:rsidR="009813BA" w:rsidRPr="001B53A8">
        <w:rPr>
          <w:rFonts w:eastAsia="Calibri"/>
          <w:lang w:val="sr-Latn-BA"/>
        </w:rPr>
        <w:t xml:space="preserve"> </w:t>
      </w:r>
      <w:r w:rsidRPr="001B53A8">
        <w:rPr>
          <w:rFonts w:eastAsia="Calibri"/>
          <w:lang w:val="sr-Latn-BA"/>
        </w:rPr>
        <w:t>te</w:t>
      </w:r>
      <w:r w:rsidR="009813BA" w:rsidRPr="001B53A8">
        <w:rPr>
          <w:rFonts w:eastAsia="Calibri"/>
          <w:lang w:val="sr-Latn-BA"/>
        </w:rPr>
        <w:t xml:space="preserve"> </w:t>
      </w:r>
      <w:r w:rsidRPr="001B53A8">
        <w:rPr>
          <w:rFonts w:eastAsia="Calibri"/>
          <w:lang w:val="sr-Latn-BA"/>
        </w:rPr>
        <w:t>usluge</w:t>
      </w:r>
      <w:r w:rsidR="009813BA" w:rsidRPr="001B53A8">
        <w:rPr>
          <w:rFonts w:eastAsia="Calibri"/>
          <w:lang w:val="sr-Latn-BA"/>
        </w:rPr>
        <w:t xml:space="preserve"> </w:t>
      </w:r>
      <w:r w:rsidRPr="001B53A8">
        <w:rPr>
          <w:rFonts w:eastAsia="Calibri"/>
          <w:lang w:val="sr-Latn-BA"/>
        </w:rPr>
        <w:t>u</w:t>
      </w:r>
      <w:r w:rsidR="009813BA" w:rsidRPr="001B53A8">
        <w:rPr>
          <w:rFonts w:eastAsia="Calibri"/>
          <w:lang w:val="sr-Latn-BA"/>
        </w:rPr>
        <w:t xml:space="preserve"> </w:t>
      </w:r>
      <w:r w:rsidRPr="001B53A8">
        <w:rPr>
          <w:rFonts w:eastAsia="Calibri"/>
          <w:lang w:val="sr-Latn-BA"/>
        </w:rPr>
        <w:t>Republici</w:t>
      </w:r>
      <w:r w:rsidR="009813BA" w:rsidRPr="001B53A8">
        <w:rPr>
          <w:rFonts w:eastAsia="Calibri"/>
          <w:lang w:val="sr-Latn-BA"/>
        </w:rPr>
        <w:t xml:space="preserve"> </w:t>
      </w:r>
      <w:r w:rsidRPr="001B53A8">
        <w:rPr>
          <w:rFonts w:eastAsia="Calibri"/>
          <w:lang w:val="sr-Latn-BA"/>
        </w:rPr>
        <w:t>Sr</w:t>
      </w:r>
      <w:r w:rsidRPr="001B53A8">
        <w:rPr>
          <w:rFonts w:asciiTheme="minorHAnsi" w:eastAsia="Calibri" w:hAnsiTheme="minorHAnsi"/>
          <w:lang w:val="sr-Latn-BA"/>
        </w:rPr>
        <w:t>ps</w:t>
      </w:r>
      <w:r w:rsidRPr="001B53A8">
        <w:rPr>
          <w:rFonts w:eastAsia="Calibri"/>
          <w:lang w:val="sr-Latn-BA"/>
        </w:rPr>
        <w:t>koj</w:t>
      </w:r>
      <w:r w:rsidR="009813BA" w:rsidRPr="001B53A8">
        <w:rPr>
          <w:rFonts w:eastAsia="Calibri"/>
          <w:lang w:val="sr-Latn-BA"/>
        </w:rPr>
        <w:t xml:space="preserve">, </w:t>
      </w:r>
    </w:p>
    <w:p w14:paraId="60BA976B" w14:textId="21E0E571" w:rsidR="009813BA" w:rsidRPr="001B53A8" w:rsidRDefault="00003F34" w:rsidP="009813BA">
      <w:pPr>
        <w:spacing w:after="0" w:line="240" w:lineRule="auto"/>
        <w:ind w:firstLine="567"/>
        <w:rPr>
          <w:rFonts w:asciiTheme="minorHAnsi" w:eastAsia="Calibri" w:hAnsiTheme="minorHAnsi"/>
          <w:lang w:val="sr-Latn-BA"/>
        </w:rPr>
      </w:pPr>
      <w:r w:rsidRPr="001B53A8">
        <w:rPr>
          <w:lang w:val="sr-Latn-BA"/>
        </w:rPr>
        <w:t>Komisija</w:t>
      </w:r>
      <w:r w:rsidR="009813BA" w:rsidRPr="001B53A8">
        <w:rPr>
          <w:lang w:val="sr-Latn-BA"/>
        </w:rPr>
        <w:t xml:space="preserve"> </w:t>
      </w:r>
      <w:r w:rsidRPr="001B53A8">
        <w:rPr>
          <w:lang w:val="sr-Latn-BA"/>
        </w:rPr>
        <w:t>ne</w:t>
      </w:r>
      <w:r w:rsidR="009813BA" w:rsidRPr="001B53A8">
        <w:rPr>
          <w:lang w:val="sr-Latn-BA"/>
        </w:rPr>
        <w:t xml:space="preserve"> </w:t>
      </w:r>
      <w:r w:rsidRPr="001B53A8">
        <w:rPr>
          <w:lang w:val="sr-Latn-BA"/>
        </w:rPr>
        <w:t>izdaje</w:t>
      </w:r>
      <w:r w:rsidR="009813BA" w:rsidRPr="001B53A8">
        <w:rPr>
          <w:lang w:val="sr-Latn-BA"/>
        </w:rPr>
        <w:t xml:space="preserve"> </w:t>
      </w:r>
      <w:r w:rsidRPr="001B53A8">
        <w:rPr>
          <w:lang w:val="sr-Latn-BA"/>
        </w:rPr>
        <w:t>dozvolu</w:t>
      </w:r>
      <w:r w:rsidR="009813BA" w:rsidRPr="001B53A8">
        <w:rPr>
          <w:lang w:val="sr-Latn-BA"/>
        </w:rPr>
        <w:t xml:space="preserve"> </w:t>
      </w:r>
      <w:r w:rsidRPr="001B53A8">
        <w:rPr>
          <w:lang w:val="sr-Latn-BA"/>
        </w:rPr>
        <w:t>za</w:t>
      </w:r>
      <w:r w:rsidR="009813BA" w:rsidRPr="001B53A8">
        <w:rPr>
          <w:lang w:val="sr-Latn-BA"/>
        </w:rPr>
        <w:t xml:space="preserve"> </w:t>
      </w:r>
      <w:r w:rsidRPr="001B53A8">
        <w:rPr>
          <w:lang w:val="sr-Latn-BA"/>
        </w:rPr>
        <w:t>rad</w:t>
      </w:r>
      <w:r w:rsidR="009813BA" w:rsidRPr="001B53A8">
        <w:rPr>
          <w:lang w:val="sr-Latn-BA"/>
        </w:rPr>
        <w:t xml:space="preserve"> </w:t>
      </w:r>
      <w:r w:rsidRPr="001B53A8">
        <w:rPr>
          <w:lang w:val="sr-Latn-BA"/>
        </w:rPr>
        <w:t>pružaocima</w:t>
      </w:r>
      <w:r w:rsidR="009813BA" w:rsidRPr="001B53A8">
        <w:rPr>
          <w:lang w:val="sr-Latn-BA"/>
        </w:rPr>
        <w:t xml:space="preserve"> </w:t>
      </w:r>
      <w:r w:rsidRPr="001B53A8">
        <w:rPr>
          <w:lang w:val="sr-Latn-BA"/>
        </w:rPr>
        <w:t>usluga</w:t>
      </w:r>
      <w:r w:rsidR="009813BA" w:rsidRPr="001B53A8">
        <w:rPr>
          <w:lang w:val="sr-Latn-BA"/>
        </w:rPr>
        <w:t xml:space="preserve"> </w:t>
      </w:r>
      <w:r w:rsidRPr="001B53A8">
        <w:rPr>
          <w:lang w:val="sr-Latn-BA"/>
        </w:rPr>
        <w:t>povezanih</w:t>
      </w:r>
      <w:r w:rsidR="009813BA" w:rsidRPr="001B53A8">
        <w:rPr>
          <w:lang w:val="sr-Latn-BA"/>
        </w:rPr>
        <w:t xml:space="preserve"> </w:t>
      </w:r>
      <w:r w:rsidRPr="001B53A8">
        <w:rPr>
          <w:lang w:val="sr-Latn-BA"/>
        </w:rPr>
        <w:t>sa</w:t>
      </w:r>
      <w:r w:rsidR="009813BA" w:rsidRPr="001B53A8">
        <w:rPr>
          <w:lang w:val="sr-Latn-BA"/>
        </w:rPr>
        <w:t xml:space="preserve"> </w:t>
      </w:r>
      <w:r w:rsidRPr="001B53A8">
        <w:rPr>
          <w:lang w:val="sr-Latn-BA"/>
        </w:rPr>
        <w:t>virtuelnim</w:t>
      </w:r>
      <w:r w:rsidR="009813BA" w:rsidRPr="001B53A8">
        <w:rPr>
          <w:lang w:val="sr-Latn-BA"/>
        </w:rPr>
        <w:t xml:space="preserve"> </w:t>
      </w:r>
      <w:r w:rsidRPr="001B53A8">
        <w:rPr>
          <w:lang w:val="sr-Latn-BA"/>
        </w:rPr>
        <w:t>valutama</w:t>
      </w:r>
      <w:r w:rsidR="009813BA" w:rsidRPr="001B53A8">
        <w:rPr>
          <w:lang w:val="sr-Latn-BA"/>
        </w:rPr>
        <w:t xml:space="preserve">, </w:t>
      </w:r>
      <w:r w:rsidRPr="001B53A8">
        <w:rPr>
          <w:lang w:val="sr-Latn-BA"/>
        </w:rPr>
        <w:t>licima</w:t>
      </w:r>
      <w:r w:rsidR="009813BA" w:rsidRPr="001B53A8">
        <w:rPr>
          <w:lang w:val="sr-Latn-BA"/>
        </w:rPr>
        <w:t xml:space="preserve"> </w:t>
      </w:r>
      <w:r w:rsidRPr="001B53A8">
        <w:rPr>
          <w:lang w:val="sr-Latn-BA"/>
        </w:rPr>
        <w:t>zaposlenim</w:t>
      </w:r>
      <w:r w:rsidR="009813BA" w:rsidRPr="001B53A8">
        <w:rPr>
          <w:lang w:val="sr-Latn-BA"/>
        </w:rPr>
        <w:t xml:space="preserve"> </w:t>
      </w:r>
      <w:r w:rsidRPr="001B53A8">
        <w:rPr>
          <w:lang w:val="sr-Latn-BA"/>
        </w:rPr>
        <w:t>kod</w:t>
      </w:r>
      <w:r w:rsidR="009813BA" w:rsidRPr="001B53A8">
        <w:rPr>
          <w:lang w:val="sr-Latn-BA"/>
        </w:rPr>
        <w:t xml:space="preserve"> </w:t>
      </w:r>
      <w:r w:rsidRPr="001B53A8">
        <w:rPr>
          <w:lang w:val="sr-Latn-BA"/>
        </w:rPr>
        <w:t>pružaoca</w:t>
      </w:r>
      <w:r w:rsidR="009813BA" w:rsidRPr="001B53A8">
        <w:rPr>
          <w:lang w:val="sr-Latn-BA"/>
        </w:rPr>
        <w:t xml:space="preserve"> </w:t>
      </w:r>
      <w:r w:rsidRPr="001B53A8">
        <w:rPr>
          <w:lang w:val="sr-Latn-BA"/>
        </w:rPr>
        <w:t>usluga</w:t>
      </w:r>
      <w:r w:rsidR="009813BA" w:rsidRPr="001B53A8">
        <w:rPr>
          <w:lang w:val="sr-Latn-BA"/>
        </w:rPr>
        <w:t xml:space="preserve"> </w:t>
      </w:r>
      <w:r w:rsidRPr="001B53A8">
        <w:rPr>
          <w:lang w:val="sr-Latn-BA"/>
        </w:rPr>
        <w:t>ne</w:t>
      </w:r>
      <w:r w:rsidR="009813BA" w:rsidRPr="001B53A8">
        <w:rPr>
          <w:lang w:val="sr-Latn-BA"/>
        </w:rPr>
        <w:t xml:space="preserve"> </w:t>
      </w:r>
      <w:r w:rsidRPr="001B53A8">
        <w:rPr>
          <w:lang w:val="sr-Latn-BA"/>
        </w:rPr>
        <w:t>izdaje</w:t>
      </w:r>
      <w:r w:rsidR="009813BA" w:rsidRPr="001B53A8">
        <w:rPr>
          <w:lang w:val="sr-Latn-BA"/>
        </w:rPr>
        <w:t xml:space="preserve"> </w:t>
      </w:r>
      <w:r w:rsidRPr="001B53A8">
        <w:rPr>
          <w:lang w:val="sr-Latn-BA"/>
        </w:rPr>
        <w:t>licencu</w:t>
      </w:r>
      <w:r w:rsidR="009813BA" w:rsidRPr="001B53A8">
        <w:rPr>
          <w:lang w:val="sr-Latn-BA"/>
        </w:rPr>
        <w:t xml:space="preserve"> </w:t>
      </w:r>
      <w:r w:rsidRPr="001B53A8">
        <w:rPr>
          <w:lang w:val="sr-Latn-BA"/>
        </w:rPr>
        <w:t>za</w:t>
      </w:r>
      <w:r w:rsidR="009813BA" w:rsidRPr="001B53A8">
        <w:rPr>
          <w:lang w:val="sr-Latn-BA"/>
        </w:rPr>
        <w:t xml:space="preserve"> </w:t>
      </w:r>
      <w:r w:rsidRPr="001B53A8">
        <w:rPr>
          <w:lang w:val="sr-Latn-BA"/>
        </w:rPr>
        <w:t>obavlјanje</w:t>
      </w:r>
      <w:r w:rsidR="009813BA" w:rsidRPr="001B53A8">
        <w:rPr>
          <w:lang w:val="sr-Latn-BA"/>
        </w:rPr>
        <w:t xml:space="preserve"> </w:t>
      </w:r>
      <w:r w:rsidRPr="001B53A8">
        <w:rPr>
          <w:lang w:val="sr-Latn-BA"/>
        </w:rPr>
        <w:t>tih</w:t>
      </w:r>
      <w:r w:rsidR="009813BA" w:rsidRPr="001B53A8">
        <w:rPr>
          <w:lang w:val="sr-Latn-BA"/>
        </w:rPr>
        <w:t xml:space="preserve"> </w:t>
      </w:r>
      <w:r w:rsidRPr="001B53A8">
        <w:rPr>
          <w:lang w:val="sr-Latn-BA"/>
        </w:rPr>
        <w:t>poslova</w:t>
      </w:r>
      <w:r w:rsidR="009813BA" w:rsidRPr="001B53A8">
        <w:rPr>
          <w:lang w:val="sr-Latn-BA"/>
        </w:rPr>
        <w:t xml:space="preserve">, </w:t>
      </w:r>
      <w:r w:rsidRPr="001B53A8">
        <w:rPr>
          <w:lang w:val="sr-Latn-BA"/>
        </w:rPr>
        <w:t>ne</w:t>
      </w:r>
      <w:r w:rsidR="009813BA" w:rsidRPr="001B53A8">
        <w:rPr>
          <w:lang w:val="sr-Latn-BA"/>
        </w:rPr>
        <w:t xml:space="preserve"> </w:t>
      </w:r>
      <w:r w:rsidRPr="001B53A8">
        <w:rPr>
          <w:lang w:val="sr-Latn-BA"/>
        </w:rPr>
        <w:t>utvrđuje</w:t>
      </w:r>
      <w:r w:rsidR="009813BA" w:rsidRPr="001B53A8">
        <w:rPr>
          <w:lang w:val="sr-Latn-BA"/>
        </w:rPr>
        <w:t xml:space="preserve"> </w:t>
      </w:r>
      <w:r w:rsidRPr="001B53A8">
        <w:rPr>
          <w:lang w:val="sr-Latn-BA"/>
        </w:rPr>
        <w:t>uslove</w:t>
      </w:r>
      <w:r w:rsidR="009813BA" w:rsidRPr="001B53A8">
        <w:rPr>
          <w:lang w:val="sr-Latn-BA"/>
        </w:rPr>
        <w:t xml:space="preserve"> </w:t>
      </w:r>
      <w:r w:rsidRPr="001B53A8">
        <w:rPr>
          <w:lang w:val="sr-Latn-BA"/>
        </w:rPr>
        <w:t>registracije</w:t>
      </w:r>
      <w:r w:rsidR="009813BA" w:rsidRPr="001B53A8">
        <w:rPr>
          <w:lang w:val="sr-Latn-BA"/>
        </w:rPr>
        <w:t xml:space="preserve"> </w:t>
      </w:r>
      <w:r w:rsidRPr="001B53A8">
        <w:rPr>
          <w:lang w:val="sr-Latn-BA"/>
        </w:rPr>
        <w:t>privrednog</w:t>
      </w:r>
      <w:r w:rsidR="009813BA" w:rsidRPr="001B53A8">
        <w:rPr>
          <w:lang w:val="sr-Latn-BA"/>
        </w:rPr>
        <w:t xml:space="preserve"> </w:t>
      </w:r>
      <w:r w:rsidRPr="001B53A8">
        <w:rPr>
          <w:lang w:val="sr-Latn-BA"/>
        </w:rPr>
        <w:t>društva</w:t>
      </w:r>
      <w:r w:rsidR="009813BA" w:rsidRPr="001B53A8">
        <w:rPr>
          <w:lang w:val="sr-Latn-BA"/>
        </w:rPr>
        <w:t xml:space="preserve"> </w:t>
      </w:r>
      <w:r w:rsidRPr="001B53A8">
        <w:rPr>
          <w:lang w:val="sr-Latn-BA"/>
        </w:rPr>
        <w:t>u</w:t>
      </w:r>
      <w:r w:rsidR="009813BA" w:rsidRPr="001B53A8">
        <w:rPr>
          <w:lang w:val="sr-Latn-BA"/>
        </w:rPr>
        <w:t xml:space="preserve"> </w:t>
      </w:r>
      <w:r w:rsidRPr="001B53A8">
        <w:rPr>
          <w:lang w:val="sr-Latn-BA"/>
        </w:rPr>
        <w:t>pogledu</w:t>
      </w:r>
      <w:r w:rsidR="009813BA" w:rsidRPr="001B53A8">
        <w:rPr>
          <w:lang w:val="sr-Latn-BA"/>
        </w:rPr>
        <w:t xml:space="preserve"> </w:t>
      </w:r>
      <w:r w:rsidRPr="001B53A8">
        <w:rPr>
          <w:lang w:val="sr-Latn-BA"/>
        </w:rPr>
        <w:t>minimalnog</w:t>
      </w:r>
      <w:r w:rsidR="009813BA" w:rsidRPr="001B53A8">
        <w:rPr>
          <w:lang w:val="sr-Latn-BA"/>
        </w:rPr>
        <w:t xml:space="preserve"> </w:t>
      </w:r>
      <w:r w:rsidRPr="001B53A8">
        <w:rPr>
          <w:lang w:val="sr-Latn-BA"/>
        </w:rPr>
        <w:t>osnovnog</w:t>
      </w:r>
      <w:r w:rsidR="009813BA" w:rsidRPr="001B53A8">
        <w:rPr>
          <w:lang w:val="sr-Latn-BA"/>
        </w:rPr>
        <w:t xml:space="preserve"> </w:t>
      </w:r>
      <w:r w:rsidRPr="001B53A8">
        <w:rPr>
          <w:lang w:val="sr-Latn-BA"/>
        </w:rPr>
        <w:t>kapitala</w:t>
      </w:r>
      <w:r w:rsidR="009813BA" w:rsidRPr="001B53A8">
        <w:rPr>
          <w:lang w:val="sr-Latn-BA"/>
        </w:rPr>
        <w:t xml:space="preserve"> </w:t>
      </w:r>
      <w:r w:rsidRPr="001B53A8">
        <w:rPr>
          <w:lang w:val="sr-Latn-BA"/>
        </w:rPr>
        <w:t>za</w:t>
      </w:r>
      <w:r w:rsidR="009813BA" w:rsidRPr="001B53A8">
        <w:rPr>
          <w:lang w:val="sr-Latn-BA"/>
        </w:rPr>
        <w:t xml:space="preserve"> </w:t>
      </w:r>
      <w:r w:rsidRPr="001B53A8">
        <w:rPr>
          <w:lang w:val="sr-Latn-BA"/>
        </w:rPr>
        <w:t>obavlјanje</w:t>
      </w:r>
      <w:r w:rsidR="009813BA" w:rsidRPr="001B53A8">
        <w:rPr>
          <w:lang w:val="sr-Latn-BA"/>
        </w:rPr>
        <w:t xml:space="preserve"> </w:t>
      </w:r>
      <w:r w:rsidRPr="001B53A8">
        <w:rPr>
          <w:lang w:val="sr-Latn-BA"/>
        </w:rPr>
        <w:t>djelatnosti</w:t>
      </w:r>
      <w:r w:rsidR="009813BA" w:rsidRPr="001B53A8">
        <w:rPr>
          <w:lang w:val="sr-Latn-BA"/>
        </w:rPr>
        <w:t xml:space="preserve">, </w:t>
      </w:r>
      <w:r w:rsidRPr="001B53A8">
        <w:rPr>
          <w:lang w:val="sr-Latn-BA"/>
        </w:rPr>
        <w:t>ne</w:t>
      </w:r>
      <w:r w:rsidR="009813BA" w:rsidRPr="001B53A8">
        <w:rPr>
          <w:lang w:val="sr-Latn-BA"/>
        </w:rPr>
        <w:t xml:space="preserve"> </w:t>
      </w:r>
      <w:r w:rsidRPr="001B53A8">
        <w:rPr>
          <w:lang w:val="sr-Latn-BA"/>
        </w:rPr>
        <w:t>utvrđuje</w:t>
      </w:r>
      <w:r w:rsidR="009813BA" w:rsidRPr="001B53A8">
        <w:rPr>
          <w:lang w:val="sr-Latn-BA"/>
        </w:rPr>
        <w:t xml:space="preserve"> </w:t>
      </w:r>
      <w:r w:rsidRPr="001B53A8">
        <w:rPr>
          <w:lang w:val="sr-Latn-BA"/>
        </w:rPr>
        <w:t>kadrovsku</w:t>
      </w:r>
      <w:r w:rsidR="009813BA" w:rsidRPr="001B53A8">
        <w:rPr>
          <w:lang w:val="sr-Latn-BA"/>
        </w:rPr>
        <w:t xml:space="preserve"> </w:t>
      </w:r>
      <w:r w:rsidRPr="001B53A8">
        <w:rPr>
          <w:lang w:val="sr-Latn-BA"/>
        </w:rPr>
        <w:t>i</w:t>
      </w:r>
      <w:r w:rsidR="009813BA" w:rsidRPr="001B53A8">
        <w:rPr>
          <w:lang w:val="sr-Latn-BA"/>
        </w:rPr>
        <w:t xml:space="preserve"> </w:t>
      </w:r>
      <w:r w:rsidRPr="001B53A8">
        <w:rPr>
          <w:lang w:val="sr-Latn-BA"/>
        </w:rPr>
        <w:t>tehničku</w:t>
      </w:r>
      <w:r w:rsidR="009813BA" w:rsidRPr="001B53A8">
        <w:rPr>
          <w:lang w:val="sr-Latn-BA"/>
        </w:rPr>
        <w:t xml:space="preserve"> </w:t>
      </w:r>
      <w:r w:rsidRPr="001B53A8">
        <w:rPr>
          <w:lang w:val="sr-Latn-BA"/>
        </w:rPr>
        <w:t>opremlјenost</w:t>
      </w:r>
      <w:r w:rsidR="009813BA" w:rsidRPr="001B53A8">
        <w:rPr>
          <w:lang w:val="sr-Latn-BA"/>
        </w:rPr>
        <w:t xml:space="preserve"> </w:t>
      </w:r>
      <w:r w:rsidRPr="001B53A8">
        <w:rPr>
          <w:lang w:val="sr-Latn-BA"/>
        </w:rPr>
        <w:t>pružaoca</w:t>
      </w:r>
      <w:r w:rsidR="009813BA" w:rsidRPr="001B53A8">
        <w:rPr>
          <w:lang w:val="sr-Latn-BA"/>
        </w:rPr>
        <w:t xml:space="preserve"> </w:t>
      </w:r>
      <w:r w:rsidRPr="001B53A8">
        <w:rPr>
          <w:lang w:val="sr-Latn-BA"/>
        </w:rPr>
        <w:t>usluga</w:t>
      </w:r>
      <w:r w:rsidR="009813BA" w:rsidRPr="001B53A8">
        <w:rPr>
          <w:lang w:val="sr-Latn-BA"/>
        </w:rPr>
        <w:t xml:space="preserve"> </w:t>
      </w:r>
      <w:r w:rsidRPr="001B53A8">
        <w:rPr>
          <w:lang w:val="sr-Latn-BA"/>
        </w:rPr>
        <w:t>niti</w:t>
      </w:r>
      <w:r w:rsidR="009813BA" w:rsidRPr="001B53A8">
        <w:rPr>
          <w:lang w:val="sr-Latn-BA"/>
        </w:rPr>
        <w:t xml:space="preserve"> </w:t>
      </w:r>
      <w:r w:rsidRPr="001B53A8">
        <w:rPr>
          <w:lang w:val="sr-Latn-BA"/>
        </w:rPr>
        <w:t>daje</w:t>
      </w:r>
      <w:r w:rsidR="009813BA" w:rsidRPr="001B53A8">
        <w:rPr>
          <w:lang w:val="sr-Latn-BA"/>
        </w:rPr>
        <w:t xml:space="preserve"> </w:t>
      </w:r>
      <w:r w:rsidRPr="001B53A8">
        <w:rPr>
          <w:lang w:val="sr-Latn-BA"/>
        </w:rPr>
        <w:t>saglasnost</w:t>
      </w:r>
      <w:r w:rsidR="009813BA" w:rsidRPr="001B53A8">
        <w:rPr>
          <w:lang w:val="sr-Latn-BA"/>
        </w:rPr>
        <w:t xml:space="preserve"> </w:t>
      </w:r>
      <w:r w:rsidRPr="001B53A8">
        <w:rPr>
          <w:lang w:val="sr-Latn-BA"/>
        </w:rPr>
        <w:t>na</w:t>
      </w:r>
      <w:r w:rsidR="009813BA" w:rsidRPr="001B53A8">
        <w:rPr>
          <w:lang w:val="sr-Latn-BA"/>
        </w:rPr>
        <w:t xml:space="preserve"> </w:t>
      </w:r>
      <w:r w:rsidRPr="001B53A8">
        <w:rPr>
          <w:lang w:val="sr-Latn-BA"/>
        </w:rPr>
        <w:t>akte</w:t>
      </w:r>
      <w:r w:rsidR="009813BA" w:rsidRPr="001B53A8">
        <w:rPr>
          <w:lang w:val="sr-Latn-BA"/>
        </w:rPr>
        <w:t xml:space="preserve"> </w:t>
      </w:r>
      <w:r w:rsidRPr="001B53A8">
        <w:rPr>
          <w:lang w:val="sr-Latn-BA"/>
        </w:rPr>
        <w:t>koje</w:t>
      </w:r>
      <w:r w:rsidR="009813BA" w:rsidRPr="001B53A8">
        <w:rPr>
          <w:lang w:val="sr-Latn-BA"/>
        </w:rPr>
        <w:t xml:space="preserve"> </w:t>
      </w:r>
      <w:r w:rsidRPr="001B53A8">
        <w:rPr>
          <w:lang w:val="sr-Latn-BA"/>
        </w:rPr>
        <w:t>donosi</w:t>
      </w:r>
      <w:r w:rsidR="009813BA" w:rsidRPr="001B53A8">
        <w:rPr>
          <w:lang w:val="sr-Latn-BA"/>
        </w:rPr>
        <w:t xml:space="preserve"> </w:t>
      </w:r>
      <w:r w:rsidRPr="001B53A8">
        <w:rPr>
          <w:lang w:val="sr-Latn-BA"/>
        </w:rPr>
        <w:t>pružalac</w:t>
      </w:r>
      <w:r w:rsidR="009813BA" w:rsidRPr="001B53A8">
        <w:rPr>
          <w:lang w:val="sr-Latn-BA"/>
        </w:rPr>
        <w:t xml:space="preserve"> </w:t>
      </w:r>
      <w:r w:rsidRPr="001B53A8">
        <w:rPr>
          <w:lang w:val="sr-Latn-BA"/>
        </w:rPr>
        <w:t>usluga</w:t>
      </w:r>
      <w:r w:rsidR="009813BA" w:rsidRPr="001B53A8">
        <w:rPr>
          <w:lang w:val="sr-Latn-BA"/>
        </w:rPr>
        <w:t xml:space="preserve">, </w:t>
      </w:r>
      <w:r w:rsidRPr="001B53A8">
        <w:rPr>
          <w:lang w:val="sr-Latn-BA"/>
        </w:rPr>
        <w:t>već</w:t>
      </w:r>
      <w:r w:rsidR="00A277DE" w:rsidRPr="001B53A8">
        <w:rPr>
          <w:lang w:val="sr-Latn-BA"/>
        </w:rPr>
        <w:t xml:space="preserve"> </w:t>
      </w:r>
      <w:r w:rsidRPr="001B53A8">
        <w:rPr>
          <w:lang w:val="sr-Latn-BA"/>
        </w:rPr>
        <w:t>iste</w:t>
      </w:r>
      <w:r w:rsidR="00A277DE" w:rsidRPr="001B53A8">
        <w:rPr>
          <w:lang w:val="sr-Latn-BA"/>
        </w:rPr>
        <w:t xml:space="preserve"> </w:t>
      </w:r>
      <w:r w:rsidRPr="001B53A8">
        <w:rPr>
          <w:lang w:val="sr-Latn-BA"/>
        </w:rPr>
        <w:t>evidentira</w:t>
      </w:r>
      <w:r w:rsidR="00A277DE" w:rsidRPr="001B53A8">
        <w:rPr>
          <w:lang w:val="sr-Latn-BA"/>
        </w:rPr>
        <w:t xml:space="preserve"> </w:t>
      </w:r>
      <w:r w:rsidRPr="001B53A8">
        <w:rPr>
          <w:lang w:val="sr-Latn-BA"/>
        </w:rPr>
        <w:t>i</w:t>
      </w:r>
      <w:r w:rsidR="009813BA" w:rsidRPr="001B53A8">
        <w:rPr>
          <w:lang w:val="sr-Latn-BA"/>
        </w:rPr>
        <w:t xml:space="preserve"> </w:t>
      </w:r>
      <w:r w:rsidRPr="001B53A8">
        <w:rPr>
          <w:lang w:val="sr-Latn-BA"/>
        </w:rPr>
        <w:t>isklјučivo</w:t>
      </w:r>
      <w:r w:rsidR="009813BA" w:rsidRPr="001B53A8">
        <w:rPr>
          <w:lang w:val="sr-Latn-BA"/>
        </w:rPr>
        <w:t xml:space="preserve"> </w:t>
      </w:r>
      <w:r w:rsidRPr="001B53A8">
        <w:rPr>
          <w:lang w:val="sr-Latn-BA"/>
        </w:rPr>
        <w:t>je</w:t>
      </w:r>
      <w:r w:rsidR="00A277DE" w:rsidRPr="001B53A8">
        <w:rPr>
          <w:lang w:val="sr-Latn-BA"/>
        </w:rPr>
        <w:t xml:space="preserve"> </w:t>
      </w:r>
      <w:r w:rsidRPr="001B53A8">
        <w:rPr>
          <w:lang w:val="sr-Latn-BA"/>
        </w:rPr>
        <w:t>nadležna</w:t>
      </w:r>
      <w:r w:rsidR="009813BA" w:rsidRPr="001B53A8">
        <w:rPr>
          <w:lang w:val="sr-Latn-BA"/>
        </w:rPr>
        <w:t xml:space="preserve"> </w:t>
      </w:r>
      <w:r w:rsidRPr="001B53A8">
        <w:rPr>
          <w:lang w:val="sr-Latn-BA"/>
        </w:rPr>
        <w:t>da</w:t>
      </w:r>
      <w:r w:rsidR="009813BA" w:rsidRPr="001B53A8">
        <w:rPr>
          <w:lang w:val="sr-Latn-BA"/>
        </w:rPr>
        <w:t xml:space="preserve"> </w:t>
      </w:r>
      <w:r w:rsidRPr="001B53A8">
        <w:rPr>
          <w:lang w:val="sr-Latn-BA"/>
        </w:rPr>
        <w:t>sprovodi</w:t>
      </w:r>
      <w:r w:rsidR="009813BA" w:rsidRPr="001B53A8">
        <w:rPr>
          <w:lang w:val="sr-Latn-BA"/>
        </w:rPr>
        <w:t xml:space="preserve"> </w:t>
      </w:r>
      <w:r w:rsidRPr="001B53A8">
        <w:rPr>
          <w:lang w:val="sr-Latn-BA"/>
        </w:rPr>
        <w:t>nadzor</w:t>
      </w:r>
      <w:r w:rsidR="009813BA" w:rsidRPr="001B53A8">
        <w:rPr>
          <w:lang w:val="sr-Latn-BA"/>
        </w:rPr>
        <w:t xml:space="preserve"> </w:t>
      </w:r>
      <w:r w:rsidRPr="001B53A8">
        <w:rPr>
          <w:lang w:val="sr-Latn-BA"/>
        </w:rPr>
        <w:t>usklađenosti</w:t>
      </w:r>
      <w:r w:rsidR="009813BA" w:rsidRPr="001B53A8">
        <w:rPr>
          <w:lang w:val="sr-Latn-BA"/>
        </w:rPr>
        <w:t xml:space="preserve"> </w:t>
      </w:r>
      <w:r w:rsidRPr="001B53A8">
        <w:rPr>
          <w:lang w:val="sr-Latn-BA"/>
        </w:rPr>
        <w:t>poslovanja</w:t>
      </w:r>
      <w:r w:rsidR="009813BA" w:rsidRPr="001B53A8">
        <w:rPr>
          <w:lang w:val="sr-Latn-BA"/>
        </w:rPr>
        <w:t xml:space="preserve"> </w:t>
      </w:r>
      <w:r w:rsidRPr="001B53A8">
        <w:rPr>
          <w:lang w:val="sr-Latn-BA"/>
        </w:rPr>
        <w:t>pružalaca</w:t>
      </w:r>
      <w:r w:rsidR="009813BA" w:rsidRPr="001B53A8">
        <w:rPr>
          <w:lang w:val="sr-Latn-BA"/>
        </w:rPr>
        <w:t xml:space="preserve"> </w:t>
      </w:r>
      <w:r w:rsidRPr="001B53A8">
        <w:rPr>
          <w:lang w:val="sr-Latn-BA"/>
        </w:rPr>
        <w:t>usluga</w:t>
      </w:r>
      <w:r w:rsidR="009813BA" w:rsidRPr="001B53A8">
        <w:rPr>
          <w:lang w:val="sr-Latn-BA"/>
        </w:rPr>
        <w:t xml:space="preserve"> </w:t>
      </w:r>
      <w:r w:rsidRPr="001B53A8">
        <w:rPr>
          <w:lang w:val="sr-Latn-BA"/>
        </w:rPr>
        <w:t>povezanih</w:t>
      </w:r>
      <w:r w:rsidR="009813BA" w:rsidRPr="001B53A8">
        <w:rPr>
          <w:lang w:val="sr-Latn-BA"/>
        </w:rPr>
        <w:t xml:space="preserve"> </w:t>
      </w:r>
      <w:r w:rsidRPr="001B53A8">
        <w:rPr>
          <w:lang w:val="sr-Latn-BA"/>
        </w:rPr>
        <w:t>sa</w:t>
      </w:r>
      <w:r w:rsidR="009813BA" w:rsidRPr="001B53A8">
        <w:rPr>
          <w:lang w:val="sr-Latn-BA"/>
        </w:rPr>
        <w:t xml:space="preserve"> </w:t>
      </w:r>
      <w:r w:rsidRPr="001B53A8">
        <w:rPr>
          <w:lang w:val="sr-Latn-BA"/>
        </w:rPr>
        <w:t>virtuelnim</w:t>
      </w:r>
      <w:r w:rsidR="009813BA" w:rsidRPr="001B53A8">
        <w:rPr>
          <w:lang w:val="sr-Latn-BA"/>
        </w:rPr>
        <w:t xml:space="preserve"> </w:t>
      </w:r>
      <w:r w:rsidRPr="001B53A8">
        <w:rPr>
          <w:lang w:val="sr-Latn-BA"/>
        </w:rPr>
        <w:t>valutama</w:t>
      </w:r>
      <w:r w:rsidR="009813BA" w:rsidRPr="001B53A8">
        <w:rPr>
          <w:lang w:val="sr-Latn-BA"/>
        </w:rPr>
        <w:t xml:space="preserve"> </w:t>
      </w:r>
      <w:r w:rsidRPr="001B53A8">
        <w:rPr>
          <w:lang w:val="sr-Latn-BA"/>
        </w:rPr>
        <w:t>sa</w:t>
      </w:r>
      <w:r w:rsidR="009813BA" w:rsidRPr="001B53A8">
        <w:rPr>
          <w:lang w:val="sr-Latn-BA"/>
        </w:rPr>
        <w:t xml:space="preserve"> </w:t>
      </w:r>
      <w:r w:rsidRPr="001B53A8">
        <w:rPr>
          <w:lang w:val="sr-Latn-BA"/>
        </w:rPr>
        <w:t>zakonom</w:t>
      </w:r>
      <w:r w:rsidR="009813BA" w:rsidRPr="001B53A8">
        <w:rPr>
          <w:lang w:val="sr-Latn-BA"/>
        </w:rPr>
        <w:t xml:space="preserve"> </w:t>
      </w:r>
      <w:r w:rsidRPr="001B53A8">
        <w:rPr>
          <w:lang w:val="sr-Latn-BA"/>
        </w:rPr>
        <w:t>i</w:t>
      </w:r>
      <w:r w:rsidR="009813BA" w:rsidRPr="001B53A8">
        <w:rPr>
          <w:lang w:val="sr-Latn-BA"/>
        </w:rPr>
        <w:t xml:space="preserve"> </w:t>
      </w:r>
      <w:r w:rsidRPr="001B53A8">
        <w:rPr>
          <w:lang w:val="sr-Latn-BA"/>
        </w:rPr>
        <w:t>drugim</w:t>
      </w:r>
      <w:r w:rsidR="009813BA" w:rsidRPr="001B53A8">
        <w:rPr>
          <w:lang w:val="sr-Latn-BA"/>
        </w:rPr>
        <w:t xml:space="preserve"> </w:t>
      </w:r>
      <w:r w:rsidRPr="001B53A8">
        <w:rPr>
          <w:lang w:val="sr-Latn-BA"/>
        </w:rPr>
        <w:t>opštim</w:t>
      </w:r>
      <w:r w:rsidR="009813BA" w:rsidRPr="001B53A8">
        <w:rPr>
          <w:lang w:val="sr-Latn-BA"/>
        </w:rPr>
        <w:t xml:space="preserve"> </w:t>
      </w:r>
      <w:r w:rsidRPr="001B53A8">
        <w:rPr>
          <w:lang w:val="sr-Latn-BA"/>
        </w:rPr>
        <w:t>aktima</w:t>
      </w:r>
      <w:r w:rsidR="009813BA" w:rsidRPr="001B53A8">
        <w:rPr>
          <w:lang w:val="sr-Latn-BA"/>
        </w:rPr>
        <w:t xml:space="preserve"> </w:t>
      </w:r>
      <w:r w:rsidRPr="001B53A8">
        <w:rPr>
          <w:lang w:val="sr-Latn-BA"/>
        </w:rPr>
        <w:t>kojim</w:t>
      </w:r>
      <w:r w:rsidR="009813BA" w:rsidRPr="001B53A8">
        <w:rPr>
          <w:lang w:val="sr-Latn-BA"/>
        </w:rPr>
        <w:t xml:space="preserve"> </w:t>
      </w:r>
      <w:r w:rsidRPr="001B53A8">
        <w:rPr>
          <w:lang w:val="sr-Latn-BA"/>
        </w:rPr>
        <w:t>se</w:t>
      </w:r>
      <w:r w:rsidR="009813BA" w:rsidRPr="001B53A8">
        <w:rPr>
          <w:lang w:val="sr-Latn-BA"/>
        </w:rPr>
        <w:t xml:space="preserve"> </w:t>
      </w:r>
      <w:r w:rsidRPr="001B53A8">
        <w:rPr>
          <w:lang w:val="sr-Latn-BA"/>
        </w:rPr>
        <w:t>propisuju</w:t>
      </w:r>
      <w:r w:rsidR="009813BA" w:rsidRPr="001B53A8">
        <w:rPr>
          <w:lang w:val="sr-Latn-BA"/>
        </w:rPr>
        <w:t xml:space="preserve"> </w:t>
      </w:r>
      <w:r w:rsidRPr="001B53A8">
        <w:rPr>
          <w:lang w:val="sr-Latn-BA"/>
        </w:rPr>
        <w:t>obaveze</w:t>
      </w:r>
      <w:r w:rsidR="009813BA" w:rsidRPr="001B53A8">
        <w:rPr>
          <w:lang w:val="sr-Latn-BA"/>
        </w:rPr>
        <w:t xml:space="preserve"> </w:t>
      </w:r>
      <w:r w:rsidRPr="001B53A8">
        <w:rPr>
          <w:lang w:val="sr-Latn-BA"/>
        </w:rPr>
        <w:t>provođenja</w:t>
      </w:r>
      <w:r w:rsidR="009813BA" w:rsidRPr="001B53A8">
        <w:rPr>
          <w:lang w:val="sr-Latn-BA"/>
        </w:rPr>
        <w:t xml:space="preserve"> </w:t>
      </w:r>
      <w:r w:rsidRPr="001B53A8">
        <w:rPr>
          <w:lang w:val="sr-Latn-BA"/>
        </w:rPr>
        <w:t>mjera</w:t>
      </w:r>
      <w:r w:rsidR="009813BA" w:rsidRPr="001B53A8">
        <w:rPr>
          <w:lang w:val="sr-Latn-BA"/>
        </w:rPr>
        <w:t xml:space="preserve"> </w:t>
      </w:r>
      <w:r w:rsidRPr="001B53A8">
        <w:rPr>
          <w:lang w:val="sr-Latn-BA"/>
        </w:rPr>
        <w:t>za</w:t>
      </w:r>
      <w:r w:rsidR="009813BA" w:rsidRPr="001B53A8">
        <w:rPr>
          <w:lang w:val="sr-Latn-BA"/>
        </w:rPr>
        <w:t xml:space="preserve"> </w:t>
      </w:r>
      <w:r w:rsidRPr="001B53A8">
        <w:rPr>
          <w:lang w:val="sr-Latn-BA"/>
        </w:rPr>
        <w:t>sprečavanje</w:t>
      </w:r>
      <w:r w:rsidR="009813BA" w:rsidRPr="001B53A8">
        <w:rPr>
          <w:lang w:val="sr-Latn-BA"/>
        </w:rPr>
        <w:t xml:space="preserve"> </w:t>
      </w:r>
      <w:r w:rsidRPr="001B53A8">
        <w:rPr>
          <w:lang w:val="sr-Latn-BA"/>
        </w:rPr>
        <w:t>pranja</w:t>
      </w:r>
      <w:r w:rsidR="009813BA" w:rsidRPr="001B53A8">
        <w:rPr>
          <w:lang w:val="sr-Latn-BA"/>
        </w:rPr>
        <w:t xml:space="preserve"> </w:t>
      </w:r>
      <w:r w:rsidRPr="001B53A8">
        <w:rPr>
          <w:lang w:val="sr-Latn-BA"/>
        </w:rPr>
        <w:t>novca</w:t>
      </w:r>
      <w:r w:rsidR="009813BA" w:rsidRPr="001B53A8">
        <w:rPr>
          <w:lang w:val="sr-Latn-BA"/>
        </w:rPr>
        <w:t xml:space="preserve"> </w:t>
      </w:r>
      <w:r w:rsidRPr="001B53A8">
        <w:rPr>
          <w:lang w:val="sr-Latn-BA"/>
        </w:rPr>
        <w:t>i</w:t>
      </w:r>
      <w:r w:rsidR="009813BA" w:rsidRPr="001B53A8">
        <w:rPr>
          <w:lang w:val="sr-Latn-BA"/>
        </w:rPr>
        <w:t xml:space="preserve"> </w:t>
      </w:r>
      <w:r w:rsidRPr="001B53A8">
        <w:rPr>
          <w:lang w:val="sr-Latn-BA"/>
        </w:rPr>
        <w:t>finansiranje</w:t>
      </w:r>
      <w:r w:rsidR="009813BA" w:rsidRPr="001B53A8">
        <w:rPr>
          <w:lang w:val="sr-Latn-BA"/>
        </w:rPr>
        <w:t xml:space="preserve"> </w:t>
      </w:r>
      <w:r w:rsidRPr="001B53A8">
        <w:rPr>
          <w:lang w:val="sr-Latn-BA"/>
        </w:rPr>
        <w:t>terorističkih</w:t>
      </w:r>
      <w:r w:rsidR="009813BA" w:rsidRPr="001B53A8">
        <w:rPr>
          <w:lang w:val="sr-Latn-BA"/>
        </w:rPr>
        <w:t xml:space="preserve"> </w:t>
      </w:r>
      <w:r w:rsidRPr="001B53A8">
        <w:rPr>
          <w:lang w:val="sr-Latn-BA"/>
        </w:rPr>
        <w:t>aktivnosti</w:t>
      </w:r>
      <w:r w:rsidR="009813BA" w:rsidRPr="001B53A8">
        <w:rPr>
          <w:lang w:val="sr-Latn-BA"/>
        </w:rPr>
        <w:t xml:space="preserve">, </w:t>
      </w:r>
      <w:r w:rsidRPr="001B53A8">
        <w:rPr>
          <w:rFonts w:eastAsia="Calibri"/>
          <w:lang w:val="sr-Latn-BA"/>
        </w:rPr>
        <w:t>te</w:t>
      </w:r>
      <w:r w:rsidR="009813BA" w:rsidRPr="001B53A8">
        <w:rPr>
          <w:rFonts w:eastAsia="Calibri"/>
          <w:lang w:val="sr-Latn-BA"/>
        </w:rPr>
        <w:t xml:space="preserve"> </w:t>
      </w:r>
      <w:r w:rsidRPr="001B53A8">
        <w:rPr>
          <w:rFonts w:eastAsia="Calibri"/>
          <w:lang w:val="sr-Latn-BA"/>
        </w:rPr>
        <w:t>da</w:t>
      </w:r>
      <w:r w:rsidR="009813BA" w:rsidRPr="001B53A8">
        <w:rPr>
          <w:rFonts w:eastAsia="Calibri"/>
          <w:lang w:val="sr-Latn-BA"/>
        </w:rPr>
        <w:t xml:space="preserve"> </w:t>
      </w:r>
      <w:r w:rsidRPr="001B53A8">
        <w:rPr>
          <w:rFonts w:eastAsia="Calibri"/>
          <w:lang w:val="sr-Latn-BA"/>
        </w:rPr>
        <w:t>vodi</w:t>
      </w:r>
      <w:r w:rsidR="009813BA" w:rsidRPr="001B53A8">
        <w:rPr>
          <w:rFonts w:eastAsia="Calibri"/>
          <w:lang w:val="sr-Latn-BA"/>
        </w:rPr>
        <w:t xml:space="preserve"> </w:t>
      </w:r>
      <w:r w:rsidRPr="001B53A8">
        <w:rPr>
          <w:rFonts w:eastAsia="Calibri"/>
          <w:lang w:val="sr-Latn-BA"/>
        </w:rPr>
        <w:t>evidenciju</w:t>
      </w:r>
      <w:r w:rsidR="009813BA" w:rsidRPr="001B53A8">
        <w:rPr>
          <w:rFonts w:eastAsia="Calibri"/>
          <w:lang w:val="sr-Latn-BA"/>
        </w:rPr>
        <w:t xml:space="preserve"> </w:t>
      </w:r>
      <w:r w:rsidRPr="001B53A8">
        <w:rPr>
          <w:rFonts w:eastAsia="Calibri"/>
          <w:lang w:val="sr-Latn-BA"/>
        </w:rPr>
        <w:t>pružalaca</w:t>
      </w:r>
      <w:r w:rsidR="009813BA" w:rsidRPr="001B53A8">
        <w:rPr>
          <w:rFonts w:eastAsia="Calibri"/>
          <w:lang w:val="sr-Latn-BA"/>
        </w:rPr>
        <w:t xml:space="preserve"> </w:t>
      </w:r>
      <w:r w:rsidRPr="001B53A8">
        <w:rPr>
          <w:rFonts w:eastAsia="Calibri"/>
          <w:lang w:val="sr-Latn-BA"/>
        </w:rPr>
        <w:t>usluga</w:t>
      </w:r>
      <w:r w:rsidR="009813BA" w:rsidRPr="001B53A8">
        <w:rPr>
          <w:rFonts w:eastAsia="Calibri"/>
          <w:lang w:val="sr-Latn-BA"/>
        </w:rPr>
        <w:t xml:space="preserve"> </w:t>
      </w:r>
      <w:r w:rsidRPr="001B53A8">
        <w:rPr>
          <w:rFonts w:eastAsia="Calibri"/>
          <w:lang w:val="sr-Latn-BA"/>
        </w:rPr>
        <w:t>povezanih</w:t>
      </w:r>
      <w:r w:rsidR="009813BA" w:rsidRPr="001B53A8">
        <w:rPr>
          <w:rFonts w:eastAsia="Calibri"/>
          <w:lang w:val="sr-Latn-BA"/>
        </w:rPr>
        <w:t xml:space="preserve"> </w:t>
      </w:r>
      <w:r w:rsidRPr="001B53A8">
        <w:rPr>
          <w:rFonts w:eastAsia="Calibri"/>
          <w:lang w:val="sr-Latn-BA"/>
        </w:rPr>
        <w:t>sa</w:t>
      </w:r>
      <w:r w:rsidR="009813BA" w:rsidRPr="001B53A8">
        <w:rPr>
          <w:rFonts w:eastAsia="Calibri"/>
          <w:lang w:val="sr-Latn-BA"/>
        </w:rPr>
        <w:t xml:space="preserve"> </w:t>
      </w:r>
      <w:r w:rsidRPr="001B53A8">
        <w:rPr>
          <w:rFonts w:eastAsia="Calibri"/>
          <w:lang w:val="sr-Latn-BA"/>
        </w:rPr>
        <w:t>virtuelnim</w:t>
      </w:r>
      <w:r w:rsidR="009813BA" w:rsidRPr="001B53A8">
        <w:rPr>
          <w:rFonts w:eastAsia="Calibri"/>
          <w:lang w:val="sr-Latn-BA"/>
        </w:rPr>
        <w:t xml:space="preserve"> </w:t>
      </w:r>
      <w:r w:rsidRPr="001B53A8">
        <w:rPr>
          <w:rFonts w:eastAsia="Calibri"/>
          <w:lang w:val="sr-Latn-BA"/>
        </w:rPr>
        <w:t>valutama</w:t>
      </w:r>
      <w:r w:rsidR="009813BA" w:rsidRPr="001B53A8">
        <w:rPr>
          <w:rFonts w:asciiTheme="minorHAnsi" w:eastAsia="Calibri" w:hAnsiTheme="minorHAnsi"/>
          <w:lang w:val="sr-Latn-BA"/>
        </w:rPr>
        <w:t>.</w:t>
      </w:r>
    </w:p>
    <w:p w14:paraId="1F6F2FC7" w14:textId="32568F7A" w:rsidR="009813BA" w:rsidRPr="001B53A8" w:rsidRDefault="00003F34" w:rsidP="009813BA">
      <w:pPr>
        <w:spacing w:line="240" w:lineRule="auto"/>
        <w:ind w:firstLine="567"/>
        <w:rPr>
          <w:lang w:val="sr-Latn-BA"/>
        </w:rPr>
      </w:pPr>
      <w:r w:rsidRPr="001B53A8">
        <w:rPr>
          <w:lang w:val="sr-Latn-BA"/>
        </w:rPr>
        <w:t>U</w:t>
      </w:r>
      <w:r w:rsidR="009813BA" w:rsidRPr="001B53A8">
        <w:rPr>
          <w:lang w:val="sr-Latn-BA"/>
        </w:rPr>
        <w:t xml:space="preserve"> </w:t>
      </w:r>
      <w:r w:rsidRPr="001B53A8">
        <w:rPr>
          <w:lang w:val="sr-Latn-BA"/>
        </w:rPr>
        <w:t>skladu</w:t>
      </w:r>
      <w:r w:rsidR="009813BA" w:rsidRPr="001B53A8">
        <w:rPr>
          <w:lang w:val="sr-Latn-BA"/>
        </w:rPr>
        <w:t xml:space="preserve"> </w:t>
      </w:r>
      <w:r w:rsidRPr="001B53A8">
        <w:rPr>
          <w:lang w:val="sr-Latn-BA"/>
        </w:rPr>
        <w:t>sa</w:t>
      </w:r>
      <w:r w:rsidR="009813BA" w:rsidRPr="001B53A8">
        <w:rPr>
          <w:lang w:val="sr-Latn-BA"/>
        </w:rPr>
        <w:t xml:space="preserve"> </w:t>
      </w:r>
      <w:r w:rsidRPr="001B53A8">
        <w:rPr>
          <w:lang w:val="sr-Latn-BA"/>
        </w:rPr>
        <w:t>navedenim</w:t>
      </w:r>
      <w:r w:rsidR="009813BA" w:rsidRPr="001B53A8">
        <w:rPr>
          <w:lang w:val="sr-Latn-BA"/>
        </w:rPr>
        <w:t xml:space="preserve">, </w:t>
      </w:r>
      <w:r w:rsidRPr="001B53A8">
        <w:rPr>
          <w:lang w:val="sr-Latn-BA"/>
        </w:rPr>
        <w:t>u</w:t>
      </w:r>
      <w:r w:rsidR="009813BA" w:rsidRPr="001B53A8">
        <w:rPr>
          <w:lang w:val="sr-Latn-BA"/>
        </w:rPr>
        <w:t xml:space="preserve"> 2023. </w:t>
      </w:r>
      <w:r w:rsidRPr="001B53A8">
        <w:rPr>
          <w:lang w:val="sr-Latn-BA"/>
        </w:rPr>
        <w:t>godini</w:t>
      </w:r>
      <w:r w:rsidR="009813BA" w:rsidRPr="001B53A8">
        <w:rPr>
          <w:lang w:val="sr-Latn-BA"/>
        </w:rPr>
        <w:t xml:space="preserve"> </w:t>
      </w:r>
      <w:r w:rsidRPr="001B53A8">
        <w:rPr>
          <w:lang w:val="sr-Latn-BA"/>
        </w:rPr>
        <w:t>evidentirana</w:t>
      </w:r>
      <w:r w:rsidR="009813BA" w:rsidRPr="001B53A8">
        <w:rPr>
          <w:lang w:val="sr-Latn-BA"/>
        </w:rPr>
        <w:t xml:space="preserve"> </w:t>
      </w:r>
      <w:r w:rsidRPr="001B53A8">
        <w:rPr>
          <w:lang w:val="sr-Latn-BA"/>
        </w:rPr>
        <w:t>su</w:t>
      </w:r>
      <w:r w:rsidR="009813BA" w:rsidRPr="001B53A8">
        <w:rPr>
          <w:lang w:val="sr-Latn-BA"/>
        </w:rPr>
        <w:t xml:space="preserve"> </w:t>
      </w:r>
      <w:r w:rsidRPr="001B53A8">
        <w:rPr>
          <w:lang w:val="sr-Latn-BA"/>
        </w:rPr>
        <w:t>četiri</w:t>
      </w:r>
      <w:r w:rsidR="009813BA" w:rsidRPr="001B53A8">
        <w:rPr>
          <w:lang w:val="sr-Latn-BA"/>
        </w:rPr>
        <w:t xml:space="preserve"> </w:t>
      </w:r>
      <w:r w:rsidRPr="001B53A8">
        <w:rPr>
          <w:lang w:val="sr-Latn-BA"/>
        </w:rPr>
        <w:t>pružaoca</w:t>
      </w:r>
      <w:r w:rsidR="009813BA" w:rsidRPr="001B53A8">
        <w:rPr>
          <w:lang w:val="sr-Latn-BA"/>
        </w:rPr>
        <w:t xml:space="preserve"> </w:t>
      </w:r>
      <w:r w:rsidRPr="001B53A8">
        <w:rPr>
          <w:lang w:val="sr-Latn-BA"/>
        </w:rPr>
        <w:t>usluga</w:t>
      </w:r>
      <w:r w:rsidR="009813BA" w:rsidRPr="001B53A8">
        <w:rPr>
          <w:lang w:val="sr-Latn-BA"/>
        </w:rPr>
        <w:t xml:space="preserve"> </w:t>
      </w:r>
      <w:r w:rsidRPr="001B53A8">
        <w:rPr>
          <w:lang w:val="sr-Latn-BA"/>
        </w:rPr>
        <w:t>povezanih</w:t>
      </w:r>
      <w:r w:rsidR="009813BA" w:rsidRPr="001B53A8">
        <w:rPr>
          <w:lang w:val="sr-Latn-BA"/>
        </w:rPr>
        <w:t xml:space="preserve"> </w:t>
      </w:r>
      <w:r w:rsidRPr="001B53A8">
        <w:rPr>
          <w:lang w:val="sr-Latn-BA"/>
        </w:rPr>
        <w:t>sa</w:t>
      </w:r>
      <w:r w:rsidR="009813BA" w:rsidRPr="001B53A8">
        <w:rPr>
          <w:lang w:val="sr-Latn-BA"/>
        </w:rPr>
        <w:t xml:space="preserve"> </w:t>
      </w:r>
      <w:r w:rsidRPr="001B53A8">
        <w:rPr>
          <w:lang w:val="sr-Latn-BA"/>
        </w:rPr>
        <w:t>virtuelnim</w:t>
      </w:r>
      <w:r w:rsidR="009813BA" w:rsidRPr="001B53A8">
        <w:rPr>
          <w:lang w:val="sr-Latn-BA"/>
        </w:rPr>
        <w:t xml:space="preserve"> </w:t>
      </w:r>
      <w:r w:rsidRPr="001B53A8">
        <w:rPr>
          <w:lang w:val="sr-Latn-BA"/>
        </w:rPr>
        <w:t>valutama</w:t>
      </w:r>
      <w:r w:rsidR="009813BA" w:rsidRPr="001B53A8">
        <w:rPr>
          <w:lang w:val="sr-Latn-BA"/>
        </w:rPr>
        <w:t xml:space="preserve">, </w:t>
      </w:r>
      <w:r w:rsidRPr="001B53A8">
        <w:rPr>
          <w:lang w:val="sr-Latn-BA"/>
        </w:rPr>
        <w:t>dok</w:t>
      </w:r>
      <w:r w:rsidR="009813BA" w:rsidRPr="001B53A8">
        <w:rPr>
          <w:lang w:val="sr-Latn-BA"/>
        </w:rPr>
        <w:t xml:space="preserve"> </w:t>
      </w:r>
      <w:r w:rsidRPr="001B53A8">
        <w:rPr>
          <w:lang w:val="sr-Latn-BA"/>
        </w:rPr>
        <w:t>je</w:t>
      </w:r>
      <w:r w:rsidR="009813BA" w:rsidRPr="001B53A8">
        <w:rPr>
          <w:lang w:val="sr-Latn-BA"/>
        </w:rPr>
        <w:t xml:space="preserve"> </w:t>
      </w:r>
      <w:r w:rsidRPr="001B53A8">
        <w:rPr>
          <w:lang w:val="sr-Latn-BA"/>
        </w:rPr>
        <w:t>jedan</w:t>
      </w:r>
      <w:r w:rsidR="009813BA" w:rsidRPr="001B53A8">
        <w:rPr>
          <w:lang w:val="sr-Latn-BA"/>
        </w:rPr>
        <w:t xml:space="preserve"> </w:t>
      </w:r>
      <w:r w:rsidRPr="001B53A8">
        <w:rPr>
          <w:lang w:val="sr-Latn-BA"/>
        </w:rPr>
        <w:t>zahtjev</w:t>
      </w:r>
      <w:r w:rsidR="009813BA" w:rsidRPr="001B53A8">
        <w:rPr>
          <w:lang w:val="sr-Latn-BA"/>
        </w:rPr>
        <w:t xml:space="preserve">, </w:t>
      </w:r>
      <w:r w:rsidRPr="001B53A8">
        <w:rPr>
          <w:lang w:val="sr-Latn-BA"/>
        </w:rPr>
        <w:t>za</w:t>
      </w:r>
      <w:r w:rsidR="009813BA" w:rsidRPr="001B53A8">
        <w:rPr>
          <w:lang w:val="sr-Latn-BA"/>
        </w:rPr>
        <w:t xml:space="preserve"> </w:t>
      </w:r>
      <w:r w:rsidRPr="001B53A8">
        <w:rPr>
          <w:lang w:val="sr-Latn-BA"/>
        </w:rPr>
        <w:t>upis</w:t>
      </w:r>
      <w:r w:rsidR="009813BA" w:rsidRPr="001B53A8">
        <w:rPr>
          <w:lang w:val="sr-Latn-BA"/>
        </w:rPr>
        <w:t xml:space="preserve"> </w:t>
      </w:r>
      <w:r w:rsidRPr="001B53A8">
        <w:rPr>
          <w:lang w:val="sr-Latn-BA"/>
        </w:rPr>
        <w:t>u</w:t>
      </w:r>
      <w:r w:rsidR="009813BA" w:rsidRPr="001B53A8">
        <w:rPr>
          <w:lang w:val="sr-Latn-BA"/>
        </w:rPr>
        <w:t xml:space="preserve"> </w:t>
      </w:r>
      <w:r w:rsidRPr="001B53A8">
        <w:rPr>
          <w:lang w:val="sr-Latn-BA"/>
        </w:rPr>
        <w:t>evidenciju</w:t>
      </w:r>
      <w:r w:rsidR="009813BA" w:rsidRPr="001B53A8">
        <w:rPr>
          <w:lang w:val="sr-Latn-BA"/>
        </w:rPr>
        <w:t xml:space="preserve"> </w:t>
      </w:r>
      <w:r w:rsidRPr="001B53A8">
        <w:rPr>
          <w:lang w:val="sr-Latn-BA"/>
        </w:rPr>
        <w:t>pružalaca</w:t>
      </w:r>
      <w:r w:rsidR="009813BA" w:rsidRPr="001B53A8">
        <w:rPr>
          <w:lang w:val="sr-Latn-BA"/>
        </w:rPr>
        <w:t xml:space="preserve"> </w:t>
      </w:r>
      <w:r w:rsidRPr="001B53A8">
        <w:rPr>
          <w:lang w:val="sr-Latn-BA"/>
        </w:rPr>
        <w:t>usluga</w:t>
      </w:r>
      <w:r w:rsidR="009813BA" w:rsidRPr="001B53A8">
        <w:rPr>
          <w:lang w:val="sr-Latn-BA"/>
        </w:rPr>
        <w:t xml:space="preserve"> </w:t>
      </w:r>
      <w:r w:rsidRPr="001B53A8">
        <w:rPr>
          <w:lang w:val="sr-Latn-BA"/>
        </w:rPr>
        <w:t>povezanih</w:t>
      </w:r>
      <w:r w:rsidR="009813BA" w:rsidRPr="001B53A8">
        <w:rPr>
          <w:lang w:val="sr-Latn-BA"/>
        </w:rPr>
        <w:t xml:space="preserve"> </w:t>
      </w:r>
      <w:r w:rsidRPr="001B53A8">
        <w:rPr>
          <w:lang w:val="sr-Latn-BA"/>
        </w:rPr>
        <w:t>sa</w:t>
      </w:r>
      <w:r w:rsidR="009813BA" w:rsidRPr="001B53A8">
        <w:rPr>
          <w:lang w:val="sr-Latn-BA"/>
        </w:rPr>
        <w:t xml:space="preserve"> </w:t>
      </w:r>
      <w:r w:rsidRPr="001B53A8">
        <w:rPr>
          <w:lang w:val="sr-Latn-BA"/>
        </w:rPr>
        <w:t>virtuelnim</w:t>
      </w:r>
      <w:r w:rsidR="009813BA" w:rsidRPr="001B53A8">
        <w:rPr>
          <w:lang w:val="sr-Latn-BA"/>
        </w:rPr>
        <w:t xml:space="preserve"> </w:t>
      </w:r>
      <w:r w:rsidRPr="001B53A8">
        <w:rPr>
          <w:lang w:val="sr-Latn-BA"/>
        </w:rPr>
        <w:t>valutama</w:t>
      </w:r>
      <w:r w:rsidR="009813BA" w:rsidRPr="001B53A8">
        <w:rPr>
          <w:lang w:val="sr-Latn-BA"/>
        </w:rPr>
        <w:t xml:space="preserve"> </w:t>
      </w:r>
      <w:r w:rsidRPr="001B53A8">
        <w:rPr>
          <w:lang w:val="sr-Latn-BA"/>
        </w:rPr>
        <w:t>kod</w:t>
      </w:r>
      <w:r w:rsidR="009813BA" w:rsidRPr="001B53A8">
        <w:rPr>
          <w:lang w:val="sr-Latn-BA"/>
        </w:rPr>
        <w:t xml:space="preserve"> </w:t>
      </w:r>
      <w:r w:rsidRPr="001B53A8">
        <w:rPr>
          <w:lang w:val="sr-Latn-BA"/>
        </w:rPr>
        <w:t>Komisije</w:t>
      </w:r>
      <w:r w:rsidR="009813BA" w:rsidRPr="001B53A8">
        <w:rPr>
          <w:lang w:val="sr-Latn-BA"/>
        </w:rPr>
        <w:t xml:space="preserve">, </w:t>
      </w:r>
      <w:r w:rsidRPr="001B53A8">
        <w:rPr>
          <w:lang w:val="sr-Latn-BA"/>
        </w:rPr>
        <w:t>odbačen</w:t>
      </w:r>
      <w:r w:rsidR="009813BA" w:rsidRPr="001B53A8">
        <w:rPr>
          <w:lang w:val="sr-Latn-BA"/>
        </w:rPr>
        <w:t xml:space="preserve"> </w:t>
      </w:r>
      <w:r w:rsidRPr="001B53A8">
        <w:rPr>
          <w:lang w:val="sr-Latn-BA"/>
        </w:rPr>
        <w:t>kao</w:t>
      </w:r>
      <w:r w:rsidR="009813BA" w:rsidRPr="001B53A8">
        <w:rPr>
          <w:lang w:val="sr-Latn-BA"/>
        </w:rPr>
        <w:t xml:space="preserve"> </w:t>
      </w:r>
      <w:r w:rsidRPr="001B53A8">
        <w:rPr>
          <w:lang w:val="sr-Latn-BA"/>
        </w:rPr>
        <w:t>neuredan</w:t>
      </w:r>
      <w:r w:rsidR="009813BA" w:rsidRPr="001B53A8">
        <w:rPr>
          <w:lang w:val="sr-Latn-BA"/>
        </w:rPr>
        <w:t>.</w:t>
      </w:r>
    </w:p>
    <w:tbl>
      <w:tblPr>
        <w:tblStyle w:val="LightGrid-Accent11"/>
        <w:tblW w:w="8988" w:type="dxa"/>
        <w:tblInd w:w="108" w:type="dxa"/>
        <w:tblLayout w:type="fixed"/>
        <w:tblLook w:val="0420" w:firstRow="1" w:lastRow="0" w:firstColumn="0" w:lastColumn="0" w:noHBand="0" w:noVBand="1"/>
      </w:tblPr>
      <w:tblGrid>
        <w:gridCol w:w="8988"/>
      </w:tblGrid>
      <w:tr w:rsidR="009813BA" w:rsidRPr="001B53A8" w14:paraId="1FF1BCE0" w14:textId="77777777" w:rsidTr="009813BA">
        <w:trPr>
          <w:cnfStyle w:val="100000000000" w:firstRow="1" w:lastRow="0" w:firstColumn="0" w:lastColumn="0" w:oddVBand="0" w:evenVBand="0" w:oddHBand="0" w:evenHBand="0" w:firstRowFirstColumn="0" w:firstRowLastColumn="0" w:lastRowFirstColumn="0" w:lastRowLastColumn="0"/>
          <w:trHeight w:val="280"/>
        </w:trPr>
        <w:tc>
          <w:tcPr>
            <w:tcW w:w="8988" w:type="dxa"/>
            <w:hideMark/>
          </w:tcPr>
          <w:p w14:paraId="0788A36A" w14:textId="398CB586" w:rsidR="009813BA" w:rsidRPr="001B53A8" w:rsidRDefault="009813BA" w:rsidP="00003F34">
            <w:pPr>
              <w:spacing w:line="240" w:lineRule="auto"/>
              <w:ind w:firstLine="0"/>
              <w:rPr>
                <w:rFonts w:ascii="Times New Roman" w:eastAsia="Times New Roman" w:hAnsi="Times New Roman" w:cs="Times New Roman"/>
                <w:sz w:val="20"/>
                <w:szCs w:val="20"/>
                <w:lang w:val="sr-Latn-BA" w:eastAsia="sr-Latn-CS"/>
              </w:rPr>
            </w:pPr>
            <w:r w:rsidRPr="001B53A8">
              <w:rPr>
                <w:rFonts w:ascii="Times New Roman" w:hAnsi="Times New Roman" w:cs="Times New Roman"/>
                <w:sz w:val="20"/>
                <w:szCs w:val="20"/>
                <w:lang w:val="sr-Latn-BA"/>
              </w:rPr>
              <w:br w:type="page"/>
            </w:r>
            <w:r w:rsidR="00003F34" w:rsidRPr="001B53A8">
              <w:rPr>
                <w:rFonts w:ascii="Times New Roman" w:eastAsia="Times New Roman" w:hAnsi="Times New Roman" w:cs="Times New Roman"/>
                <w:sz w:val="20"/>
                <w:szCs w:val="20"/>
                <w:lang w:val="sr-Latn-BA" w:eastAsia="sr-Latn-CS"/>
              </w:rPr>
              <w:t>Naziv</w:t>
            </w:r>
            <w:r w:rsidRPr="001B53A8">
              <w:rPr>
                <w:rFonts w:ascii="Times New Roman" w:eastAsia="Times New Roman" w:hAnsi="Times New Roman" w:cs="Times New Roman"/>
                <w:sz w:val="20"/>
                <w:szCs w:val="20"/>
                <w:lang w:val="sr-Latn-BA" w:eastAsia="sr-Latn-CS"/>
              </w:rPr>
              <w:t xml:space="preserve"> </w:t>
            </w:r>
          </w:p>
        </w:tc>
      </w:tr>
      <w:tr w:rsidR="009813BA" w:rsidRPr="001B53A8" w14:paraId="2DE59C3E" w14:textId="77777777" w:rsidTr="009813BA">
        <w:trPr>
          <w:cnfStyle w:val="000000100000" w:firstRow="0" w:lastRow="0" w:firstColumn="0" w:lastColumn="0" w:oddVBand="0" w:evenVBand="0" w:oddHBand="1" w:evenHBand="0" w:firstRowFirstColumn="0" w:firstRowLastColumn="0" w:lastRowFirstColumn="0" w:lastRowLastColumn="0"/>
          <w:trHeight w:val="237"/>
        </w:trPr>
        <w:tc>
          <w:tcPr>
            <w:tcW w:w="8988" w:type="dxa"/>
            <w:hideMark/>
          </w:tcPr>
          <w:p w14:paraId="17E7AD07" w14:textId="4CC31543" w:rsidR="009813BA" w:rsidRPr="001B53A8" w:rsidRDefault="009813BA" w:rsidP="00003F34">
            <w:pPr>
              <w:spacing w:after="60" w:line="240" w:lineRule="auto"/>
              <w:ind w:firstLine="0"/>
              <w:rPr>
                <w:rFonts w:ascii="Times New Roman" w:eastAsia="Times New Roman" w:hAnsi="Times New Roman" w:cs="Times New Roman"/>
                <w:sz w:val="20"/>
                <w:szCs w:val="20"/>
                <w:lang w:val="sr-Latn-BA" w:eastAsia="sr-Latn-CS"/>
              </w:rPr>
            </w:pPr>
            <w:r w:rsidRPr="001B53A8">
              <w:rPr>
                <w:rFonts w:ascii="Times New Roman" w:hAnsi="Times New Roman"/>
                <w:sz w:val="22"/>
                <w:lang w:val="sr-Latn-BA"/>
              </w:rPr>
              <w:t xml:space="preserve">„Digital Asset Management“ </w:t>
            </w:r>
            <w:r w:rsidR="00003F34" w:rsidRPr="001B53A8">
              <w:rPr>
                <w:rFonts w:ascii="Times New Roman" w:hAnsi="Times New Roman"/>
                <w:sz w:val="22"/>
                <w:lang w:val="sr-Latn-BA"/>
              </w:rPr>
              <w:t>d</w:t>
            </w:r>
            <w:r w:rsidRPr="001B53A8">
              <w:rPr>
                <w:rFonts w:ascii="Times New Roman" w:hAnsi="Times New Roman"/>
                <w:sz w:val="22"/>
                <w:lang w:val="sr-Latn-BA"/>
              </w:rPr>
              <w:t>.</w:t>
            </w:r>
            <w:r w:rsidR="00003F34" w:rsidRPr="001B53A8">
              <w:rPr>
                <w:rFonts w:ascii="Times New Roman" w:hAnsi="Times New Roman"/>
                <w:sz w:val="22"/>
                <w:lang w:val="sr-Latn-BA"/>
              </w:rPr>
              <w:t>o</w:t>
            </w:r>
            <w:r w:rsidRPr="001B53A8">
              <w:rPr>
                <w:rFonts w:ascii="Times New Roman" w:hAnsi="Times New Roman"/>
                <w:sz w:val="22"/>
                <w:lang w:val="sr-Latn-BA"/>
              </w:rPr>
              <w:t>.</w:t>
            </w:r>
            <w:r w:rsidR="00003F34" w:rsidRPr="001B53A8">
              <w:rPr>
                <w:rFonts w:ascii="Times New Roman" w:hAnsi="Times New Roman"/>
                <w:sz w:val="22"/>
                <w:lang w:val="sr-Latn-BA"/>
              </w:rPr>
              <w:t>o</w:t>
            </w:r>
            <w:r w:rsidRPr="001B53A8">
              <w:rPr>
                <w:rFonts w:ascii="Times New Roman" w:hAnsi="Times New Roman"/>
                <w:sz w:val="22"/>
                <w:lang w:val="sr-Latn-BA"/>
              </w:rPr>
              <w:t xml:space="preserve">. </w:t>
            </w:r>
            <w:r w:rsidR="00003F34" w:rsidRPr="001B53A8">
              <w:rPr>
                <w:rFonts w:ascii="Times New Roman" w:hAnsi="Times New Roman"/>
                <w:sz w:val="22"/>
                <w:lang w:val="sr-Latn-BA"/>
              </w:rPr>
              <w:t>Banja</w:t>
            </w:r>
            <w:r w:rsidRPr="001B53A8">
              <w:rPr>
                <w:rFonts w:ascii="Times New Roman" w:hAnsi="Times New Roman"/>
                <w:sz w:val="22"/>
                <w:lang w:val="sr-Latn-BA"/>
              </w:rPr>
              <w:t xml:space="preserve"> </w:t>
            </w:r>
            <w:r w:rsidR="00003F34" w:rsidRPr="001B53A8">
              <w:rPr>
                <w:rFonts w:ascii="Times New Roman" w:hAnsi="Times New Roman"/>
                <w:sz w:val="22"/>
                <w:lang w:val="sr-Latn-BA"/>
              </w:rPr>
              <w:t>Luka</w:t>
            </w:r>
            <w:r w:rsidRPr="001B53A8">
              <w:rPr>
                <w:rFonts w:ascii="Times New Roman" w:hAnsi="Times New Roman"/>
                <w:sz w:val="22"/>
                <w:lang w:val="sr-Latn-BA"/>
              </w:rPr>
              <w:t xml:space="preserve"> </w:t>
            </w:r>
          </w:p>
        </w:tc>
      </w:tr>
      <w:tr w:rsidR="009813BA" w:rsidRPr="001B53A8" w14:paraId="2AA12C1A" w14:textId="77777777" w:rsidTr="009813BA">
        <w:trPr>
          <w:cnfStyle w:val="000000010000" w:firstRow="0" w:lastRow="0" w:firstColumn="0" w:lastColumn="0" w:oddVBand="0" w:evenVBand="0" w:oddHBand="0" w:evenHBand="1" w:firstRowFirstColumn="0" w:firstRowLastColumn="0" w:lastRowFirstColumn="0" w:lastRowLastColumn="0"/>
          <w:trHeight w:val="237"/>
        </w:trPr>
        <w:tc>
          <w:tcPr>
            <w:tcW w:w="8988" w:type="dxa"/>
          </w:tcPr>
          <w:p w14:paraId="5CA7C0ED" w14:textId="25F85B9D" w:rsidR="009813BA" w:rsidRPr="001B53A8" w:rsidRDefault="009813BA" w:rsidP="00003F34">
            <w:pPr>
              <w:spacing w:after="60" w:line="240" w:lineRule="auto"/>
              <w:ind w:firstLine="0"/>
              <w:rPr>
                <w:rFonts w:ascii="Times New Roman" w:hAnsi="Times New Roman"/>
                <w:sz w:val="22"/>
                <w:lang w:val="sr-Latn-BA"/>
              </w:rPr>
            </w:pPr>
            <w:r w:rsidRPr="001B53A8">
              <w:rPr>
                <w:rFonts w:ascii="Times New Roman" w:hAnsi="Times New Roman"/>
                <w:sz w:val="22"/>
                <w:lang w:val="sr-Latn-BA"/>
              </w:rPr>
              <w:t xml:space="preserve">„Tesla Trade“ </w:t>
            </w:r>
            <w:r w:rsidR="00003F34" w:rsidRPr="001B53A8">
              <w:rPr>
                <w:rFonts w:ascii="Times New Roman" w:hAnsi="Times New Roman"/>
                <w:sz w:val="22"/>
                <w:lang w:val="sr-Latn-BA"/>
              </w:rPr>
              <w:t>d</w:t>
            </w:r>
            <w:r w:rsidRPr="001B53A8">
              <w:rPr>
                <w:rFonts w:ascii="Times New Roman" w:hAnsi="Times New Roman"/>
                <w:sz w:val="22"/>
                <w:lang w:val="sr-Latn-BA"/>
              </w:rPr>
              <w:t>.</w:t>
            </w:r>
            <w:r w:rsidR="00003F34" w:rsidRPr="001B53A8">
              <w:rPr>
                <w:rFonts w:ascii="Times New Roman" w:hAnsi="Times New Roman"/>
                <w:sz w:val="22"/>
                <w:lang w:val="sr-Latn-BA"/>
              </w:rPr>
              <w:t>o</w:t>
            </w:r>
            <w:r w:rsidRPr="001B53A8">
              <w:rPr>
                <w:rFonts w:ascii="Times New Roman" w:hAnsi="Times New Roman"/>
                <w:sz w:val="22"/>
                <w:lang w:val="sr-Latn-BA"/>
              </w:rPr>
              <w:t>.</w:t>
            </w:r>
            <w:r w:rsidR="00003F34" w:rsidRPr="001B53A8">
              <w:rPr>
                <w:rFonts w:ascii="Times New Roman" w:hAnsi="Times New Roman"/>
                <w:sz w:val="22"/>
                <w:lang w:val="sr-Latn-BA"/>
              </w:rPr>
              <w:t>o</w:t>
            </w:r>
            <w:r w:rsidRPr="001B53A8">
              <w:rPr>
                <w:rFonts w:ascii="Times New Roman" w:hAnsi="Times New Roman"/>
                <w:sz w:val="22"/>
                <w:lang w:val="sr-Latn-BA"/>
              </w:rPr>
              <w:t xml:space="preserve">. </w:t>
            </w:r>
            <w:r w:rsidR="00003F34" w:rsidRPr="001B53A8">
              <w:rPr>
                <w:rFonts w:ascii="Times New Roman" w:hAnsi="Times New Roman"/>
                <w:sz w:val="22"/>
                <w:lang w:val="sr-Latn-BA"/>
              </w:rPr>
              <w:t>Bijelјina</w:t>
            </w:r>
          </w:p>
        </w:tc>
      </w:tr>
      <w:tr w:rsidR="009813BA" w:rsidRPr="001B53A8" w14:paraId="317B6BA6" w14:textId="77777777" w:rsidTr="009813BA">
        <w:trPr>
          <w:cnfStyle w:val="000000100000" w:firstRow="0" w:lastRow="0" w:firstColumn="0" w:lastColumn="0" w:oddVBand="0" w:evenVBand="0" w:oddHBand="1" w:evenHBand="0" w:firstRowFirstColumn="0" w:firstRowLastColumn="0" w:lastRowFirstColumn="0" w:lastRowLastColumn="0"/>
          <w:trHeight w:val="237"/>
        </w:trPr>
        <w:tc>
          <w:tcPr>
            <w:tcW w:w="8988" w:type="dxa"/>
          </w:tcPr>
          <w:p w14:paraId="0425996C" w14:textId="4D25BBB0" w:rsidR="009813BA" w:rsidRPr="001B53A8" w:rsidRDefault="009813BA" w:rsidP="00003F34">
            <w:pPr>
              <w:spacing w:after="60" w:line="240" w:lineRule="auto"/>
              <w:ind w:firstLine="0"/>
              <w:rPr>
                <w:rFonts w:ascii="Times New Roman" w:hAnsi="Times New Roman"/>
                <w:sz w:val="22"/>
                <w:lang w:val="sr-Latn-BA"/>
              </w:rPr>
            </w:pPr>
            <w:r w:rsidRPr="001B53A8">
              <w:rPr>
                <w:rFonts w:ascii="Times New Roman" w:hAnsi="Times New Roman"/>
                <w:sz w:val="22"/>
                <w:lang w:val="sr-Latn-BA"/>
              </w:rPr>
              <w:t xml:space="preserve">„Digital Crypto Exchange“ </w:t>
            </w:r>
            <w:r w:rsidR="00003F34" w:rsidRPr="001B53A8">
              <w:rPr>
                <w:rFonts w:ascii="Times New Roman" w:hAnsi="Times New Roman"/>
                <w:sz w:val="22"/>
                <w:lang w:val="sr-Latn-BA"/>
              </w:rPr>
              <w:t>d</w:t>
            </w:r>
            <w:r w:rsidRPr="001B53A8">
              <w:rPr>
                <w:rFonts w:ascii="Times New Roman" w:hAnsi="Times New Roman"/>
                <w:sz w:val="22"/>
                <w:lang w:val="sr-Latn-BA"/>
              </w:rPr>
              <w:t>.</w:t>
            </w:r>
            <w:r w:rsidR="00003F34" w:rsidRPr="001B53A8">
              <w:rPr>
                <w:rFonts w:ascii="Times New Roman" w:hAnsi="Times New Roman"/>
                <w:sz w:val="22"/>
                <w:lang w:val="sr-Latn-BA"/>
              </w:rPr>
              <w:t>o</w:t>
            </w:r>
            <w:r w:rsidRPr="001B53A8">
              <w:rPr>
                <w:rFonts w:ascii="Times New Roman" w:hAnsi="Times New Roman"/>
                <w:sz w:val="22"/>
                <w:lang w:val="sr-Latn-BA"/>
              </w:rPr>
              <w:t>.</w:t>
            </w:r>
            <w:r w:rsidR="00003F34" w:rsidRPr="001B53A8">
              <w:rPr>
                <w:rFonts w:ascii="Times New Roman" w:hAnsi="Times New Roman"/>
                <w:sz w:val="22"/>
                <w:lang w:val="sr-Latn-BA"/>
              </w:rPr>
              <w:t>o</w:t>
            </w:r>
            <w:r w:rsidRPr="001B53A8">
              <w:rPr>
                <w:rFonts w:ascii="Times New Roman" w:hAnsi="Times New Roman"/>
                <w:sz w:val="22"/>
                <w:lang w:val="sr-Latn-BA"/>
              </w:rPr>
              <w:t xml:space="preserve">. </w:t>
            </w:r>
            <w:r w:rsidR="00003F34" w:rsidRPr="001B53A8">
              <w:rPr>
                <w:rFonts w:ascii="Times New Roman" w:hAnsi="Times New Roman"/>
                <w:sz w:val="22"/>
                <w:lang w:val="sr-Latn-BA"/>
              </w:rPr>
              <w:t>Banja</w:t>
            </w:r>
            <w:r w:rsidRPr="001B53A8">
              <w:rPr>
                <w:rFonts w:ascii="Times New Roman" w:hAnsi="Times New Roman"/>
                <w:sz w:val="22"/>
                <w:lang w:val="sr-Latn-BA"/>
              </w:rPr>
              <w:t xml:space="preserve"> </w:t>
            </w:r>
            <w:r w:rsidR="00003F34" w:rsidRPr="001B53A8">
              <w:rPr>
                <w:rFonts w:ascii="Times New Roman" w:hAnsi="Times New Roman"/>
                <w:sz w:val="22"/>
                <w:lang w:val="sr-Latn-BA"/>
              </w:rPr>
              <w:t>Luka</w:t>
            </w:r>
          </w:p>
        </w:tc>
      </w:tr>
      <w:tr w:rsidR="009813BA" w:rsidRPr="001B53A8" w14:paraId="5BA85060" w14:textId="77777777" w:rsidTr="009813BA">
        <w:trPr>
          <w:cnfStyle w:val="000000010000" w:firstRow="0" w:lastRow="0" w:firstColumn="0" w:lastColumn="0" w:oddVBand="0" w:evenVBand="0" w:oddHBand="0" w:evenHBand="1" w:firstRowFirstColumn="0" w:firstRowLastColumn="0" w:lastRowFirstColumn="0" w:lastRowLastColumn="0"/>
          <w:trHeight w:val="237"/>
        </w:trPr>
        <w:tc>
          <w:tcPr>
            <w:tcW w:w="8988" w:type="dxa"/>
          </w:tcPr>
          <w:p w14:paraId="66DD879C" w14:textId="3CBA7589" w:rsidR="009813BA" w:rsidRPr="001B53A8" w:rsidRDefault="009813BA" w:rsidP="00003F34">
            <w:pPr>
              <w:spacing w:after="60" w:line="240" w:lineRule="auto"/>
              <w:ind w:firstLine="0"/>
              <w:rPr>
                <w:rFonts w:ascii="Times New Roman" w:hAnsi="Times New Roman"/>
                <w:sz w:val="22"/>
                <w:lang w:val="sr-Latn-BA"/>
              </w:rPr>
            </w:pPr>
            <w:r w:rsidRPr="001B53A8">
              <w:rPr>
                <w:rFonts w:ascii="Times New Roman" w:hAnsi="Times New Roman"/>
                <w:sz w:val="22"/>
                <w:lang w:val="sr-Latn-BA"/>
              </w:rPr>
              <w:t xml:space="preserve">„Crypto Trading Management Servis“ </w:t>
            </w:r>
            <w:r w:rsidR="00003F34" w:rsidRPr="001B53A8">
              <w:rPr>
                <w:rFonts w:ascii="Times New Roman" w:hAnsi="Times New Roman"/>
                <w:sz w:val="22"/>
                <w:lang w:val="sr-Latn-BA"/>
              </w:rPr>
              <w:t>d</w:t>
            </w:r>
            <w:r w:rsidRPr="001B53A8">
              <w:rPr>
                <w:rFonts w:ascii="Times New Roman" w:hAnsi="Times New Roman"/>
                <w:sz w:val="22"/>
                <w:lang w:val="sr-Latn-BA"/>
              </w:rPr>
              <w:t>.</w:t>
            </w:r>
            <w:r w:rsidR="00003F34" w:rsidRPr="001B53A8">
              <w:rPr>
                <w:rFonts w:ascii="Times New Roman" w:hAnsi="Times New Roman"/>
                <w:sz w:val="22"/>
                <w:lang w:val="sr-Latn-BA"/>
              </w:rPr>
              <w:t>o</w:t>
            </w:r>
            <w:r w:rsidRPr="001B53A8">
              <w:rPr>
                <w:rFonts w:ascii="Times New Roman" w:hAnsi="Times New Roman"/>
                <w:sz w:val="22"/>
                <w:lang w:val="sr-Latn-BA"/>
              </w:rPr>
              <w:t>.</w:t>
            </w:r>
            <w:r w:rsidR="00003F34" w:rsidRPr="001B53A8">
              <w:rPr>
                <w:rFonts w:ascii="Times New Roman" w:hAnsi="Times New Roman"/>
                <w:sz w:val="22"/>
                <w:lang w:val="sr-Latn-BA"/>
              </w:rPr>
              <w:t>o</w:t>
            </w:r>
            <w:r w:rsidRPr="001B53A8">
              <w:rPr>
                <w:rFonts w:ascii="Times New Roman" w:hAnsi="Times New Roman"/>
                <w:sz w:val="22"/>
                <w:lang w:val="sr-Latn-BA"/>
              </w:rPr>
              <w:t xml:space="preserve">. </w:t>
            </w:r>
            <w:r w:rsidR="00003F34" w:rsidRPr="001B53A8">
              <w:rPr>
                <w:rFonts w:ascii="Times New Roman" w:hAnsi="Times New Roman"/>
                <w:sz w:val="22"/>
                <w:lang w:val="sr-Latn-BA"/>
              </w:rPr>
              <w:t>Banja</w:t>
            </w:r>
            <w:r w:rsidRPr="001B53A8">
              <w:rPr>
                <w:rFonts w:ascii="Times New Roman" w:hAnsi="Times New Roman"/>
                <w:sz w:val="22"/>
                <w:lang w:val="sr-Latn-BA"/>
              </w:rPr>
              <w:t xml:space="preserve"> </w:t>
            </w:r>
            <w:r w:rsidR="00003F34" w:rsidRPr="001B53A8">
              <w:rPr>
                <w:rFonts w:ascii="Times New Roman" w:hAnsi="Times New Roman"/>
                <w:sz w:val="22"/>
                <w:lang w:val="sr-Latn-BA"/>
              </w:rPr>
              <w:t>Luka</w:t>
            </w:r>
          </w:p>
        </w:tc>
      </w:tr>
    </w:tbl>
    <w:p w14:paraId="69E3D1E0" w14:textId="0C9C47EA" w:rsidR="009813BA" w:rsidRPr="001B53A8" w:rsidRDefault="00003F34" w:rsidP="009813BA">
      <w:pPr>
        <w:pStyle w:val="Caption"/>
        <w:tabs>
          <w:tab w:val="left" w:pos="1276"/>
        </w:tabs>
        <w:spacing w:after="0"/>
        <w:ind w:left="1276" w:hanging="1276"/>
        <w:jc w:val="both"/>
        <w:rPr>
          <w:rFonts w:ascii="Times New Roman" w:hAnsi="Times New Roman"/>
          <w:b w:val="0"/>
          <w:noProof/>
          <w:sz w:val="24"/>
          <w:szCs w:val="24"/>
          <w:lang w:val="sr-Latn-BA"/>
        </w:rPr>
      </w:pPr>
      <w:r w:rsidRPr="001B53A8">
        <w:rPr>
          <w:rFonts w:ascii="Times New Roman" w:hAnsi="Times New Roman"/>
          <w:sz w:val="24"/>
          <w:lang w:val="sr-Latn-BA"/>
        </w:rPr>
        <w:t>Tabela</w:t>
      </w:r>
      <w:r w:rsidR="009813BA" w:rsidRPr="001B53A8">
        <w:rPr>
          <w:rFonts w:ascii="Times New Roman" w:hAnsi="Times New Roman"/>
          <w:sz w:val="24"/>
          <w:lang w:val="sr-Latn-BA"/>
        </w:rPr>
        <w:t xml:space="preserve"> </w:t>
      </w:r>
      <w:r w:rsidR="009813BA" w:rsidRPr="001B53A8">
        <w:rPr>
          <w:rFonts w:ascii="Times New Roman" w:hAnsi="Times New Roman"/>
          <w:sz w:val="24"/>
          <w:lang w:val="sr-Latn-BA"/>
        </w:rPr>
        <w:fldChar w:fldCharType="begin"/>
      </w:r>
      <w:r w:rsidR="009813BA" w:rsidRPr="001B53A8">
        <w:rPr>
          <w:rFonts w:ascii="Times New Roman" w:hAnsi="Times New Roman"/>
          <w:sz w:val="24"/>
          <w:lang w:val="sr-Latn-BA"/>
        </w:rPr>
        <w:instrText xml:space="preserve"> SEQ Табела \* ARABIC </w:instrText>
      </w:r>
      <w:r w:rsidR="009813BA" w:rsidRPr="001B53A8">
        <w:rPr>
          <w:rFonts w:ascii="Times New Roman" w:hAnsi="Times New Roman"/>
          <w:sz w:val="24"/>
          <w:lang w:val="sr-Latn-BA"/>
        </w:rPr>
        <w:fldChar w:fldCharType="separate"/>
      </w:r>
      <w:r w:rsidR="009813BA" w:rsidRPr="001B53A8">
        <w:rPr>
          <w:rFonts w:ascii="Times New Roman" w:hAnsi="Times New Roman"/>
          <w:noProof/>
          <w:sz w:val="24"/>
          <w:lang w:val="sr-Latn-BA"/>
        </w:rPr>
        <w:t>15</w:t>
      </w:r>
      <w:r w:rsidR="009813BA" w:rsidRPr="001B53A8">
        <w:rPr>
          <w:rFonts w:ascii="Times New Roman" w:hAnsi="Times New Roman"/>
          <w:sz w:val="24"/>
          <w:lang w:val="sr-Latn-BA"/>
        </w:rPr>
        <w:fldChar w:fldCharType="end"/>
      </w:r>
      <w:r w:rsidR="009813BA" w:rsidRPr="001B53A8">
        <w:rPr>
          <w:rFonts w:ascii="Times New Roman" w:hAnsi="Times New Roman"/>
          <w:sz w:val="24"/>
          <w:lang w:val="sr-Latn-BA"/>
        </w:rPr>
        <w:t>.</w:t>
      </w:r>
      <w:r w:rsidR="009813BA" w:rsidRPr="001B53A8">
        <w:rPr>
          <w:rFonts w:ascii="Times New Roman" w:hAnsi="Times New Roman"/>
          <w:sz w:val="36"/>
          <w:szCs w:val="24"/>
          <w:lang w:val="sr-Latn-BA"/>
        </w:rPr>
        <w:tab/>
      </w:r>
      <w:r w:rsidRPr="001B53A8">
        <w:rPr>
          <w:rFonts w:ascii="Times New Roman" w:hAnsi="Times New Roman"/>
          <w:b w:val="0"/>
          <w:noProof/>
          <w:sz w:val="24"/>
          <w:szCs w:val="24"/>
          <w:lang w:val="sr-Latn-BA"/>
        </w:rPr>
        <w:t>Pregled</w:t>
      </w:r>
      <w:r w:rsidR="009813BA"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pružalaca</w:t>
      </w:r>
      <w:r w:rsidR="009813BA"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usluga</w:t>
      </w:r>
      <w:r w:rsidR="009813BA"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povezanih</w:t>
      </w:r>
      <w:r w:rsidR="009813BA"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sa</w:t>
      </w:r>
      <w:r w:rsidR="009813BA"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virtuelnim</w:t>
      </w:r>
      <w:r w:rsidR="009813BA"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valutama</w:t>
      </w:r>
      <w:r w:rsidR="009813BA"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na</w:t>
      </w:r>
      <w:r w:rsidR="009813BA" w:rsidRPr="001B53A8">
        <w:rPr>
          <w:rFonts w:ascii="Times New Roman" w:hAnsi="Times New Roman"/>
          <w:b w:val="0"/>
          <w:noProof/>
          <w:sz w:val="24"/>
          <w:szCs w:val="24"/>
          <w:lang w:val="sr-Latn-BA"/>
        </w:rPr>
        <w:t xml:space="preserve"> </w:t>
      </w:r>
      <w:r w:rsidRPr="001B53A8">
        <w:rPr>
          <w:rFonts w:ascii="Times New Roman" w:hAnsi="Times New Roman"/>
          <w:b w:val="0"/>
          <w:noProof/>
          <w:sz w:val="24"/>
          <w:szCs w:val="24"/>
          <w:lang w:val="sr-Latn-BA"/>
        </w:rPr>
        <w:t>dan</w:t>
      </w:r>
      <w:r w:rsidR="009813BA" w:rsidRPr="001B53A8">
        <w:rPr>
          <w:rFonts w:ascii="Times New Roman" w:hAnsi="Times New Roman"/>
          <w:b w:val="0"/>
          <w:noProof/>
          <w:sz w:val="24"/>
          <w:szCs w:val="24"/>
          <w:lang w:val="sr-Latn-BA"/>
        </w:rPr>
        <w:t xml:space="preserve"> 31.12.2023. </w:t>
      </w:r>
      <w:r w:rsidRPr="001B53A8">
        <w:rPr>
          <w:rFonts w:ascii="Times New Roman" w:hAnsi="Times New Roman"/>
          <w:b w:val="0"/>
          <w:noProof/>
          <w:sz w:val="24"/>
          <w:szCs w:val="24"/>
          <w:lang w:val="sr-Latn-BA"/>
        </w:rPr>
        <w:t>godine</w:t>
      </w:r>
    </w:p>
    <w:bookmarkEnd w:id="70"/>
    <w:p w14:paraId="7669BFC3" w14:textId="31D82480" w:rsidR="009813BA" w:rsidRPr="001B53A8" w:rsidRDefault="00003F34" w:rsidP="00BF5474">
      <w:pPr>
        <w:rPr>
          <w:lang w:val="sr-Latn-BA"/>
        </w:rPr>
      </w:pPr>
      <w:r w:rsidRPr="001B53A8">
        <w:rPr>
          <w:lang w:val="sr-Latn-BA"/>
        </w:rPr>
        <w:t>U</w:t>
      </w:r>
      <w:r w:rsidR="009813BA" w:rsidRPr="001B53A8">
        <w:rPr>
          <w:lang w:val="sr-Latn-BA"/>
        </w:rPr>
        <w:t xml:space="preserve"> 2023. </w:t>
      </w:r>
      <w:r w:rsidRPr="001B53A8">
        <w:rPr>
          <w:lang w:val="sr-Latn-BA"/>
        </w:rPr>
        <w:t>godini</w:t>
      </w:r>
      <w:r w:rsidR="009813BA" w:rsidRPr="001B53A8">
        <w:rPr>
          <w:lang w:val="sr-Latn-BA"/>
        </w:rPr>
        <w:t xml:space="preserve"> </w:t>
      </w:r>
      <w:r w:rsidRPr="001B53A8">
        <w:rPr>
          <w:lang w:val="sr-Latn-BA"/>
        </w:rPr>
        <w:t>Komisija</w:t>
      </w:r>
      <w:r w:rsidR="009813BA" w:rsidRPr="001B53A8">
        <w:rPr>
          <w:lang w:val="sr-Latn-BA"/>
        </w:rPr>
        <w:t xml:space="preserve"> </w:t>
      </w:r>
      <w:r w:rsidRPr="001B53A8">
        <w:rPr>
          <w:lang w:val="sr-Latn-BA"/>
        </w:rPr>
        <w:t>je</w:t>
      </w:r>
      <w:r w:rsidR="009813BA" w:rsidRPr="001B53A8">
        <w:rPr>
          <w:lang w:val="sr-Latn-BA"/>
        </w:rPr>
        <w:t xml:space="preserve"> </w:t>
      </w:r>
      <w:r w:rsidRPr="001B53A8">
        <w:rPr>
          <w:lang w:val="sr-Latn-BA"/>
        </w:rPr>
        <w:t>usvojila</w:t>
      </w:r>
      <w:r w:rsidR="009813BA" w:rsidRPr="001B53A8">
        <w:rPr>
          <w:lang w:val="sr-Latn-BA"/>
        </w:rPr>
        <w:t xml:space="preserve"> </w:t>
      </w:r>
      <w:r w:rsidRPr="001B53A8">
        <w:rPr>
          <w:lang w:val="sr-Latn-BA"/>
        </w:rPr>
        <w:t>jedan</w:t>
      </w:r>
      <w:r w:rsidR="009813BA" w:rsidRPr="001B53A8">
        <w:rPr>
          <w:lang w:val="sr-Latn-BA"/>
        </w:rPr>
        <w:t xml:space="preserve"> </w:t>
      </w:r>
      <w:r w:rsidRPr="001B53A8">
        <w:rPr>
          <w:lang w:val="sr-Latn-BA"/>
        </w:rPr>
        <w:t>odgovor</w:t>
      </w:r>
      <w:r w:rsidR="009813BA" w:rsidRPr="001B53A8">
        <w:rPr>
          <w:lang w:val="sr-Latn-BA"/>
        </w:rPr>
        <w:t xml:space="preserve"> </w:t>
      </w:r>
      <w:r w:rsidRPr="001B53A8">
        <w:rPr>
          <w:lang w:val="sr-Latn-BA"/>
        </w:rPr>
        <w:t>na</w:t>
      </w:r>
      <w:r w:rsidR="009813BA" w:rsidRPr="001B53A8">
        <w:rPr>
          <w:lang w:val="sr-Latn-BA"/>
        </w:rPr>
        <w:t xml:space="preserve"> </w:t>
      </w:r>
      <w:r w:rsidRPr="001B53A8">
        <w:rPr>
          <w:lang w:val="sr-Latn-BA"/>
        </w:rPr>
        <w:t>upit</w:t>
      </w:r>
      <w:r w:rsidR="009813BA" w:rsidRPr="001B53A8">
        <w:rPr>
          <w:lang w:val="sr-Latn-BA"/>
        </w:rPr>
        <w:t xml:space="preserve"> </w:t>
      </w:r>
      <w:r w:rsidRPr="001B53A8">
        <w:rPr>
          <w:lang w:val="sr-Latn-BA"/>
        </w:rPr>
        <w:t>u</w:t>
      </w:r>
      <w:r w:rsidR="009813BA" w:rsidRPr="001B53A8">
        <w:rPr>
          <w:lang w:val="sr-Latn-BA"/>
        </w:rPr>
        <w:t xml:space="preserve"> </w:t>
      </w:r>
      <w:r w:rsidRPr="001B53A8">
        <w:rPr>
          <w:lang w:val="sr-Latn-BA"/>
        </w:rPr>
        <w:t>vezi</w:t>
      </w:r>
      <w:r w:rsidR="009813BA" w:rsidRPr="001B53A8">
        <w:rPr>
          <w:lang w:val="sr-Latn-BA"/>
        </w:rPr>
        <w:t xml:space="preserve"> </w:t>
      </w:r>
      <w:r w:rsidRPr="001B53A8">
        <w:rPr>
          <w:lang w:val="sr-Latn-BA"/>
        </w:rPr>
        <w:t>sa</w:t>
      </w:r>
      <w:r w:rsidR="009813BA" w:rsidRPr="001B53A8">
        <w:rPr>
          <w:lang w:val="sr-Latn-BA"/>
        </w:rPr>
        <w:t xml:space="preserve"> </w:t>
      </w:r>
      <w:r w:rsidRPr="001B53A8">
        <w:rPr>
          <w:lang w:val="sr-Latn-BA"/>
        </w:rPr>
        <w:t>registracijom</w:t>
      </w:r>
      <w:r w:rsidR="009813BA" w:rsidRPr="001B53A8">
        <w:rPr>
          <w:lang w:val="sr-Latn-BA"/>
        </w:rPr>
        <w:t xml:space="preserve"> </w:t>
      </w:r>
      <w:r w:rsidRPr="001B53A8">
        <w:rPr>
          <w:lang w:val="sr-Latn-BA"/>
        </w:rPr>
        <w:t>djelatnosti</w:t>
      </w:r>
      <w:r w:rsidR="009813BA" w:rsidRPr="001B53A8">
        <w:rPr>
          <w:lang w:val="sr-Latn-BA"/>
        </w:rPr>
        <w:t xml:space="preserve"> </w:t>
      </w:r>
      <w:r w:rsidRPr="001B53A8">
        <w:rPr>
          <w:lang w:val="sr-Latn-BA"/>
        </w:rPr>
        <w:t>mjenjačnice</w:t>
      </w:r>
      <w:r w:rsidR="009813BA" w:rsidRPr="001B53A8">
        <w:rPr>
          <w:lang w:val="sr-Latn-BA"/>
        </w:rPr>
        <w:t>.</w:t>
      </w:r>
    </w:p>
    <w:p w14:paraId="399935D4" w14:textId="709B4049" w:rsidR="009628CE" w:rsidRPr="001B53A8" w:rsidRDefault="00003F34" w:rsidP="006B6E0C">
      <w:pPr>
        <w:pStyle w:val="Heading1"/>
        <w:shd w:val="clear" w:color="auto" w:fill="auto"/>
        <w:spacing w:before="360" w:line="240" w:lineRule="auto"/>
        <w:ind w:left="709" w:hanging="709"/>
        <w:rPr>
          <w:rFonts w:ascii="Times New Roman" w:hAnsi="Times New Roman"/>
          <w:caps w:val="0"/>
          <w:color w:val="002060"/>
          <w:lang w:val="sr-Latn-BA"/>
        </w:rPr>
      </w:pPr>
      <w:bookmarkStart w:id="71" w:name="_Toc321408899"/>
      <w:bookmarkStart w:id="72" w:name="_Toc167962120"/>
      <w:r w:rsidRPr="001B53A8">
        <w:rPr>
          <w:rFonts w:ascii="Times New Roman" w:hAnsi="Times New Roman"/>
          <w:caps w:val="0"/>
          <w:color w:val="002060"/>
          <w:lang w:val="sr-Latn-BA"/>
        </w:rPr>
        <w:t>RAZVOJ</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I</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MEĐUNARODNA</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SARADN</w:t>
      </w:r>
      <w:r w:rsidR="00CF7BAC">
        <w:rPr>
          <w:rFonts w:ascii="Times New Roman" w:hAnsi="Times New Roman"/>
          <w:caps w:val="0"/>
          <w:color w:val="002060"/>
          <w:lang w:val="sr-Latn-BA"/>
        </w:rPr>
        <w:t>J</w:t>
      </w:r>
      <w:r w:rsidRPr="001B53A8">
        <w:rPr>
          <w:rFonts w:ascii="Times New Roman" w:hAnsi="Times New Roman"/>
          <w:caps w:val="0"/>
          <w:color w:val="002060"/>
          <w:lang w:val="sr-Latn-BA"/>
        </w:rPr>
        <w:t>A</w:t>
      </w:r>
      <w:bookmarkEnd w:id="71"/>
      <w:bookmarkEnd w:id="72"/>
    </w:p>
    <w:p w14:paraId="45B2C7E1" w14:textId="6E649D87" w:rsidR="009628CE" w:rsidRPr="001B53A8" w:rsidRDefault="00003F34" w:rsidP="006B6E0C">
      <w:pPr>
        <w:spacing w:after="0" w:line="240" w:lineRule="auto"/>
        <w:ind w:firstLine="567"/>
        <w:rPr>
          <w:lang w:val="sr-Latn-BA"/>
        </w:rPr>
      </w:pPr>
      <w:r w:rsidRPr="001B53A8">
        <w:rPr>
          <w:lang w:val="sr-Latn-BA"/>
        </w:rPr>
        <w:t>U</w:t>
      </w:r>
      <w:r w:rsidR="009628CE" w:rsidRPr="001B53A8">
        <w:rPr>
          <w:lang w:val="sr-Latn-BA"/>
        </w:rPr>
        <w:t xml:space="preserve"> </w:t>
      </w:r>
      <w:r w:rsidR="001B7591" w:rsidRPr="001B53A8">
        <w:rPr>
          <w:lang w:val="sr-Latn-BA"/>
        </w:rPr>
        <w:t>2023</w:t>
      </w:r>
      <w:r w:rsidR="009628CE" w:rsidRPr="001B53A8">
        <w:rPr>
          <w:lang w:val="sr-Latn-BA"/>
        </w:rPr>
        <w:t xml:space="preserve">. </w:t>
      </w:r>
      <w:r w:rsidRPr="001B53A8">
        <w:rPr>
          <w:lang w:val="sr-Latn-BA"/>
        </w:rPr>
        <w:t>godini</w:t>
      </w:r>
      <w:r w:rsidR="009628CE" w:rsidRPr="001B53A8">
        <w:rPr>
          <w:lang w:val="sr-Latn-BA"/>
        </w:rPr>
        <w:t xml:space="preserve"> </w:t>
      </w:r>
      <w:r w:rsidRPr="001B53A8">
        <w:rPr>
          <w:lang w:val="sr-Latn-BA"/>
        </w:rPr>
        <w:t>najveći</w:t>
      </w:r>
      <w:r w:rsidR="009628CE" w:rsidRPr="001B53A8">
        <w:rPr>
          <w:lang w:val="sr-Latn-BA"/>
        </w:rPr>
        <w:t xml:space="preserve"> </w:t>
      </w:r>
      <w:r w:rsidRPr="001B53A8">
        <w:rPr>
          <w:lang w:val="sr-Latn-BA"/>
        </w:rPr>
        <w:t>dio</w:t>
      </w:r>
      <w:r w:rsidR="009628CE" w:rsidRPr="001B53A8">
        <w:rPr>
          <w:lang w:val="sr-Latn-BA"/>
        </w:rPr>
        <w:t xml:space="preserve"> </w:t>
      </w:r>
      <w:r w:rsidRPr="001B53A8">
        <w:rPr>
          <w:lang w:val="sr-Latn-BA"/>
        </w:rPr>
        <w:t>aktivnosti</w:t>
      </w:r>
      <w:r w:rsidR="009628CE" w:rsidRPr="001B53A8">
        <w:rPr>
          <w:lang w:val="sr-Latn-BA"/>
        </w:rPr>
        <w:t xml:space="preserve"> </w:t>
      </w:r>
      <w:r w:rsidRPr="001B53A8">
        <w:rPr>
          <w:lang w:val="sr-Latn-BA"/>
        </w:rPr>
        <w:t>Komisije</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oblasti</w:t>
      </w:r>
      <w:r w:rsidR="009628CE" w:rsidRPr="001B53A8">
        <w:rPr>
          <w:lang w:val="sr-Latn-BA"/>
        </w:rPr>
        <w:t xml:space="preserve"> </w:t>
      </w:r>
      <w:r w:rsidRPr="001B53A8">
        <w:rPr>
          <w:lang w:val="sr-Latn-BA"/>
        </w:rPr>
        <w:t>razvoja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međunarodne</w:t>
      </w:r>
      <w:r w:rsidR="009628CE" w:rsidRPr="001B53A8">
        <w:rPr>
          <w:lang w:val="sr-Latn-BA"/>
        </w:rPr>
        <w:t xml:space="preserve"> </w:t>
      </w:r>
      <w:r w:rsidRPr="001B53A8">
        <w:rPr>
          <w:lang w:val="sr-Latn-BA"/>
        </w:rPr>
        <w:t>saradnje</w:t>
      </w:r>
      <w:r w:rsidR="009628CE" w:rsidRPr="001B53A8">
        <w:rPr>
          <w:lang w:val="sr-Latn-BA"/>
        </w:rPr>
        <w:t xml:space="preserve"> </w:t>
      </w:r>
      <w:r w:rsidRPr="001B53A8">
        <w:rPr>
          <w:lang w:val="sr-Latn-BA"/>
        </w:rPr>
        <w:t>bile</w:t>
      </w:r>
      <w:r w:rsidR="009628CE" w:rsidRPr="001B53A8">
        <w:rPr>
          <w:lang w:val="sr-Latn-BA"/>
        </w:rPr>
        <w:t xml:space="preserve"> </w:t>
      </w:r>
      <w:r w:rsidRPr="001B53A8">
        <w:rPr>
          <w:lang w:val="sr-Latn-BA"/>
        </w:rPr>
        <w:t>su</w:t>
      </w:r>
      <w:r w:rsidR="009628CE" w:rsidRPr="001B53A8">
        <w:rPr>
          <w:lang w:val="sr-Latn-BA"/>
        </w:rPr>
        <w:t xml:space="preserve"> </w:t>
      </w:r>
      <w:r w:rsidRPr="001B53A8">
        <w:rPr>
          <w:lang w:val="sr-Latn-BA"/>
        </w:rPr>
        <w:t>posvećene</w:t>
      </w:r>
      <w:r w:rsidR="009628CE" w:rsidRPr="001B53A8">
        <w:rPr>
          <w:lang w:val="sr-Latn-BA"/>
        </w:rPr>
        <w:t>:</w:t>
      </w:r>
    </w:p>
    <w:p w14:paraId="76AACF9D" w14:textId="786A9568" w:rsidR="009628CE" w:rsidRPr="001B53A8" w:rsidRDefault="00003F34" w:rsidP="00A63AF7">
      <w:pPr>
        <w:pStyle w:val="ListParagraph"/>
        <w:numPr>
          <w:ilvl w:val="0"/>
          <w:numId w:val="3"/>
        </w:numPr>
        <w:spacing w:before="0" w:after="0" w:line="240" w:lineRule="auto"/>
        <w:ind w:left="851" w:hanging="284"/>
        <w:contextualSpacing w:val="0"/>
        <w:rPr>
          <w:lang w:val="sr-Latn-BA"/>
        </w:rPr>
      </w:pPr>
      <w:r w:rsidRPr="001B53A8">
        <w:rPr>
          <w:lang w:val="sr-Latn-BA"/>
        </w:rPr>
        <w:t>praćenju</w:t>
      </w:r>
      <w:r w:rsidR="009628CE" w:rsidRPr="001B53A8">
        <w:rPr>
          <w:lang w:val="sr-Latn-BA"/>
        </w:rPr>
        <w:t xml:space="preserve"> </w:t>
      </w:r>
      <w:r w:rsidRPr="001B53A8">
        <w:rPr>
          <w:lang w:val="sr-Latn-BA"/>
        </w:rPr>
        <w:t>regulative</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prakse</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djelokrugu</w:t>
      </w:r>
      <w:r w:rsidR="009628CE" w:rsidRPr="001B53A8">
        <w:rPr>
          <w:lang w:val="sr-Latn-BA"/>
        </w:rPr>
        <w:t xml:space="preserve"> </w:t>
      </w:r>
      <w:r w:rsidRPr="001B53A8">
        <w:rPr>
          <w:lang w:val="sr-Latn-BA"/>
        </w:rPr>
        <w:t>rada</w:t>
      </w:r>
      <w:r w:rsidR="009628CE" w:rsidRPr="001B53A8">
        <w:rPr>
          <w:lang w:val="sr-Latn-BA"/>
        </w:rPr>
        <w:t xml:space="preserve"> </w:t>
      </w:r>
      <w:r w:rsidRPr="001B53A8">
        <w:rPr>
          <w:lang w:val="sr-Latn-BA"/>
        </w:rPr>
        <w:t>Komisije</w:t>
      </w:r>
      <w:r w:rsidR="009628CE" w:rsidRPr="001B53A8">
        <w:rPr>
          <w:lang w:val="sr-Latn-BA"/>
        </w:rPr>
        <w:t xml:space="preserve">, </w:t>
      </w:r>
    </w:p>
    <w:p w14:paraId="11EBA1D0" w14:textId="5B50344A" w:rsidR="009628CE" w:rsidRPr="001B53A8" w:rsidRDefault="00003F34" w:rsidP="00A63AF7">
      <w:pPr>
        <w:pStyle w:val="ListParagraph"/>
        <w:numPr>
          <w:ilvl w:val="0"/>
          <w:numId w:val="3"/>
        </w:numPr>
        <w:spacing w:before="0" w:after="0" w:line="240" w:lineRule="auto"/>
        <w:ind w:left="851" w:hanging="284"/>
        <w:contextualSpacing w:val="0"/>
        <w:rPr>
          <w:lang w:val="sr-Latn-BA"/>
        </w:rPr>
      </w:pPr>
      <w:r w:rsidRPr="001B53A8">
        <w:rPr>
          <w:lang w:val="sr-Latn-BA"/>
        </w:rPr>
        <w:t>praćenju</w:t>
      </w:r>
      <w:r w:rsidR="009628CE" w:rsidRPr="001B53A8">
        <w:rPr>
          <w:lang w:val="sr-Latn-BA"/>
        </w:rPr>
        <w:t xml:space="preserve"> </w:t>
      </w:r>
      <w:r w:rsidRPr="001B53A8">
        <w:rPr>
          <w:lang w:val="sr-Latn-BA"/>
        </w:rPr>
        <w:t>regulative</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prakse</w:t>
      </w:r>
      <w:r w:rsidR="009628CE" w:rsidRPr="001B53A8">
        <w:rPr>
          <w:lang w:val="sr-Latn-BA"/>
        </w:rPr>
        <w:t xml:space="preserve"> </w:t>
      </w:r>
      <w:r w:rsidRPr="001B53A8">
        <w:rPr>
          <w:lang w:val="sr-Latn-BA"/>
        </w:rPr>
        <w:t>drugih</w:t>
      </w:r>
      <w:r w:rsidR="009628CE" w:rsidRPr="001B53A8">
        <w:rPr>
          <w:lang w:val="sr-Latn-BA"/>
        </w:rPr>
        <w:t xml:space="preserve"> </w:t>
      </w:r>
      <w:r w:rsidRPr="001B53A8">
        <w:rPr>
          <w:lang w:val="sr-Latn-BA"/>
        </w:rPr>
        <w:t>oblasti</w:t>
      </w:r>
      <w:r w:rsidR="009628CE" w:rsidRPr="001B53A8">
        <w:rPr>
          <w:lang w:val="sr-Latn-BA"/>
        </w:rPr>
        <w:t xml:space="preserve"> </w:t>
      </w:r>
      <w:r w:rsidRPr="001B53A8">
        <w:rPr>
          <w:lang w:val="sr-Latn-BA"/>
        </w:rPr>
        <w:t>koje</w:t>
      </w:r>
      <w:r w:rsidR="009628CE" w:rsidRPr="001B53A8">
        <w:rPr>
          <w:lang w:val="sr-Latn-BA"/>
        </w:rPr>
        <w:t xml:space="preserve"> </w:t>
      </w:r>
      <w:r w:rsidRPr="001B53A8">
        <w:rPr>
          <w:lang w:val="sr-Latn-BA"/>
        </w:rPr>
        <w:t>su</w:t>
      </w:r>
      <w:r w:rsidR="009628CE" w:rsidRPr="001B53A8">
        <w:rPr>
          <w:lang w:val="sr-Latn-BA"/>
        </w:rPr>
        <w:t xml:space="preserve"> </w:t>
      </w:r>
      <w:r w:rsidRPr="001B53A8">
        <w:rPr>
          <w:lang w:val="sr-Latn-BA"/>
        </w:rPr>
        <w:t>direktno</w:t>
      </w:r>
      <w:r w:rsidR="009628CE" w:rsidRPr="001B53A8">
        <w:rPr>
          <w:lang w:val="sr-Latn-BA"/>
        </w:rPr>
        <w:t xml:space="preserve"> </w:t>
      </w:r>
      <w:r w:rsidRPr="001B53A8">
        <w:rPr>
          <w:lang w:val="sr-Latn-BA"/>
        </w:rPr>
        <w:t>ili</w:t>
      </w:r>
      <w:r w:rsidR="009628CE" w:rsidRPr="001B53A8">
        <w:rPr>
          <w:lang w:val="sr-Latn-BA"/>
        </w:rPr>
        <w:t xml:space="preserve"> </w:t>
      </w:r>
      <w:r w:rsidRPr="001B53A8">
        <w:rPr>
          <w:lang w:val="sr-Latn-BA"/>
        </w:rPr>
        <w:t>indirektno</w:t>
      </w:r>
      <w:r w:rsidR="009628CE" w:rsidRPr="001B53A8">
        <w:rPr>
          <w:lang w:val="sr-Latn-BA"/>
        </w:rPr>
        <w:t xml:space="preserve"> </w:t>
      </w:r>
      <w:r w:rsidRPr="001B53A8">
        <w:rPr>
          <w:lang w:val="sr-Latn-BA"/>
        </w:rPr>
        <w:t>vezane</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tržište</w:t>
      </w:r>
      <w:r w:rsidR="009628CE" w:rsidRPr="001B53A8">
        <w:rPr>
          <w:lang w:val="sr-Latn-BA"/>
        </w:rPr>
        <w:t xml:space="preserve"> </w:t>
      </w:r>
      <w:r w:rsidRPr="001B53A8">
        <w:rPr>
          <w:lang w:val="sr-Latn-BA"/>
        </w:rPr>
        <w:t>hartija</w:t>
      </w:r>
      <w:r w:rsidR="009628CE" w:rsidRPr="001B53A8">
        <w:rPr>
          <w:lang w:val="sr-Latn-BA"/>
        </w:rPr>
        <w:t xml:space="preserve"> </w:t>
      </w:r>
      <w:r w:rsidRPr="001B53A8">
        <w:rPr>
          <w:lang w:val="sr-Latn-BA"/>
        </w:rPr>
        <w:t>od</w:t>
      </w:r>
      <w:r w:rsidR="009628CE" w:rsidRPr="001B53A8">
        <w:rPr>
          <w:lang w:val="sr-Latn-BA"/>
        </w:rPr>
        <w:t xml:space="preserve"> </w:t>
      </w:r>
      <w:r w:rsidRPr="001B53A8">
        <w:rPr>
          <w:lang w:val="sr-Latn-BA"/>
        </w:rPr>
        <w:t>vrijednosti</w:t>
      </w:r>
      <w:r w:rsidR="009628CE" w:rsidRPr="001B53A8">
        <w:rPr>
          <w:lang w:val="sr-Latn-BA"/>
        </w:rPr>
        <w:t xml:space="preserve"> </w:t>
      </w:r>
      <w:r w:rsidRPr="001B53A8">
        <w:rPr>
          <w:lang w:val="sr-Latn-BA"/>
        </w:rPr>
        <w:t>i</w:t>
      </w:r>
      <w:r w:rsidR="009628CE" w:rsidRPr="001B53A8">
        <w:rPr>
          <w:lang w:val="sr-Latn-BA"/>
        </w:rPr>
        <w:t>/</w:t>
      </w:r>
      <w:r w:rsidRPr="001B53A8">
        <w:rPr>
          <w:lang w:val="sr-Latn-BA"/>
        </w:rPr>
        <w:t>ili</w:t>
      </w:r>
      <w:r w:rsidR="009628CE" w:rsidRPr="001B53A8">
        <w:rPr>
          <w:lang w:val="sr-Latn-BA"/>
        </w:rPr>
        <w:t xml:space="preserve"> </w:t>
      </w:r>
      <w:r w:rsidRPr="001B53A8">
        <w:rPr>
          <w:lang w:val="sr-Latn-BA"/>
        </w:rPr>
        <w:t>aktivnosti</w:t>
      </w:r>
      <w:r w:rsidR="009628CE" w:rsidRPr="001B53A8">
        <w:rPr>
          <w:lang w:val="sr-Latn-BA"/>
        </w:rPr>
        <w:t xml:space="preserve"> </w:t>
      </w:r>
      <w:r w:rsidRPr="001B53A8">
        <w:rPr>
          <w:lang w:val="sr-Latn-BA"/>
        </w:rPr>
        <w:t>Komisije</w:t>
      </w:r>
      <w:r w:rsidR="009628CE" w:rsidRPr="001B53A8">
        <w:rPr>
          <w:lang w:val="sr-Latn-BA"/>
        </w:rPr>
        <w:t>,</w:t>
      </w:r>
    </w:p>
    <w:p w14:paraId="17AB7212" w14:textId="35006F40" w:rsidR="009628CE" w:rsidRPr="001B53A8" w:rsidRDefault="00003F34" w:rsidP="00A63AF7">
      <w:pPr>
        <w:pStyle w:val="ListParagraph"/>
        <w:numPr>
          <w:ilvl w:val="0"/>
          <w:numId w:val="3"/>
        </w:numPr>
        <w:spacing w:before="0" w:after="0" w:line="240" w:lineRule="auto"/>
        <w:ind w:left="851" w:hanging="284"/>
        <w:contextualSpacing w:val="0"/>
        <w:rPr>
          <w:lang w:val="sr-Latn-BA"/>
        </w:rPr>
      </w:pPr>
      <w:r w:rsidRPr="001B53A8">
        <w:rPr>
          <w:lang w:val="sr-Latn-BA"/>
        </w:rPr>
        <w:t>analiziranju</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predlaganju</w:t>
      </w:r>
      <w:r w:rsidR="009628CE" w:rsidRPr="001B53A8">
        <w:rPr>
          <w:lang w:val="sr-Latn-BA"/>
        </w:rPr>
        <w:t xml:space="preserve"> </w:t>
      </w:r>
      <w:r w:rsidRPr="001B53A8">
        <w:rPr>
          <w:lang w:val="sr-Latn-BA"/>
        </w:rPr>
        <w:t>rješenja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prijedloga</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izmjenu</w:t>
      </w:r>
      <w:r w:rsidR="009628CE" w:rsidRPr="001B53A8">
        <w:rPr>
          <w:lang w:val="sr-Latn-BA"/>
        </w:rPr>
        <w:t>/</w:t>
      </w:r>
      <w:r w:rsidRPr="001B53A8">
        <w:rPr>
          <w:lang w:val="sr-Latn-BA"/>
        </w:rPr>
        <w:t>dopunu</w:t>
      </w:r>
      <w:r w:rsidR="009628CE" w:rsidRPr="001B53A8">
        <w:rPr>
          <w:lang w:val="sr-Latn-BA"/>
        </w:rPr>
        <w:t xml:space="preserve"> </w:t>
      </w:r>
      <w:r w:rsidRPr="001B53A8">
        <w:rPr>
          <w:lang w:val="sr-Latn-BA"/>
        </w:rPr>
        <w:t>postojeće</w:t>
      </w:r>
      <w:r w:rsidR="009628CE" w:rsidRPr="001B53A8">
        <w:rPr>
          <w:lang w:val="sr-Latn-BA"/>
        </w:rPr>
        <w:t xml:space="preserve"> </w:t>
      </w:r>
      <w:r w:rsidRPr="001B53A8">
        <w:rPr>
          <w:lang w:val="sr-Latn-BA"/>
        </w:rPr>
        <w:t>regulative</w:t>
      </w:r>
      <w:r w:rsidR="009628CE" w:rsidRPr="001B53A8">
        <w:rPr>
          <w:lang w:val="sr-Latn-BA"/>
        </w:rPr>
        <w:t xml:space="preserve"> </w:t>
      </w:r>
      <w:r w:rsidRPr="001B53A8">
        <w:rPr>
          <w:lang w:val="sr-Latn-BA"/>
        </w:rPr>
        <w:t>ili</w:t>
      </w:r>
      <w:r w:rsidR="009628CE" w:rsidRPr="001B53A8">
        <w:rPr>
          <w:lang w:val="sr-Latn-BA"/>
        </w:rPr>
        <w:t xml:space="preserve"> </w:t>
      </w:r>
      <w:r w:rsidRPr="001B53A8">
        <w:rPr>
          <w:lang w:val="sr-Latn-BA"/>
        </w:rPr>
        <w:t>prijedloga</w:t>
      </w:r>
      <w:r w:rsidR="009628CE" w:rsidRPr="001B53A8">
        <w:rPr>
          <w:lang w:val="sr-Latn-BA"/>
        </w:rPr>
        <w:t xml:space="preserve"> </w:t>
      </w:r>
      <w:r w:rsidRPr="001B53A8">
        <w:rPr>
          <w:lang w:val="sr-Latn-BA"/>
        </w:rPr>
        <w:t>novih</w:t>
      </w:r>
      <w:r w:rsidR="009628CE" w:rsidRPr="001B53A8">
        <w:rPr>
          <w:lang w:val="sr-Latn-BA"/>
        </w:rPr>
        <w:t xml:space="preserve"> </w:t>
      </w:r>
      <w:r w:rsidRPr="001B53A8">
        <w:rPr>
          <w:lang w:val="sr-Latn-BA"/>
        </w:rPr>
        <w:t>opštih</w:t>
      </w:r>
      <w:r w:rsidR="009628CE" w:rsidRPr="001B53A8">
        <w:rPr>
          <w:lang w:val="sr-Latn-BA"/>
        </w:rPr>
        <w:t xml:space="preserve"> </w:t>
      </w:r>
      <w:r w:rsidRPr="001B53A8">
        <w:rPr>
          <w:lang w:val="sr-Latn-BA"/>
        </w:rPr>
        <w:t>akata</w:t>
      </w:r>
      <w:r w:rsidR="009628CE" w:rsidRPr="001B53A8">
        <w:rPr>
          <w:lang w:val="sr-Latn-BA"/>
        </w:rPr>
        <w:t xml:space="preserve"> </w:t>
      </w:r>
      <w:r w:rsidRPr="001B53A8">
        <w:rPr>
          <w:lang w:val="sr-Latn-BA"/>
        </w:rPr>
        <w:t>Komisije</w:t>
      </w:r>
      <w:r w:rsidR="009628CE" w:rsidRPr="001B53A8">
        <w:rPr>
          <w:lang w:val="sr-Latn-BA"/>
        </w:rPr>
        <w:t>,</w:t>
      </w:r>
    </w:p>
    <w:p w14:paraId="2743D749" w14:textId="078F54CC" w:rsidR="009628CE" w:rsidRPr="001B53A8" w:rsidRDefault="00003F34" w:rsidP="00A63AF7">
      <w:pPr>
        <w:pStyle w:val="ListParagraph"/>
        <w:numPr>
          <w:ilvl w:val="0"/>
          <w:numId w:val="3"/>
        </w:numPr>
        <w:spacing w:before="0" w:after="0" w:line="240" w:lineRule="auto"/>
        <w:ind w:left="851" w:hanging="284"/>
        <w:contextualSpacing w:val="0"/>
        <w:rPr>
          <w:lang w:val="sr-Latn-BA"/>
        </w:rPr>
      </w:pPr>
      <w:r w:rsidRPr="001B53A8">
        <w:rPr>
          <w:lang w:val="sr-Latn-BA"/>
        </w:rPr>
        <w:t>analizi</w:t>
      </w:r>
      <w:r w:rsidR="009628CE" w:rsidRPr="001B53A8">
        <w:rPr>
          <w:lang w:val="sr-Latn-BA"/>
        </w:rPr>
        <w:t xml:space="preserve"> </w:t>
      </w:r>
      <w:r w:rsidRPr="001B53A8">
        <w:rPr>
          <w:lang w:val="sr-Latn-BA"/>
        </w:rPr>
        <w:t>učesnika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novih</w:t>
      </w:r>
      <w:r w:rsidR="009628CE" w:rsidRPr="001B53A8">
        <w:rPr>
          <w:lang w:val="sr-Latn-BA"/>
        </w:rPr>
        <w:t xml:space="preserve">) </w:t>
      </w:r>
      <w:r w:rsidRPr="001B53A8">
        <w:rPr>
          <w:lang w:val="sr-Latn-BA"/>
        </w:rPr>
        <w:t>finansijskih</w:t>
      </w:r>
      <w:r w:rsidR="009628CE" w:rsidRPr="001B53A8">
        <w:rPr>
          <w:lang w:val="sr-Latn-BA"/>
        </w:rPr>
        <w:t xml:space="preserve"> </w:t>
      </w:r>
      <w:r w:rsidRPr="001B53A8">
        <w:rPr>
          <w:lang w:val="sr-Latn-BA"/>
        </w:rPr>
        <w:t>instrumenata</w:t>
      </w:r>
      <w:r w:rsidR="009628CE" w:rsidRPr="001B53A8">
        <w:rPr>
          <w:lang w:val="sr-Latn-BA"/>
        </w:rPr>
        <w:t xml:space="preserve"> </w:t>
      </w:r>
      <w:r w:rsidRPr="001B53A8">
        <w:rPr>
          <w:lang w:val="sr-Latn-BA"/>
        </w:rPr>
        <w:t>na</w:t>
      </w:r>
      <w:r w:rsidR="009628CE" w:rsidRPr="001B53A8">
        <w:rPr>
          <w:lang w:val="sr-Latn-BA"/>
        </w:rPr>
        <w:t xml:space="preserve"> </w:t>
      </w:r>
      <w:r w:rsidRPr="001B53A8">
        <w:rPr>
          <w:lang w:val="sr-Latn-BA"/>
        </w:rPr>
        <w:t>tržištu</w:t>
      </w:r>
      <w:r w:rsidR="009628CE" w:rsidRPr="001B53A8">
        <w:rPr>
          <w:lang w:val="sr-Latn-BA"/>
        </w:rPr>
        <w:t xml:space="preserve"> </w:t>
      </w:r>
      <w:r w:rsidRPr="001B53A8">
        <w:rPr>
          <w:lang w:val="sr-Latn-BA"/>
        </w:rPr>
        <w:t>hartija</w:t>
      </w:r>
      <w:r w:rsidR="009628CE" w:rsidRPr="001B53A8">
        <w:rPr>
          <w:lang w:val="sr-Latn-BA"/>
        </w:rPr>
        <w:t xml:space="preserve"> </w:t>
      </w:r>
      <w:r w:rsidRPr="001B53A8">
        <w:rPr>
          <w:lang w:val="sr-Latn-BA"/>
        </w:rPr>
        <w:t>od</w:t>
      </w:r>
      <w:r w:rsidR="009628CE" w:rsidRPr="001B53A8">
        <w:rPr>
          <w:lang w:val="sr-Latn-BA"/>
        </w:rPr>
        <w:t xml:space="preserve"> </w:t>
      </w:r>
      <w:r w:rsidRPr="001B53A8">
        <w:rPr>
          <w:lang w:val="sr-Latn-BA"/>
        </w:rPr>
        <w:t>vrijednosti</w:t>
      </w:r>
      <w:r w:rsidR="009628CE" w:rsidRPr="001B53A8">
        <w:rPr>
          <w:lang w:val="sr-Latn-BA"/>
        </w:rPr>
        <w:t>,</w:t>
      </w:r>
    </w:p>
    <w:p w14:paraId="70A6CE94" w14:textId="0AFFEB8F" w:rsidR="009628CE" w:rsidRPr="001B53A8" w:rsidRDefault="00003F34" w:rsidP="00A63AF7">
      <w:pPr>
        <w:pStyle w:val="ListParagraph"/>
        <w:numPr>
          <w:ilvl w:val="0"/>
          <w:numId w:val="3"/>
        </w:numPr>
        <w:spacing w:before="0" w:after="0" w:line="240" w:lineRule="auto"/>
        <w:ind w:left="851" w:hanging="284"/>
        <w:contextualSpacing w:val="0"/>
        <w:rPr>
          <w:lang w:val="sr-Latn-BA"/>
        </w:rPr>
      </w:pPr>
      <w:r w:rsidRPr="001B53A8">
        <w:rPr>
          <w:lang w:val="sr-Latn-BA"/>
        </w:rPr>
        <w:t>saradnji</w:t>
      </w:r>
      <w:r w:rsidR="009628CE" w:rsidRPr="001B53A8">
        <w:rPr>
          <w:lang w:val="sr-Latn-BA"/>
        </w:rPr>
        <w:t xml:space="preserve"> </w:t>
      </w:r>
      <w:r w:rsidRPr="001B53A8">
        <w:rPr>
          <w:lang w:val="sr-Latn-BA"/>
        </w:rPr>
        <w:t>sa</w:t>
      </w:r>
      <w:r w:rsidR="009628CE" w:rsidRPr="001B53A8">
        <w:rPr>
          <w:lang w:val="sr-Latn-BA"/>
        </w:rPr>
        <w:t xml:space="preserve"> </w:t>
      </w:r>
      <w:r w:rsidRPr="001B53A8">
        <w:rPr>
          <w:lang w:val="sr-Latn-BA"/>
        </w:rPr>
        <w:t>Međunarodnom</w:t>
      </w:r>
      <w:r w:rsidR="009628CE" w:rsidRPr="001B53A8">
        <w:rPr>
          <w:lang w:val="sr-Latn-BA"/>
        </w:rPr>
        <w:t xml:space="preserve"> </w:t>
      </w:r>
      <w:r w:rsidRPr="001B53A8">
        <w:rPr>
          <w:lang w:val="sr-Latn-BA"/>
        </w:rPr>
        <w:t>organizacijom</w:t>
      </w:r>
      <w:r w:rsidR="009628CE" w:rsidRPr="001B53A8">
        <w:rPr>
          <w:lang w:val="sr-Latn-BA"/>
        </w:rPr>
        <w:t xml:space="preserve"> </w:t>
      </w:r>
      <w:r w:rsidRPr="001B53A8">
        <w:rPr>
          <w:lang w:val="sr-Latn-BA"/>
        </w:rPr>
        <w:t>komisija</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hartije</w:t>
      </w:r>
      <w:r w:rsidR="009628CE" w:rsidRPr="001B53A8">
        <w:rPr>
          <w:lang w:val="sr-Latn-BA"/>
        </w:rPr>
        <w:t xml:space="preserve"> </w:t>
      </w:r>
      <w:r w:rsidRPr="001B53A8">
        <w:rPr>
          <w:lang w:val="sr-Latn-BA"/>
        </w:rPr>
        <w:t>od</w:t>
      </w:r>
      <w:r w:rsidR="009628CE" w:rsidRPr="001B53A8">
        <w:rPr>
          <w:lang w:val="sr-Latn-BA"/>
        </w:rPr>
        <w:t xml:space="preserve"> </w:t>
      </w:r>
      <w:r w:rsidRPr="001B53A8">
        <w:rPr>
          <w:lang w:val="sr-Latn-BA"/>
        </w:rPr>
        <w:t>vrijednosti</w:t>
      </w:r>
      <w:r w:rsidR="009628CE" w:rsidRPr="001B53A8">
        <w:rPr>
          <w:lang w:val="sr-Latn-BA"/>
        </w:rPr>
        <w:t xml:space="preserve"> (</w:t>
      </w:r>
      <w:r w:rsidRPr="001B53A8">
        <w:rPr>
          <w:lang w:val="sr-Latn-BA"/>
        </w:rPr>
        <w:t>eng</w:t>
      </w:r>
      <w:r w:rsidR="009628CE" w:rsidRPr="001B53A8">
        <w:rPr>
          <w:lang w:val="sr-Latn-BA"/>
        </w:rPr>
        <w:t>. International Organization of Securities Commissions – IOSCO),</w:t>
      </w:r>
    </w:p>
    <w:p w14:paraId="4A4FF369" w14:textId="5466BCFD" w:rsidR="009628CE" w:rsidRPr="001B53A8" w:rsidRDefault="00003F34" w:rsidP="00A63AF7">
      <w:pPr>
        <w:pStyle w:val="ListParagraph"/>
        <w:numPr>
          <w:ilvl w:val="0"/>
          <w:numId w:val="3"/>
        </w:numPr>
        <w:spacing w:before="0" w:after="0" w:line="240" w:lineRule="auto"/>
        <w:ind w:left="851" w:hanging="284"/>
        <w:contextualSpacing w:val="0"/>
        <w:rPr>
          <w:lang w:val="sr-Latn-BA"/>
        </w:rPr>
      </w:pPr>
      <w:r w:rsidRPr="001B53A8">
        <w:rPr>
          <w:lang w:val="sr-Latn-BA"/>
        </w:rPr>
        <w:lastRenderedPageBreak/>
        <w:t>saradnji</w:t>
      </w:r>
      <w:r w:rsidR="009628CE" w:rsidRPr="001B53A8">
        <w:rPr>
          <w:lang w:val="sr-Latn-BA"/>
        </w:rPr>
        <w:t xml:space="preserve"> </w:t>
      </w:r>
      <w:r w:rsidRPr="001B53A8">
        <w:rPr>
          <w:lang w:val="sr-Latn-BA"/>
        </w:rPr>
        <w:t>sa</w:t>
      </w:r>
      <w:r w:rsidR="009628CE" w:rsidRPr="001B53A8">
        <w:rPr>
          <w:lang w:val="sr-Latn-BA"/>
        </w:rPr>
        <w:t xml:space="preserve"> </w:t>
      </w:r>
      <w:r w:rsidRPr="001B53A8">
        <w:rPr>
          <w:lang w:val="sr-Latn-BA"/>
        </w:rPr>
        <w:t>drugim</w:t>
      </w:r>
      <w:r w:rsidR="009628CE" w:rsidRPr="001B53A8">
        <w:rPr>
          <w:lang w:val="sr-Latn-BA"/>
        </w:rPr>
        <w:t xml:space="preserve"> </w:t>
      </w:r>
      <w:r w:rsidRPr="001B53A8">
        <w:rPr>
          <w:lang w:val="sr-Latn-BA"/>
        </w:rPr>
        <w:t>regulatorima</w:t>
      </w:r>
      <w:r w:rsidR="009628CE" w:rsidRPr="001B53A8">
        <w:rPr>
          <w:lang w:val="sr-Latn-BA"/>
        </w:rPr>
        <w:t xml:space="preserve"> </w:t>
      </w:r>
      <w:r w:rsidRPr="001B53A8">
        <w:rPr>
          <w:lang w:val="sr-Latn-BA"/>
        </w:rPr>
        <w:t>tržišta</w:t>
      </w:r>
      <w:r w:rsidR="009628CE" w:rsidRPr="001B53A8">
        <w:rPr>
          <w:lang w:val="sr-Latn-BA"/>
        </w:rPr>
        <w:t xml:space="preserve"> </w:t>
      </w:r>
      <w:r w:rsidRPr="001B53A8">
        <w:rPr>
          <w:lang w:val="sr-Latn-BA"/>
        </w:rPr>
        <w:t>hartija</w:t>
      </w:r>
      <w:r w:rsidR="009628CE" w:rsidRPr="001B53A8">
        <w:rPr>
          <w:lang w:val="sr-Latn-BA"/>
        </w:rPr>
        <w:t xml:space="preserve"> </w:t>
      </w:r>
      <w:r w:rsidRPr="001B53A8">
        <w:rPr>
          <w:lang w:val="sr-Latn-BA"/>
        </w:rPr>
        <w:t>od</w:t>
      </w:r>
      <w:r w:rsidR="009628CE" w:rsidRPr="001B53A8">
        <w:rPr>
          <w:lang w:val="sr-Latn-BA"/>
        </w:rPr>
        <w:t xml:space="preserve"> </w:t>
      </w:r>
      <w:r w:rsidRPr="001B53A8">
        <w:rPr>
          <w:lang w:val="sr-Latn-BA"/>
        </w:rPr>
        <w:t>vrijednosti</w:t>
      </w:r>
      <w:r w:rsidR="009628CE" w:rsidRPr="001B53A8">
        <w:rPr>
          <w:lang w:val="sr-Latn-BA"/>
        </w:rPr>
        <w:t xml:space="preserve"> – </w:t>
      </w:r>
      <w:r w:rsidRPr="001B53A8">
        <w:rPr>
          <w:lang w:val="sr-Latn-BA"/>
        </w:rPr>
        <w:t>članicama</w:t>
      </w:r>
      <w:r w:rsidR="009628CE" w:rsidRPr="001B53A8">
        <w:rPr>
          <w:lang w:val="sr-Latn-BA"/>
        </w:rPr>
        <w:t xml:space="preserve"> IOSCO-</w:t>
      </w:r>
      <w:r w:rsidRPr="001B53A8">
        <w:rPr>
          <w:lang w:val="sr-Latn-BA"/>
        </w:rPr>
        <w:t>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saradnji</w:t>
      </w:r>
      <w:r w:rsidR="009628CE" w:rsidRPr="001B53A8">
        <w:rPr>
          <w:lang w:val="sr-Latn-BA"/>
        </w:rPr>
        <w:t xml:space="preserve"> </w:t>
      </w:r>
      <w:r w:rsidRPr="001B53A8">
        <w:rPr>
          <w:lang w:val="sr-Latn-BA"/>
        </w:rPr>
        <w:t>sa</w:t>
      </w:r>
      <w:r w:rsidR="009628CE" w:rsidRPr="001B53A8">
        <w:rPr>
          <w:lang w:val="sr-Latn-BA"/>
        </w:rPr>
        <w:t xml:space="preserve"> </w:t>
      </w:r>
      <w:r w:rsidRPr="001B53A8">
        <w:rPr>
          <w:lang w:val="sr-Latn-BA"/>
        </w:rPr>
        <w:t>potpisnicima</w:t>
      </w:r>
      <w:r w:rsidR="009628CE" w:rsidRPr="001B53A8">
        <w:rPr>
          <w:lang w:val="sr-Latn-BA"/>
        </w:rPr>
        <w:t xml:space="preserve"> IOSCO </w:t>
      </w:r>
      <w:r w:rsidRPr="001B53A8">
        <w:rPr>
          <w:lang w:val="sr-Latn-BA"/>
        </w:rPr>
        <w:t>Međunarodnog</w:t>
      </w:r>
      <w:r w:rsidR="009628CE" w:rsidRPr="001B53A8">
        <w:rPr>
          <w:lang w:val="sr-Latn-BA"/>
        </w:rPr>
        <w:t xml:space="preserve"> </w:t>
      </w:r>
      <w:r w:rsidRPr="001B53A8">
        <w:rPr>
          <w:lang w:val="sr-Latn-BA"/>
        </w:rPr>
        <w:t>memoranduma</w:t>
      </w:r>
      <w:r w:rsidR="009628CE" w:rsidRPr="001B53A8">
        <w:rPr>
          <w:lang w:val="sr-Latn-BA"/>
        </w:rPr>
        <w:t xml:space="preserve"> </w:t>
      </w:r>
      <w:r w:rsidRPr="001B53A8">
        <w:rPr>
          <w:lang w:val="sr-Latn-BA"/>
        </w:rPr>
        <w:t>o</w:t>
      </w:r>
      <w:r w:rsidR="009628CE" w:rsidRPr="001B53A8">
        <w:rPr>
          <w:lang w:val="sr-Latn-BA"/>
        </w:rPr>
        <w:t xml:space="preserve"> </w:t>
      </w:r>
      <w:r w:rsidRPr="001B53A8">
        <w:rPr>
          <w:lang w:val="sr-Latn-BA"/>
        </w:rPr>
        <w:t>razumijevanju</w:t>
      </w:r>
      <w:r w:rsidR="009628CE" w:rsidRPr="001B53A8">
        <w:rPr>
          <w:lang w:val="sr-Latn-BA"/>
        </w:rPr>
        <w:t xml:space="preserve">  (</w:t>
      </w:r>
      <w:r w:rsidRPr="001B53A8">
        <w:rPr>
          <w:lang w:val="sr-Latn-BA"/>
        </w:rPr>
        <w:t>eng</w:t>
      </w:r>
      <w:r w:rsidR="009628CE" w:rsidRPr="001B53A8">
        <w:rPr>
          <w:lang w:val="sr-Latn-BA"/>
        </w:rPr>
        <w:t>. IOSCO Multilateral Memorandum of Understanding – IOSCO MMoU),</w:t>
      </w:r>
    </w:p>
    <w:p w14:paraId="7839CF7E" w14:textId="1E3C264D" w:rsidR="009628CE" w:rsidRPr="001B53A8" w:rsidRDefault="00003F34" w:rsidP="00A63AF7">
      <w:pPr>
        <w:pStyle w:val="ListParagraph"/>
        <w:numPr>
          <w:ilvl w:val="0"/>
          <w:numId w:val="3"/>
        </w:numPr>
        <w:spacing w:before="0" w:after="0" w:line="240" w:lineRule="auto"/>
        <w:ind w:left="851" w:hanging="284"/>
        <w:contextualSpacing w:val="0"/>
        <w:rPr>
          <w:lang w:val="sr-Latn-BA"/>
        </w:rPr>
      </w:pPr>
      <w:r w:rsidRPr="001B53A8">
        <w:rPr>
          <w:lang w:val="sr-Latn-BA"/>
        </w:rPr>
        <w:t>saradnji</w:t>
      </w:r>
      <w:r w:rsidR="009628CE" w:rsidRPr="001B53A8">
        <w:rPr>
          <w:lang w:val="sr-Latn-BA"/>
        </w:rPr>
        <w:t xml:space="preserve"> </w:t>
      </w:r>
      <w:r w:rsidRPr="001B53A8">
        <w:rPr>
          <w:lang w:val="sr-Latn-BA"/>
        </w:rPr>
        <w:t>sa</w:t>
      </w:r>
      <w:r w:rsidR="009628CE" w:rsidRPr="001B53A8">
        <w:rPr>
          <w:lang w:val="sr-Latn-BA"/>
        </w:rPr>
        <w:t xml:space="preserve"> </w:t>
      </w:r>
      <w:r w:rsidRPr="001B53A8">
        <w:rPr>
          <w:lang w:val="sr-Latn-BA"/>
        </w:rPr>
        <w:t>institucijama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organima</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zemlјi</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inostranstvu</w:t>
      </w:r>
      <w:r w:rsidR="009628CE" w:rsidRPr="001B53A8">
        <w:rPr>
          <w:lang w:val="sr-Latn-BA"/>
        </w:rPr>
        <w:t xml:space="preserve"> </w:t>
      </w:r>
    </w:p>
    <w:p w14:paraId="5CDA187F" w14:textId="68553B29" w:rsidR="009628CE" w:rsidRPr="001B53A8" w:rsidRDefault="00003F34" w:rsidP="00A63AF7">
      <w:pPr>
        <w:pStyle w:val="ListParagraph"/>
        <w:numPr>
          <w:ilvl w:val="0"/>
          <w:numId w:val="3"/>
        </w:numPr>
        <w:spacing w:before="0" w:after="0" w:line="240" w:lineRule="auto"/>
        <w:ind w:left="851" w:hanging="284"/>
        <w:contextualSpacing w:val="0"/>
        <w:rPr>
          <w:lang w:val="sr-Latn-BA"/>
        </w:rPr>
      </w:pPr>
      <w:r w:rsidRPr="001B53A8">
        <w:rPr>
          <w:lang w:val="sr-Latn-BA"/>
        </w:rPr>
        <w:t>aktivnostima</w:t>
      </w:r>
      <w:r w:rsidR="009628CE" w:rsidRPr="001B53A8">
        <w:rPr>
          <w:lang w:val="sr-Latn-BA"/>
        </w:rPr>
        <w:t xml:space="preserve"> </w:t>
      </w:r>
      <w:r w:rsidRPr="001B53A8">
        <w:rPr>
          <w:lang w:val="sr-Latn-BA"/>
        </w:rPr>
        <w:t>na</w:t>
      </w:r>
      <w:r w:rsidR="009628CE" w:rsidRPr="001B53A8">
        <w:rPr>
          <w:lang w:val="sr-Latn-BA"/>
        </w:rPr>
        <w:t xml:space="preserve"> </w:t>
      </w:r>
      <w:r w:rsidRPr="001B53A8">
        <w:rPr>
          <w:lang w:val="sr-Latn-BA"/>
        </w:rPr>
        <w:t>harmonizaciji</w:t>
      </w:r>
      <w:r w:rsidR="009628CE" w:rsidRPr="001B53A8">
        <w:rPr>
          <w:lang w:val="sr-Latn-BA"/>
        </w:rPr>
        <w:t xml:space="preserve"> </w:t>
      </w:r>
      <w:r w:rsidRPr="001B53A8">
        <w:rPr>
          <w:lang w:val="sr-Latn-BA"/>
        </w:rPr>
        <w:t>sa</w:t>
      </w:r>
      <w:r w:rsidR="009628CE" w:rsidRPr="001B53A8">
        <w:rPr>
          <w:lang w:val="sr-Latn-BA"/>
        </w:rPr>
        <w:t xml:space="preserve"> </w:t>
      </w:r>
      <w:r w:rsidRPr="001B53A8">
        <w:rPr>
          <w:lang w:val="sr-Latn-BA"/>
        </w:rPr>
        <w:t>propisima</w:t>
      </w:r>
      <w:r w:rsidR="009628CE" w:rsidRPr="001B53A8">
        <w:rPr>
          <w:lang w:val="sr-Latn-BA"/>
        </w:rPr>
        <w:t xml:space="preserve"> </w:t>
      </w:r>
      <w:r w:rsidRPr="001B53A8">
        <w:rPr>
          <w:lang w:val="sr-Latn-BA"/>
        </w:rPr>
        <w:t>Evropske</w:t>
      </w:r>
      <w:r w:rsidR="009628CE" w:rsidRPr="001B53A8">
        <w:rPr>
          <w:lang w:val="sr-Latn-BA"/>
        </w:rPr>
        <w:t xml:space="preserve"> </w:t>
      </w:r>
      <w:r w:rsidRPr="001B53A8">
        <w:rPr>
          <w:lang w:val="sr-Latn-BA"/>
        </w:rPr>
        <w:t>unije</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usaglašavanju</w:t>
      </w:r>
      <w:r w:rsidR="009628CE" w:rsidRPr="001B53A8">
        <w:rPr>
          <w:lang w:val="sr-Latn-BA"/>
        </w:rPr>
        <w:t xml:space="preserve"> </w:t>
      </w:r>
      <w:r w:rsidRPr="001B53A8">
        <w:rPr>
          <w:lang w:val="sr-Latn-BA"/>
        </w:rPr>
        <w:t>propisa</w:t>
      </w:r>
      <w:r w:rsidR="009628CE" w:rsidRPr="001B53A8">
        <w:rPr>
          <w:lang w:val="sr-Latn-BA"/>
        </w:rPr>
        <w:t xml:space="preserve"> </w:t>
      </w:r>
      <w:r w:rsidRPr="001B53A8">
        <w:rPr>
          <w:lang w:val="sr-Latn-BA"/>
        </w:rPr>
        <w:t>unutar</w:t>
      </w:r>
      <w:r w:rsidR="009628CE" w:rsidRPr="001B53A8">
        <w:rPr>
          <w:lang w:val="sr-Latn-BA"/>
        </w:rPr>
        <w:t xml:space="preserve"> </w:t>
      </w:r>
      <w:r w:rsidRPr="001B53A8">
        <w:rPr>
          <w:lang w:val="sr-Latn-BA"/>
        </w:rPr>
        <w:t>Bosne</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Hercegovine</w:t>
      </w:r>
      <w:r w:rsidR="009628CE" w:rsidRPr="001B53A8">
        <w:rPr>
          <w:lang w:val="sr-Latn-BA"/>
        </w:rPr>
        <w:t xml:space="preserve"> </w:t>
      </w:r>
      <w:r w:rsidRPr="001B53A8">
        <w:rPr>
          <w:lang w:val="sr-Latn-BA"/>
        </w:rPr>
        <w:t>i</w:t>
      </w:r>
    </w:p>
    <w:p w14:paraId="35EAA691" w14:textId="21098247" w:rsidR="009628CE" w:rsidRPr="001B53A8" w:rsidRDefault="00003F34" w:rsidP="00A63AF7">
      <w:pPr>
        <w:pStyle w:val="ListParagraph"/>
        <w:numPr>
          <w:ilvl w:val="0"/>
          <w:numId w:val="3"/>
        </w:numPr>
        <w:spacing w:before="0" w:after="0" w:line="240" w:lineRule="auto"/>
        <w:ind w:left="851" w:hanging="284"/>
        <w:contextualSpacing w:val="0"/>
        <w:rPr>
          <w:lang w:val="sr-Latn-BA"/>
        </w:rPr>
      </w:pPr>
      <w:r w:rsidRPr="001B53A8">
        <w:rPr>
          <w:lang w:val="sr-Latn-BA"/>
        </w:rPr>
        <w:t>edukaciji</w:t>
      </w:r>
      <w:r w:rsidR="009628CE" w:rsidRPr="001B53A8">
        <w:rPr>
          <w:lang w:val="sr-Latn-BA"/>
        </w:rPr>
        <w:t xml:space="preserve"> </w:t>
      </w:r>
      <w:r w:rsidRPr="001B53A8">
        <w:rPr>
          <w:lang w:val="sr-Latn-BA"/>
        </w:rPr>
        <w:t>učesnika</w:t>
      </w:r>
      <w:r w:rsidR="009628CE" w:rsidRPr="001B53A8">
        <w:rPr>
          <w:lang w:val="sr-Latn-BA"/>
        </w:rPr>
        <w:t xml:space="preserve"> </w:t>
      </w:r>
      <w:r w:rsidRPr="001B53A8">
        <w:rPr>
          <w:lang w:val="sr-Latn-BA"/>
        </w:rPr>
        <w:t>na</w:t>
      </w:r>
      <w:r w:rsidR="009628CE" w:rsidRPr="001B53A8">
        <w:rPr>
          <w:lang w:val="sr-Latn-BA"/>
        </w:rPr>
        <w:t xml:space="preserve"> </w:t>
      </w:r>
      <w:r w:rsidRPr="001B53A8">
        <w:rPr>
          <w:lang w:val="sr-Latn-BA"/>
        </w:rPr>
        <w:t>tržištu</w:t>
      </w:r>
      <w:r w:rsidR="009628CE" w:rsidRPr="001B53A8">
        <w:rPr>
          <w:lang w:val="sr-Latn-BA"/>
        </w:rPr>
        <w:t xml:space="preserve"> </w:t>
      </w:r>
      <w:r w:rsidRPr="001B53A8">
        <w:rPr>
          <w:lang w:val="sr-Latn-BA"/>
        </w:rPr>
        <w:t>hartija</w:t>
      </w:r>
      <w:r w:rsidR="009628CE" w:rsidRPr="001B53A8">
        <w:rPr>
          <w:lang w:val="sr-Latn-BA"/>
        </w:rPr>
        <w:t xml:space="preserve"> </w:t>
      </w:r>
      <w:r w:rsidRPr="001B53A8">
        <w:rPr>
          <w:lang w:val="sr-Latn-BA"/>
        </w:rPr>
        <w:t>od</w:t>
      </w:r>
      <w:r w:rsidR="009628CE" w:rsidRPr="001B53A8">
        <w:rPr>
          <w:lang w:val="sr-Latn-BA"/>
        </w:rPr>
        <w:t xml:space="preserve"> </w:t>
      </w:r>
      <w:r w:rsidRPr="001B53A8">
        <w:rPr>
          <w:lang w:val="sr-Latn-BA"/>
        </w:rPr>
        <w:t>vrijednosti</w:t>
      </w:r>
      <w:r w:rsidR="009628CE" w:rsidRPr="001B53A8">
        <w:rPr>
          <w:lang w:val="sr-Latn-BA"/>
        </w:rPr>
        <w:t>.</w:t>
      </w:r>
    </w:p>
    <w:p w14:paraId="74DEB11B" w14:textId="107F4A1B" w:rsidR="00730BD2" w:rsidRPr="001B53A8" w:rsidRDefault="00003F34" w:rsidP="006B6E0C">
      <w:pPr>
        <w:spacing w:after="0" w:line="240" w:lineRule="auto"/>
        <w:ind w:firstLine="567"/>
        <w:rPr>
          <w:lang w:val="sr-Latn-BA"/>
        </w:rPr>
      </w:pPr>
      <w:r w:rsidRPr="001B53A8">
        <w:rPr>
          <w:lang w:val="sr-Latn-BA"/>
        </w:rPr>
        <w:t>Aktivnosti</w:t>
      </w:r>
      <w:r w:rsidR="009628CE" w:rsidRPr="001B53A8">
        <w:rPr>
          <w:lang w:val="sr-Latn-BA"/>
        </w:rPr>
        <w:t xml:space="preserve"> </w:t>
      </w:r>
      <w:r w:rsidRPr="001B53A8">
        <w:rPr>
          <w:lang w:val="sr-Latn-BA"/>
        </w:rPr>
        <w:t>Komisije</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dijelu</w:t>
      </w:r>
      <w:r w:rsidR="009628CE" w:rsidRPr="001B53A8">
        <w:rPr>
          <w:lang w:val="sr-Latn-BA"/>
        </w:rPr>
        <w:t xml:space="preserve"> </w:t>
      </w:r>
      <w:r w:rsidRPr="001B53A8">
        <w:rPr>
          <w:lang w:val="sr-Latn-BA"/>
        </w:rPr>
        <w:t>razvoja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međunarodne</w:t>
      </w:r>
      <w:r w:rsidR="009628CE" w:rsidRPr="001B53A8">
        <w:rPr>
          <w:lang w:val="sr-Latn-BA"/>
        </w:rPr>
        <w:t xml:space="preserve"> </w:t>
      </w:r>
      <w:r w:rsidRPr="001B53A8">
        <w:rPr>
          <w:lang w:val="sr-Latn-BA"/>
        </w:rPr>
        <w:t>saradnje</w:t>
      </w:r>
      <w:r w:rsidR="009628CE" w:rsidRPr="001B53A8">
        <w:rPr>
          <w:lang w:val="sr-Latn-BA"/>
        </w:rPr>
        <w:t xml:space="preserve"> </w:t>
      </w:r>
      <w:r w:rsidRPr="001B53A8">
        <w:rPr>
          <w:lang w:val="sr-Latn-BA"/>
        </w:rPr>
        <w:t>mogu</w:t>
      </w:r>
      <w:r w:rsidR="009628CE" w:rsidRPr="001B53A8">
        <w:rPr>
          <w:lang w:val="sr-Latn-BA"/>
        </w:rPr>
        <w:t xml:space="preserve"> </w:t>
      </w:r>
      <w:r w:rsidRPr="001B53A8">
        <w:rPr>
          <w:lang w:val="sr-Latn-BA"/>
        </w:rPr>
        <w:t>se</w:t>
      </w:r>
      <w:r w:rsidR="009628CE" w:rsidRPr="001B53A8">
        <w:rPr>
          <w:lang w:val="sr-Latn-BA"/>
        </w:rPr>
        <w:t xml:space="preserve"> </w:t>
      </w:r>
      <w:r w:rsidRPr="001B53A8">
        <w:rPr>
          <w:lang w:val="sr-Latn-BA"/>
        </w:rPr>
        <w:t>grupisati</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tri</w:t>
      </w:r>
      <w:r w:rsidR="009628CE" w:rsidRPr="001B53A8">
        <w:rPr>
          <w:lang w:val="sr-Latn-BA"/>
        </w:rPr>
        <w:t xml:space="preserve"> </w:t>
      </w:r>
      <w:r w:rsidRPr="001B53A8">
        <w:rPr>
          <w:lang w:val="sr-Latn-BA"/>
        </w:rPr>
        <w:t>cjeline</w:t>
      </w:r>
      <w:r w:rsidR="009628CE" w:rsidRPr="001B53A8">
        <w:rPr>
          <w:lang w:val="sr-Latn-BA"/>
        </w:rPr>
        <w:t xml:space="preserve">: </w:t>
      </w:r>
    </w:p>
    <w:p w14:paraId="320E1F87" w14:textId="52B196E8" w:rsidR="00730BD2" w:rsidRPr="001B53A8" w:rsidRDefault="009628CE" w:rsidP="006B6E0C">
      <w:pPr>
        <w:spacing w:before="0" w:after="0" w:line="240" w:lineRule="auto"/>
        <w:ind w:firstLine="567"/>
        <w:rPr>
          <w:lang w:val="sr-Latn-BA"/>
        </w:rPr>
      </w:pPr>
      <w:r w:rsidRPr="001B53A8">
        <w:rPr>
          <w:lang w:val="sr-Latn-BA"/>
        </w:rPr>
        <w:t xml:space="preserve">1) </w:t>
      </w:r>
      <w:r w:rsidR="00003F34" w:rsidRPr="001B53A8">
        <w:rPr>
          <w:lang w:val="sr-Latn-BA"/>
        </w:rPr>
        <w:t>normativne</w:t>
      </w:r>
      <w:r w:rsidRPr="001B53A8">
        <w:rPr>
          <w:lang w:val="sr-Latn-BA"/>
        </w:rPr>
        <w:t xml:space="preserve"> </w:t>
      </w:r>
      <w:r w:rsidR="00003F34" w:rsidRPr="001B53A8">
        <w:rPr>
          <w:lang w:val="sr-Latn-BA"/>
        </w:rPr>
        <w:t>aktivnosti</w:t>
      </w:r>
      <w:r w:rsidRPr="001B53A8">
        <w:rPr>
          <w:lang w:val="sr-Latn-BA"/>
        </w:rPr>
        <w:t xml:space="preserve">, </w:t>
      </w:r>
    </w:p>
    <w:p w14:paraId="398BF1A1" w14:textId="10EEF5A0" w:rsidR="00730BD2" w:rsidRPr="001B53A8" w:rsidRDefault="009628CE" w:rsidP="006B6E0C">
      <w:pPr>
        <w:spacing w:before="0" w:after="0" w:line="240" w:lineRule="auto"/>
        <w:ind w:firstLine="567"/>
        <w:rPr>
          <w:lang w:val="sr-Latn-BA"/>
        </w:rPr>
      </w:pPr>
      <w:r w:rsidRPr="001B53A8">
        <w:rPr>
          <w:lang w:val="sr-Latn-BA"/>
        </w:rPr>
        <w:t xml:space="preserve">2) </w:t>
      </w:r>
      <w:r w:rsidR="00003F34" w:rsidRPr="001B53A8">
        <w:rPr>
          <w:lang w:val="sr-Latn-BA"/>
        </w:rPr>
        <w:t>saradnja</w:t>
      </w:r>
      <w:r w:rsidRPr="001B53A8">
        <w:rPr>
          <w:lang w:val="sr-Latn-BA"/>
        </w:rPr>
        <w:t xml:space="preserve"> </w:t>
      </w:r>
      <w:r w:rsidR="00003F34" w:rsidRPr="001B53A8">
        <w:rPr>
          <w:lang w:val="sr-Latn-BA"/>
        </w:rPr>
        <w:t>sa</w:t>
      </w:r>
      <w:r w:rsidRPr="001B53A8">
        <w:rPr>
          <w:lang w:val="sr-Latn-BA"/>
        </w:rPr>
        <w:t xml:space="preserve"> </w:t>
      </w:r>
      <w:r w:rsidR="00003F34" w:rsidRPr="001B53A8">
        <w:rPr>
          <w:lang w:val="sr-Latn-BA"/>
        </w:rPr>
        <w:t>institucijama</w:t>
      </w:r>
      <w:r w:rsidRPr="001B53A8">
        <w:rPr>
          <w:lang w:val="sr-Latn-BA"/>
        </w:rPr>
        <w:t xml:space="preserve"> </w:t>
      </w:r>
      <w:r w:rsidR="00003F34" w:rsidRPr="001B53A8">
        <w:rPr>
          <w:lang w:val="sr-Latn-BA"/>
        </w:rPr>
        <w:t>i</w:t>
      </w:r>
      <w:r w:rsidRPr="001B53A8">
        <w:rPr>
          <w:lang w:val="sr-Latn-BA"/>
        </w:rPr>
        <w:t xml:space="preserve"> </w:t>
      </w:r>
      <w:r w:rsidR="00003F34" w:rsidRPr="001B53A8">
        <w:rPr>
          <w:lang w:val="sr-Latn-BA"/>
        </w:rPr>
        <w:t>organima</w:t>
      </w:r>
      <w:r w:rsidRPr="001B53A8">
        <w:rPr>
          <w:lang w:val="sr-Latn-BA"/>
        </w:rPr>
        <w:t xml:space="preserve"> </w:t>
      </w:r>
      <w:r w:rsidR="00003F34" w:rsidRPr="001B53A8">
        <w:rPr>
          <w:lang w:val="sr-Latn-BA"/>
        </w:rPr>
        <w:t>u</w:t>
      </w:r>
      <w:r w:rsidRPr="001B53A8">
        <w:rPr>
          <w:lang w:val="sr-Latn-BA"/>
        </w:rPr>
        <w:t xml:space="preserve"> </w:t>
      </w:r>
      <w:r w:rsidR="00003F34" w:rsidRPr="001B53A8">
        <w:rPr>
          <w:lang w:val="sr-Latn-BA"/>
        </w:rPr>
        <w:t>zemlјi</w:t>
      </w:r>
      <w:r w:rsidRPr="001B53A8">
        <w:rPr>
          <w:lang w:val="sr-Latn-BA"/>
        </w:rPr>
        <w:t xml:space="preserve"> </w:t>
      </w:r>
      <w:r w:rsidR="00003F34" w:rsidRPr="001B53A8">
        <w:rPr>
          <w:lang w:val="sr-Latn-BA"/>
        </w:rPr>
        <w:t>i</w:t>
      </w:r>
      <w:r w:rsidRPr="001B53A8">
        <w:rPr>
          <w:lang w:val="sr-Latn-BA"/>
        </w:rPr>
        <w:t xml:space="preserve"> </w:t>
      </w:r>
      <w:r w:rsidR="00003F34" w:rsidRPr="001B53A8">
        <w:rPr>
          <w:lang w:val="sr-Latn-BA"/>
        </w:rPr>
        <w:t>inostranstvu</w:t>
      </w:r>
      <w:r w:rsidRPr="001B53A8">
        <w:rPr>
          <w:lang w:val="sr-Latn-BA"/>
        </w:rPr>
        <w:t xml:space="preserve"> </w:t>
      </w:r>
      <w:r w:rsidR="00003F34" w:rsidRPr="001B53A8">
        <w:rPr>
          <w:lang w:val="sr-Latn-BA"/>
        </w:rPr>
        <w:t>i</w:t>
      </w:r>
      <w:r w:rsidRPr="001B53A8">
        <w:rPr>
          <w:lang w:val="sr-Latn-BA"/>
        </w:rPr>
        <w:t xml:space="preserve"> </w:t>
      </w:r>
    </w:p>
    <w:p w14:paraId="0604C7C5" w14:textId="2D1238BD" w:rsidR="009628CE" w:rsidRPr="001B53A8" w:rsidRDefault="009628CE" w:rsidP="006B6E0C">
      <w:pPr>
        <w:spacing w:before="0" w:after="0" w:line="240" w:lineRule="auto"/>
        <w:ind w:firstLine="567"/>
        <w:rPr>
          <w:lang w:val="sr-Latn-BA"/>
        </w:rPr>
      </w:pPr>
      <w:r w:rsidRPr="001B53A8">
        <w:rPr>
          <w:lang w:val="sr-Latn-BA"/>
        </w:rPr>
        <w:t xml:space="preserve">3) </w:t>
      </w:r>
      <w:r w:rsidR="00003F34" w:rsidRPr="001B53A8">
        <w:rPr>
          <w:lang w:val="sr-Latn-BA"/>
        </w:rPr>
        <w:t>promocija</w:t>
      </w:r>
      <w:r w:rsidRPr="001B53A8">
        <w:rPr>
          <w:lang w:val="sr-Latn-BA"/>
        </w:rPr>
        <w:t xml:space="preserve"> </w:t>
      </w:r>
      <w:r w:rsidR="00003F34" w:rsidRPr="001B53A8">
        <w:rPr>
          <w:lang w:val="sr-Latn-BA"/>
        </w:rPr>
        <w:t>i</w:t>
      </w:r>
      <w:r w:rsidRPr="001B53A8">
        <w:rPr>
          <w:lang w:val="sr-Latn-BA"/>
        </w:rPr>
        <w:t xml:space="preserve"> </w:t>
      </w:r>
      <w:r w:rsidR="00003F34" w:rsidRPr="001B53A8">
        <w:rPr>
          <w:lang w:val="sr-Latn-BA"/>
        </w:rPr>
        <w:t>edukacija</w:t>
      </w:r>
      <w:r w:rsidRPr="001B53A8">
        <w:rPr>
          <w:lang w:val="sr-Latn-BA"/>
        </w:rPr>
        <w:t>..</w:t>
      </w:r>
    </w:p>
    <w:p w14:paraId="07297375" w14:textId="3B5ADE58" w:rsidR="00A71791" w:rsidRPr="001B53A8" w:rsidRDefault="00003F34" w:rsidP="00A71791">
      <w:pPr>
        <w:pStyle w:val="Heading2"/>
        <w:spacing w:after="0" w:line="240" w:lineRule="auto"/>
        <w:ind w:left="578" w:hanging="578"/>
        <w:rPr>
          <w:rFonts w:ascii="Times New Roman" w:hAnsi="Times New Roman"/>
          <w:sz w:val="24"/>
          <w:lang w:val="sr-Latn-BA"/>
        </w:rPr>
      </w:pPr>
      <w:bookmarkStart w:id="73" w:name="_Toc219879261"/>
      <w:bookmarkStart w:id="74" w:name="_Toc219879359"/>
      <w:bookmarkStart w:id="75" w:name="_Toc321408900"/>
      <w:bookmarkStart w:id="76" w:name="_Toc167962121"/>
      <w:bookmarkStart w:id="77" w:name="_Toc219879262"/>
      <w:bookmarkStart w:id="78" w:name="_Toc219879360"/>
      <w:bookmarkStart w:id="79" w:name="_Toc321408901"/>
      <w:r w:rsidRPr="001B53A8">
        <w:rPr>
          <w:rFonts w:ascii="Times New Roman" w:hAnsi="Times New Roman"/>
          <w:sz w:val="24"/>
          <w:lang w:val="sr-Latn-BA"/>
        </w:rPr>
        <w:t>Normativne</w:t>
      </w:r>
      <w:r w:rsidR="00A71791" w:rsidRPr="001B53A8">
        <w:rPr>
          <w:rFonts w:ascii="Times New Roman" w:hAnsi="Times New Roman"/>
          <w:sz w:val="24"/>
          <w:lang w:val="sr-Latn-BA"/>
        </w:rPr>
        <w:t xml:space="preserve"> </w:t>
      </w:r>
      <w:r w:rsidRPr="001B53A8">
        <w:rPr>
          <w:rFonts w:ascii="Times New Roman" w:hAnsi="Times New Roman"/>
          <w:sz w:val="24"/>
          <w:lang w:val="sr-Latn-BA"/>
        </w:rPr>
        <w:t>aktivnosti</w:t>
      </w:r>
      <w:bookmarkEnd w:id="73"/>
      <w:bookmarkEnd w:id="74"/>
      <w:bookmarkEnd w:id="75"/>
      <w:bookmarkEnd w:id="76"/>
    </w:p>
    <w:p w14:paraId="704C54C7" w14:textId="065DB64A" w:rsidR="008A17F3" w:rsidRPr="001B53A8" w:rsidRDefault="00003F34" w:rsidP="00A63AF7">
      <w:pPr>
        <w:spacing w:line="240" w:lineRule="auto"/>
        <w:ind w:firstLine="567"/>
        <w:rPr>
          <w:lang w:val="sr-Latn-BA"/>
        </w:rPr>
      </w:pPr>
      <w:r w:rsidRPr="001B53A8">
        <w:rPr>
          <w:lang w:val="sr-Latn-BA"/>
        </w:rPr>
        <w:t>Pod</w:t>
      </w:r>
      <w:r w:rsidR="00A71791" w:rsidRPr="001B53A8">
        <w:rPr>
          <w:lang w:val="sr-Latn-BA"/>
        </w:rPr>
        <w:t xml:space="preserve"> </w:t>
      </w:r>
      <w:r w:rsidRPr="001B53A8">
        <w:rPr>
          <w:lang w:val="sr-Latn-BA"/>
        </w:rPr>
        <w:t>normativnim</w:t>
      </w:r>
      <w:r w:rsidR="00A71791" w:rsidRPr="001B53A8">
        <w:rPr>
          <w:lang w:val="sr-Latn-BA"/>
        </w:rPr>
        <w:t xml:space="preserve"> </w:t>
      </w:r>
      <w:r w:rsidRPr="001B53A8">
        <w:rPr>
          <w:lang w:val="sr-Latn-BA"/>
        </w:rPr>
        <w:t>aktivnostima</w:t>
      </w:r>
      <w:r w:rsidR="00A71791" w:rsidRPr="001B53A8">
        <w:rPr>
          <w:lang w:val="sr-Latn-BA"/>
        </w:rPr>
        <w:t xml:space="preserve"> </w:t>
      </w:r>
      <w:r w:rsidRPr="001B53A8">
        <w:rPr>
          <w:lang w:val="sr-Latn-BA"/>
        </w:rPr>
        <w:t>Komisije</w:t>
      </w:r>
      <w:r w:rsidR="00A71791" w:rsidRPr="001B53A8">
        <w:rPr>
          <w:lang w:val="sr-Latn-BA"/>
        </w:rPr>
        <w:t xml:space="preserve"> </w:t>
      </w:r>
      <w:r w:rsidRPr="001B53A8">
        <w:rPr>
          <w:lang w:val="sr-Latn-BA"/>
        </w:rPr>
        <w:t>podrazumijeva</w:t>
      </w:r>
      <w:r w:rsidR="00A71791" w:rsidRPr="001B53A8">
        <w:rPr>
          <w:lang w:val="sr-Latn-BA"/>
        </w:rPr>
        <w:t xml:space="preserve"> </w:t>
      </w:r>
      <w:r w:rsidRPr="001B53A8">
        <w:rPr>
          <w:lang w:val="sr-Latn-BA"/>
        </w:rPr>
        <w:t>se</w:t>
      </w:r>
      <w:r w:rsidR="00A71791" w:rsidRPr="001B53A8">
        <w:rPr>
          <w:lang w:val="sr-Latn-BA"/>
        </w:rPr>
        <w:t xml:space="preserve"> </w:t>
      </w:r>
      <w:r w:rsidRPr="001B53A8">
        <w:rPr>
          <w:lang w:val="sr-Latn-BA"/>
        </w:rPr>
        <w:t>izrada</w:t>
      </w:r>
      <w:r w:rsidR="00A71791" w:rsidRPr="001B53A8">
        <w:rPr>
          <w:lang w:val="sr-Latn-BA"/>
        </w:rPr>
        <w:t xml:space="preserve"> </w:t>
      </w:r>
      <w:r w:rsidRPr="001B53A8">
        <w:rPr>
          <w:lang w:val="sr-Latn-BA"/>
        </w:rPr>
        <w:t>nacrta</w:t>
      </w:r>
      <w:r w:rsidR="00A71791" w:rsidRPr="001B53A8">
        <w:rPr>
          <w:lang w:val="sr-Latn-BA"/>
        </w:rPr>
        <w:t xml:space="preserve"> </w:t>
      </w:r>
      <w:r w:rsidRPr="001B53A8">
        <w:rPr>
          <w:lang w:val="sr-Latn-BA"/>
        </w:rPr>
        <w:t>i</w:t>
      </w:r>
      <w:r w:rsidR="00A71791" w:rsidRPr="001B53A8">
        <w:rPr>
          <w:lang w:val="sr-Latn-BA"/>
        </w:rPr>
        <w:t xml:space="preserve"> </w:t>
      </w:r>
      <w:r w:rsidRPr="001B53A8">
        <w:rPr>
          <w:lang w:val="sr-Latn-BA"/>
        </w:rPr>
        <w:t>prijedloga</w:t>
      </w:r>
      <w:r w:rsidR="00A71791" w:rsidRPr="001B53A8">
        <w:rPr>
          <w:lang w:val="sr-Latn-BA"/>
        </w:rPr>
        <w:t xml:space="preserve"> </w:t>
      </w:r>
      <w:r w:rsidRPr="001B53A8">
        <w:rPr>
          <w:lang w:val="sr-Latn-BA"/>
        </w:rPr>
        <w:t>regulative</w:t>
      </w:r>
      <w:r w:rsidR="00A71791" w:rsidRPr="001B53A8">
        <w:rPr>
          <w:lang w:val="sr-Latn-BA"/>
        </w:rPr>
        <w:t xml:space="preserve">, </w:t>
      </w:r>
      <w:r w:rsidRPr="001B53A8">
        <w:rPr>
          <w:lang w:val="sr-Latn-BA"/>
        </w:rPr>
        <w:t>u</w:t>
      </w:r>
      <w:r w:rsidR="00A71791" w:rsidRPr="001B53A8">
        <w:rPr>
          <w:lang w:val="sr-Latn-BA"/>
        </w:rPr>
        <w:t xml:space="preserve"> </w:t>
      </w:r>
      <w:r w:rsidRPr="001B53A8">
        <w:rPr>
          <w:lang w:val="sr-Latn-BA"/>
        </w:rPr>
        <w:t>direktnoj</w:t>
      </w:r>
      <w:r w:rsidR="00A71791" w:rsidRPr="001B53A8">
        <w:rPr>
          <w:lang w:val="sr-Latn-BA"/>
        </w:rPr>
        <w:t xml:space="preserve"> </w:t>
      </w:r>
      <w:r w:rsidRPr="001B53A8">
        <w:rPr>
          <w:lang w:val="sr-Latn-BA"/>
        </w:rPr>
        <w:t>ili</w:t>
      </w:r>
      <w:r w:rsidR="00A71791" w:rsidRPr="001B53A8">
        <w:rPr>
          <w:lang w:val="sr-Latn-BA"/>
        </w:rPr>
        <w:t xml:space="preserve"> </w:t>
      </w:r>
      <w:r w:rsidRPr="001B53A8">
        <w:rPr>
          <w:lang w:val="sr-Latn-BA"/>
        </w:rPr>
        <w:t>indirektnoj</w:t>
      </w:r>
      <w:r w:rsidR="00A71791" w:rsidRPr="001B53A8">
        <w:rPr>
          <w:lang w:val="sr-Latn-BA"/>
        </w:rPr>
        <w:t xml:space="preserve"> </w:t>
      </w:r>
      <w:r w:rsidRPr="001B53A8">
        <w:rPr>
          <w:lang w:val="sr-Latn-BA"/>
        </w:rPr>
        <w:t>nadležnosti</w:t>
      </w:r>
      <w:r w:rsidR="00A71791" w:rsidRPr="001B53A8">
        <w:rPr>
          <w:lang w:val="sr-Latn-BA"/>
        </w:rPr>
        <w:t xml:space="preserve"> </w:t>
      </w:r>
      <w:r w:rsidRPr="001B53A8">
        <w:rPr>
          <w:lang w:val="sr-Latn-BA"/>
        </w:rPr>
        <w:t>Komisije</w:t>
      </w:r>
      <w:r w:rsidR="00A71791" w:rsidRPr="001B53A8">
        <w:rPr>
          <w:lang w:val="sr-Latn-BA"/>
        </w:rPr>
        <w:t xml:space="preserve">, </w:t>
      </w:r>
      <w:r w:rsidRPr="001B53A8">
        <w:rPr>
          <w:lang w:val="sr-Latn-BA"/>
        </w:rPr>
        <w:t>kao</w:t>
      </w:r>
      <w:r w:rsidR="00A71791" w:rsidRPr="001B53A8">
        <w:rPr>
          <w:lang w:val="sr-Latn-BA"/>
        </w:rPr>
        <w:t xml:space="preserve"> </w:t>
      </w:r>
      <w:r w:rsidRPr="001B53A8">
        <w:rPr>
          <w:lang w:val="sr-Latn-BA"/>
        </w:rPr>
        <w:t>što</w:t>
      </w:r>
      <w:r w:rsidR="00A71791" w:rsidRPr="001B53A8">
        <w:rPr>
          <w:lang w:val="sr-Latn-BA"/>
        </w:rPr>
        <w:t xml:space="preserve"> </w:t>
      </w:r>
      <w:r w:rsidRPr="001B53A8">
        <w:rPr>
          <w:lang w:val="sr-Latn-BA"/>
        </w:rPr>
        <w:t>su</w:t>
      </w:r>
      <w:r w:rsidR="00A71791" w:rsidRPr="001B53A8">
        <w:rPr>
          <w:lang w:val="sr-Latn-BA"/>
        </w:rPr>
        <w:t xml:space="preserve">: </w:t>
      </w:r>
      <w:r w:rsidRPr="001B53A8">
        <w:rPr>
          <w:lang w:val="sr-Latn-BA"/>
        </w:rPr>
        <w:t>zakoni</w:t>
      </w:r>
      <w:r w:rsidR="00A71791" w:rsidRPr="001B53A8">
        <w:rPr>
          <w:lang w:val="sr-Latn-BA"/>
        </w:rPr>
        <w:t xml:space="preserve">, </w:t>
      </w:r>
      <w:r w:rsidRPr="001B53A8">
        <w:rPr>
          <w:lang w:val="sr-Latn-BA"/>
        </w:rPr>
        <w:t>pravilnici</w:t>
      </w:r>
      <w:r w:rsidR="00A71791" w:rsidRPr="001B53A8">
        <w:rPr>
          <w:lang w:val="sr-Latn-BA"/>
        </w:rPr>
        <w:t xml:space="preserve"> </w:t>
      </w:r>
      <w:r w:rsidRPr="001B53A8">
        <w:rPr>
          <w:lang w:val="sr-Latn-BA"/>
        </w:rPr>
        <w:t>iz</w:t>
      </w:r>
      <w:r w:rsidR="00A71791" w:rsidRPr="001B53A8">
        <w:rPr>
          <w:lang w:val="sr-Latn-BA"/>
        </w:rPr>
        <w:t xml:space="preserve"> </w:t>
      </w:r>
      <w:r w:rsidRPr="001B53A8">
        <w:rPr>
          <w:lang w:val="sr-Latn-BA"/>
        </w:rPr>
        <w:t>nadležnosti</w:t>
      </w:r>
      <w:r w:rsidR="00A71791" w:rsidRPr="001B53A8">
        <w:rPr>
          <w:lang w:val="sr-Latn-BA"/>
        </w:rPr>
        <w:t xml:space="preserve"> </w:t>
      </w:r>
      <w:r w:rsidRPr="001B53A8">
        <w:rPr>
          <w:lang w:val="sr-Latn-BA"/>
        </w:rPr>
        <w:t>Komisije</w:t>
      </w:r>
      <w:r w:rsidR="00A71791" w:rsidRPr="001B53A8">
        <w:rPr>
          <w:lang w:val="sr-Latn-BA"/>
        </w:rPr>
        <w:t xml:space="preserve">, </w:t>
      </w:r>
      <w:r w:rsidRPr="001B53A8">
        <w:rPr>
          <w:lang w:val="sr-Latn-BA"/>
        </w:rPr>
        <w:t>interni</w:t>
      </w:r>
      <w:r w:rsidR="00A71791" w:rsidRPr="001B53A8">
        <w:rPr>
          <w:lang w:val="sr-Latn-BA"/>
        </w:rPr>
        <w:t xml:space="preserve"> </w:t>
      </w:r>
      <w:r w:rsidRPr="001B53A8">
        <w:rPr>
          <w:lang w:val="sr-Latn-BA"/>
        </w:rPr>
        <w:t>akti</w:t>
      </w:r>
      <w:r w:rsidR="00A71791" w:rsidRPr="001B53A8">
        <w:rPr>
          <w:lang w:val="sr-Latn-BA"/>
        </w:rPr>
        <w:t xml:space="preserve"> </w:t>
      </w:r>
      <w:r w:rsidRPr="001B53A8">
        <w:rPr>
          <w:lang w:val="sr-Latn-BA"/>
        </w:rPr>
        <w:t>Komisije</w:t>
      </w:r>
      <w:r w:rsidR="00A71791" w:rsidRPr="001B53A8">
        <w:rPr>
          <w:lang w:val="sr-Latn-BA"/>
        </w:rPr>
        <w:t xml:space="preserve">, </w:t>
      </w:r>
      <w:r w:rsidRPr="001B53A8">
        <w:rPr>
          <w:lang w:val="sr-Latn-BA"/>
        </w:rPr>
        <w:t>opšti</w:t>
      </w:r>
      <w:r w:rsidR="00A71791" w:rsidRPr="001B53A8">
        <w:rPr>
          <w:lang w:val="sr-Latn-BA"/>
        </w:rPr>
        <w:t xml:space="preserve"> </w:t>
      </w:r>
      <w:r w:rsidRPr="001B53A8">
        <w:rPr>
          <w:lang w:val="sr-Latn-BA"/>
        </w:rPr>
        <w:t>akti</w:t>
      </w:r>
      <w:r w:rsidR="00A71791" w:rsidRPr="001B53A8">
        <w:rPr>
          <w:lang w:val="sr-Latn-BA"/>
        </w:rPr>
        <w:t xml:space="preserve"> </w:t>
      </w:r>
      <w:r w:rsidRPr="001B53A8">
        <w:rPr>
          <w:lang w:val="sr-Latn-BA"/>
        </w:rPr>
        <w:t>i</w:t>
      </w:r>
      <w:r w:rsidR="00A71791" w:rsidRPr="001B53A8">
        <w:rPr>
          <w:lang w:val="sr-Latn-BA"/>
        </w:rPr>
        <w:t xml:space="preserve"> </w:t>
      </w:r>
      <w:r w:rsidRPr="001B53A8">
        <w:rPr>
          <w:lang w:val="sr-Latn-BA"/>
        </w:rPr>
        <w:t>pravila</w:t>
      </w:r>
      <w:r w:rsidR="00A71791" w:rsidRPr="001B53A8">
        <w:rPr>
          <w:lang w:val="sr-Latn-BA"/>
        </w:rPr>
        <w:t xml:space="preserve"> </w:t>
      </w:r>
      <w:r w:rsidRPr="001B53A8">
        <w:rPr>
          <w:lang w:val="sr-Latn-BA"/>
        </w:rPr>
        <w:t>poslovanja</w:t>
      </w:r>
      <w:r w:rsidR="00A71791" w:rsidRPr="001B53A8">
        <w:rPr>
          <w:lang w:val="sr-Latn-BA"/>
        </w:rPr>
        <w:t xml:space="preserve"> </w:t>
      </w:r>
      <w:r w:rsidRPr="001B53A8">
        <w:rPr>
          <w:lang w:val="sr-Latn-BA"/>
        </w:rPr>
        <w:t>učesnika</w:t>
      </w:r>
      <w:r w:rsidR="00A71791" w:rsidRPr="001B53A8">
        <w:rPr>
          <w:lang w:val="sr-Latn-BA"/>
        </w:rPr>
        <w:t xml:space="preserve"> </w:t>
      </w:r>
      <w:r w:rsidRPr="001B53A8">
        <w:rPr>
          <w:lang w:val="sr-Latn-BA"/>
        </w:rPr>
        <w:t>na</w:t>
      </w:r>
      <w:r w:rsidR="00A71791" w:rsidRPr="001B53A8">
        <w:rPr>
          <w:lang w:val="sr-Latn-BA"/>
        </w:rPr>
        <w:t xml:space="preserve"> </w:t>
      </w:r>
      <w:r w:rsidRPr="001B53A8">
        <w:rPr>
          <w:lang w:val="sr-Latn-BA"/>
        </w:rPr>
        <w:t>tržištu</w:t>
      </w:r>
      <w:r w:rsidR="00A71791" w:rsidRPr="001B53A8">
        <w:rPr>
          <w:lang w:val="sr-Latn-BA"/>
        </w:rPr>
        <w:t xml:space="preserve"> </w:t>
      </w:r>
      <w:r w:rsidRPr="001B53A8">
        <w:rPr>
          <w:lang w:val="sr-Latn-BA"/>
        </w:rPr>
        <w:t>i</w:t>
      </w:r>
      <w:r w:rsidR="00A71791" w:rsidRPr="001B53A8">
        <w:rPr>
          <w:lang w:val="sr-Latn-BA"/>
        </w:rPr>
        <w:t xml:space="preserve"> </w:t>
      </w:r>
      <w:r w:rsidRPr="001B53A8">
        <w:rPr>
          <w:lang w:val="sr-Latn-BA"/>
        </w:rPr>
        <w:t>dr</w:t>
      </w:r>
      <w:r w:rsidR="00A71791" w:rsidRPr="001B53A8">
        <w:rPr>
          <w:lang w:val="sr-Latn-BA"/>
        </w:rPr>
        <w:t xml:space="preserve">. </w:t>
      </w:r>
      <w:r w:rsidRPr="001B53A8">
        <w:rPr>
          <w:lang w:val="sr-Latn-BA"/>
        </w:rPr>
        <w:t>Glavna</w:t>
      </w:r>
      <w:r w:rsidR="00A71791" w:rsidRPr="001B53A8">
        <w:rPr>
          <w:lang w:val="sr-Latn-BA"/>
        </w:rPr>
        <w:t xml:space="preserve"> </w:t>
      </w:r>
      <w:r w:rsidRPr="001B53A8">
        <w:rPr>
          <w:lang w:val="sr-Latn-BA"/>
        </w:rPr>
        <w:t>aktivnost</w:t>
      </w:r>
      <w:r w:rsidR="00A71791" w:rsidRPr="001B53A8">
        <w:rPr>
          <w:lang w:val="sr-Latn-BA"/>
        </w:rPr>
        <w:t xml:space="preserve"> </w:t>
      </w:r>
      <w:r w:rsidRPr="001B53A8">
        <w:rPr>
          <w:lang w:val="sr-Latn-BA"/>
        </w:rPr>
        <w:t>Komisije</w:t>
      </w:r>
      <w:r w:rsidR="00A71791" w:rsidRPr="001B53A8">
        <w:rPr>
          <w:lang w:val="sr-Latn-BA"/>
        </w:rPr>
        <w:t xml:space="preserve"> </w:t>
      </w:r>
      <w:r w:rsidRPr="001B53A8">
        <w:rPr>
          <w:lang w:val="sr-Latn-BA"/>
        </w:rPr>
        <w:t>na</w:t>
      </w:r>
      <w:r w:rsidR="00A71791" w:rsidRPr="001B53A8">
        <w:rPr>
          <w:lang w:val="sr-Latn-BA"/>
        </w:rPr>
        <w:t xml:space="preserve"> </w:t>
      </w:r>
      <w:r w:rsidRPr="001B53A8">
        <w:rPr>
          <w:lang w:val="sr-Latn-BA"/>
        </w:rPr>
        <w:t>polјu</w:t>
      </w:r>
      <w:r w:rsidR="00A71791" w:rsidRPr="001B53A8">
        <w:rPr>
          <w:lang w:val="sr-Latn-BA"/>
        </w:rPr>
        <w:t xml:space="preserve"> </w:t>
      </w:r>
      <w:r w:rsidRPr="001B53A8">
        <w:rPr>
          <w:lang w:val="sr-Latn-BA"/>
        </w:rPr>
        <w:t>normativnih</w:t>
      </w:r>
      <w:r w:rsidR="00A71791" w:rsidRPr="001B53A8">
        <w:rPr>
          <w:lang w:val="sr-Latn-BA"/>
        </w:rPr>
        <w:t xml:space="preserve"> </w:t>
      </w:r>
      <w:r w:rsidRPr="001B53A8">
        <w:rPr>
          <w:lang w:val="sr-Latn-BA"/>
        </w:rPr>
        <w:t>aktivnosti</w:t>
      </w:r>
      <w:r w:rsidR="00A71791" w:rsidRPr="001B53A8">
        <w:rPr>
          <w:lang w:val="sr-Latn-BA"/>
        </w:rPr>
        <w:t xml:space="preserve"> </w:t>
      </w:r>
      <w:r w:rsidRPr="001B53A8">
        <w:rPr>
          <w:lang w:val="sr-Latn-BA"/>
        </w:rPr>
        <w:t>ogledala</w:t>
      </w:r>
      <w:r w:rsidR="00A71791" w:rsidRPr="001B53A8">
        <w:rPr>
          <w:lang w:val="sr-Latn-BA"/>
        </w:rPr>
        <w:t xml:space="preserve"> </w:t>
      </w:r>
      <w:r w:rsidRPr="001B53A8">
        <w:rPr>
          <w:lang w:val="sr-Latn-BA"/>
        </w:rPr>
        <w:t>se</w:t>
      </w:r>
      <w:r w:rsidR="00A71791" w:rsidRPr="001B53A8">
        <w:rPr>
          <w:lang w:val="sr-Latn-BA"/>
        </w:rPr>
        <w:t xml:space="preserve"> </w:t>
      </w:r>
      <w:r w:rsidRPr="001B53A8">
        <w:rPr>
          <w:lang w:val="sr-Latn-BA"/>
        </w:rPr>
        <w:t>u</w:t>
      </w:r>
      <w:r w:rsidR="00A71791" w:rsidRPr="001B53A8">
        <w:rPr>
          <w:lang w:val="sr-Latn-BA"/>
        </w:rPr>
        <w:t xml:space="preserve"> </w:t>
      </w:r>
      <w:r w:rsidRPr="001B53A8">
        <w:rPr>
          <w:lang w:val="sr-Latn-BA"/>
        </w:rPr>
        <w:t>pripremi</w:t>
      </w:r>
      <w:r w:rsidR="00A71791" w:rsidRPr="001B53A8">
        <w:rPr>
          <w:lang w:val="sr-Latn-BA"/>
        </w:rPr>
        <w:t xml:space="preserve"> </w:t>
      </w:r>
      <w:r w:rsidRPr="001B53A8">
        <w:rPr>
          <w:lang w:val="sr-Latn-BA"/>
        </w:rPr>
        <w:t>prijedloga</w:t>
      </w:r>
      <w:r w:rsidR="00A71791" w:rsidRPr="001B53A8">
        <w:rPr>
          <w:lang w:val="sr-Latn-BA"/>
        </w:rPr>
        <w:t xml:space="preserve"> </w:t>
      </w:r>
      <w:r w:rsidRPr="001B53A8">
        <w:rPr>
          <w:lang w:val="sr-Latn-BA"/>
        </w:rPr>
        <w:t>i</w:t>
      </w:r>
      <w:r w:rsidR="00A71791" w:rsidRPr="001B53A8">
        <w:rPr>
          <w:lang w:val="sr-Latn-BA"/>
        </w:rPr>
        <w:t xml:space="preserve"> </w:t>
      </w:r>
      <w:r w:rsidRPr="001B53A8">
        <w:rPr>
          <w:lang w:val="sr-Latn-BA"/>
        </w:rPr>
        <w:t>donošenju</w:t>
      </w:r>
      <w:r w:rsidR="00A71791" w:rsidRPr="001B53A8">
        <w:rPr>
          <w:lang w:val="sr-Latn-BA"/>
        </w:rPr>
        <w:t xml:space="preserve"> </w:t>
      </w:r>
      <w:r w:rsidRPr="001B53A8">
        <w:rPr>
          <w:lang w:val="sr-Latn-BA"/>
        </w:rPr>
        <w:t>opštih</w:t>
      </w:r>
      <w:r w:rsidR="00A71791" w:rsidRPr="001B53A8">
        <w:rPr>
          <w:lang w:val="sr-Latn-BA"/>
        </w:rPr>
        <w:t xml:space="preserve"> </w:t>
      </w:r>
      <w:r w:rsidRPr="001B53A8">
        <w:rPr>
          <w:lang w:val="sr-Latn-BA"/>
        </w:rPr>
        <w:t>akata</w:t>
      </w:r>
      <w:r w:rsidR="00A71791" w:rsidRPr="001B53A8">
        <w:rPr>
          <w:lang w:val="sr-Latn-BA"/>
        </w:rPr>
        <w:t xml:space="preserve"> </w:t>
      </w:r>
      <w:r w:rsidRPr="001B53A8">
        <w:rPr>
          <w:lang w:val="sr-Latn-BA"/>
        </w:rPr>
        <w:t>iz</w:t>
      </w:r>
      <w:r w:rsidR="00A71791" w:rsidRPr="001B53A8">
        <w:rPr>
          <w:lang w:val="sr-Latn-BA"/>
        </w:rPr>
        <w:t xml:space="preserve"> </w:t>
      </w:r>
      <w:r w:rsidRPr="001B53A8">
        <w:rPr>
          <w:lang w:val="sr-Latn-BA"/>
        </w:rPr>
        <w:t>nadležnosti</w:t>
      </w:r>
      <w:r w:rsidR="00A71791" w:rsidRPr="001B53A8">
        <w:rPr>
          <w:lang w:val="sr-Latn-BA"/>
        </w:rPr>
        <w:t xml:space="preserve"> </w:t>
      </w:r>
      <w:r w:rsidRPr="001B53A8">
        <w:rPr>
          <w:lang w:val="sr-Latn-BA"/>
        </w:rPr>
        <w:t>Komisije</w:t>
      </w:r>
      <w:r w:rsidR="00A71791" w:rsidRPr="001B53A8">
        <w:rPr>
          <w:lang w:val="sr-Latn-BA"/>
        </w:rPr>
        <w:t>.</w:t>
      </w:r>
    </w:p>
    <w:tbl>
      <w:tblPr>
        <w:tblStyle w:val="LightGrid-Accent111"/>
        <w:tblW w:w="9180" w:type="dxa"/>
        <w:jc w:val="center"/>
        <w:tblLook w:val="04A0" w:firstRow="1" w:lastRow="0" w:firstColumn="1" w:lastColumn="0" w:noHBand="0" w:noVBand="1"/>
      </w:tblPr>
      <w:tblGrid>
        <w:gridCol w:w="675"/>
        <w:gridCol w:w="6946"/>
        <w:gridCol w:w="1559"/>
      </w:tblGrid>
      <w:tr w:rsidR="0060565E" w:rsidRPr="001B53A8" w14:paraId="3A554126" w14:textId="77777777" w:rsidTr="005F377D">
        <w:trPr>
          <w:cnfStyle w:val="100000000000" w:firstRow="1" w:lastRow="0" w:firstColumn="0" w:lastColumn="0" w:oddVBand="0" w:evenVBand="0" w:oddHBand="0" w:evenHBand="0" w:firstRowFirstColumn="0" w:firstRowLastColumn="0" w:lastRowFirstColumn="0" w:lastRowLastColumn="0"/>
          <w:trHeight w:val="199"/>
          <w:jc w:val="center"/>
        </w:trPr>
        <w:tc>
          <w:tcPr>
            <w:cnfStyle w:val="001000000000" w:firstRow="0" w:lastRow="0" w:firstColumn="1" w:lastColumn="0" w:oddVBand="0" w:evenVBand="0" w:oddHBand="0" w:evenHBand="0" w:firstRowFirstColumn="0" w:firstRowLastColumn="0" w:lastRowFirstColumn="0" w:lastRowLastColumn="0"/>
            <w:tcW w:w="675" w:type="dxa"/>
            <w:vAlign w:val="center"/>
          </w:tcPr>
          <w:p w14:paraId="24ADEFAD" w14:textId="2463CAF2" w:rsidR="0060565E" w:rsidRPr="001B53A8" w:rsidRDefault="00003F34" w:rsidP="0060565E">
            <w:pPr>
              <w:spacing w:after="0" w:line="240" w:lineRule="auto"/>
              <w:ind w:firstLine="0"/>
              <w:jc w:val="left"/>
              <w:rPr>
                <w:rFonts w:ascii="Times New Roman" w:eastAsia="SimSun" w:hAnsi="Times New Roman" w:cs="Times New Roman"/>
                <w:b w:val="0"/>
                <w:bCs w:val="0"/>
                <w:color w:val="000000"/>
                <w:sz w:val="20"/>
                <w:szCs w:val="20"/>
                <w:lang w:val="sr-Latn-BA"/>
              </w:rPr>
            </w:pPr>
            <w:r w:rsidRPr="001B53A8">
              <w:rPr>
                <w:rFonts w:ascii="Times New Roman" w:eastAsia="SimSun" w:hAnsi="Times New Roman" w:cs="Times New Roman"/>
                <w:color w:val="000000"/>
                <w:sz w:val="20"/>
                <w:szCs w:val="20"/>
                <w:lang w:val="sr-Latn-BA"/>
              </w:rPr>
              <w:t>R</w:t>
            </w:r>
            <w:r w:rsidR="0060565E" w:rsidRPr="001B53A8">
              <w:rPr>
                <w:rFonts w:ascii="Times New Roman" w:eastAsia="SimSun" w:hAnsi="Times New Roman" w:cs="Times New Roman"/>
                <w:color w:val="000000"/>
                <w:sz w:val="20"/>
                <w:szCs w:val="20"/>
                <w:lang w:val="sr-Latn-BA"/>
              </w:rPr>
              <w:t>.</w:t>
            </w:r>
          </w:p>
          <w:p w14:paraId="3FD08861" w14:textId="5917BED6" w:rsidR="0060565E" w:rsidRPr="001B53A8" w:rsidRDefault="00003F34" w:rsidP="0060565E">
            <w:pPr>
              <w:spacing w:after="0" w:line="240" w:lineRule="auto"/>
              <w:ind w:firstLine="0"/>
              <w:jc w:val="left"/>
              <w:rPr>
                <w:rFonts w:ascii="Times New Roman" w:eastAsia="SimSun" w:hAnsi="Times New Roman" w:cs="Times New Roman"/>
                <w:b w:val="0"/>
                <w:bCs w:val="0"/>
                <w:color w:val="000000"/>
                <w:sz w:val="20"/>
                <w:szCs w:val="20"/>
                <w:lang w:val="sr-Latn-BA"/>
              </w:rPr>
            </w:pPr>
            <w:r w:rsidRPr="001B53A8">
              <w:rPr>
                <w:rFonts w:ascii="Times New Roman" w:eastAsia="SimSun" w:hAnsi="Times New Roman" w:cs="Times New Roman"/>
                <w:color w:val="000000"/>
                <w:sz w:val="20"/>
                <w:szCs w:val="20"/>
                <w:lang w:val="sr-Latn-BA"/>
              </w:rPr>
              <w:t>br</w:t>
            </w:r>
            <w:r w:rsidR="0060565E" w:rsidRPr="001B53A8">
              <w:rPr>
                <w:rFonts w:ascii="Times New Roman" w:eastAsia="SimSun" w:hAnsi="Times New Roman" w:cs="Times New Roman"/>
                <w:color w:val="000000"/>
                <w:sz w:val="20"/>
                <w:szCs w:val="20"/>
                <w:lang w:val="sr-Latn-BA"/>
              </w:rPr>
              <w:t>.</w:t>
            </w:r>
          </w:p>
        </w:tc>
        <w:tc>
          <w:tcPr>
            <w:tcW w:w="6946" w:type="dxa"/>
            <w:vAlign w:val="center"/>
            <w:hideMark/>
          </w:tcPr>
          <w:p w14:paraId="3E0CC47C" w14:textId="65CA4AFC" w:rsidR="0060565E" w:rsidRPr="001B53A8" w:rsidRDefault="00003F34" w:rsidP="0060565E">
            <w:pPr>
              <w:spacing w:after="0" w:line="240" w:lineRule="auto"/>
              <w:ind w:firstLine="0"/>
              <w:jc w:val="left"/>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bCs w:val="0"/>
                <w:color w:val="000000"/>
                <w:sz w:val="20"/>
                <w:szCs w:val="20"/>
                <w:lang w:val="sr-Latn-BA"/>
              </w:rPr>
            </w:pPr>
            <w:r w:rsidRPr="001B53A8">
              <w:rPr>
                <w:rFonts w:ascii="Times New Roman" w:eastAsia="SimSun" w:hAnsi="Times New Roman" w:cs="Times New Roman"/>
                <w:color w:val="000000"/>
                <w:sz w:val="20"/>
                <w:szCs w:val="20"/>
                <w:lang w:val="sr-Latn-BA"/>
              </w:rPr>
              <w:t>Objava</w:t>
            </w:r>
            <w:r w:rsidR="0060565E" w:rsidRPr="001B53A8">
              <w:rPr>
                <w:rFonts w:ascii="Times New Roman" w:eastAsia="SimSun" w:hAnsi="Times New Roman" w:cs="Times New Roman"/>
                <w:color w:val="000000"/>
                <w:sz w:val="20"/>
                <w:szCs w:val="20"/>
                <w:lang w:val="sr-Latn-BA"/>
              </w:rPr>
              <w:t xml:space="preserve"> </w:t>
            </w:r>
            <w:r w:rsidRPr="001B53A8">
              <w:rPr>
                <w:rFonts w:ascii="Times New Roman" w:eastAsia="SimSun" w:hAnsi="Times New Roman" w:cs="Times New Roman"/>
                <w:color w:val="000000"/>
                <w:sz w:val="20"/>
                <w:szCs w:val="20"/>
                <w:lang w:val="sr-Latn-BA"/>
              </w:rPr>
              <w:t>teksta</w:t>
            </w:r>
          </w:p>
        </w:tc>
        <w:tc>
          <w:tcPr>
            <w:tcW w:w="1559" w:type="dxa"/>
            <w:vAlign w:val="center"/>
            <w:hideMark/>
          </w:tcPr>
          <w:p w14:paraId="0ADA9B52" w14:textId="02E73391" w:rsidR="0060565E" w:rsidRPr="001B53A8" w:rsidRDefault="00003F34" w:rsidP="0060565E">
            <w:pPr>
              <w:spacing w:after="0" w:line="240" w:lineRule="auto"/>
              <w:ind w:firstLine="0"/>
              <w:jc w:val="left"/>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bCs w:val="0"/>
                <w:color w:val="000000"/>
                <w:sz w:val="20"/>
                <w:szCs w:val="20"/>
                <w:lang w:val="sr-Latn-BA"/>
              </w:rPr>
            </w:pPr>
            <w:r w:rsidRPr="001B53A8">
              <w:rPr>
                <w:rFonts w:ascii="Times New Roman" w:eastAsia="SimSun" w:hAnsi="Times New Roman" w:cs="Times New Roman"/>
                <w:color w:val="000000"/>
                <w:sz w:val="20"/>
                <w:szCs w:val="20"/>
                <w:lang w:val="sr-Latn-BA"/>
              </w:rPr>
              <w:t>Datum</w:t>
            </w:r>
            <w:r w:rsidR="0060565E" w:rsidRPr="001B53A8">
              <w:rPr>
                <w:rFonts w:ascii="Times New Roman" w:eastAsia="SimSun" w:hAnsi="Times New Roman" w:cs="Times New Roman"/>
                <w:color w:val="000000"/>
                <w:sz w:val="20"/>
                <w:szCs w:val="20"/>
                <w:lang w:val="sr-Latn-BA"/>
              </w:rPr>
              <w:t xml:space="preserve"> </w:t>
            </w:r>
            <w:r w:rsidRPr="001B53A8">
              <w:rPr>
                <w:rFonts w:ascii="Times New Roman" w:eastAsia="SimSun" w:hAnsi="Times New Roman" w:cs="Times New Roman"/>
                <w:color w:val="000000"/>
                <w:sz w:val="20"/>
                <w:szCs w:val="20"/>
                <w:lang w:val="sr-Latn-BA"/>
              </w:rPr>
              <w:t>i</w:t>
            </w:r>
            <w:r w:rsidR="0060565E" w:rsidRPr="001B53A8">
              <w:rPr>
                <w:rFonts w:ascii="Times New Roman" w:eastAsia="SimSun" w:hAnsi="Times New Roman" w:cs="Times New Roman"/>
                <w:color w:val="000000"/>
                <w:sz w:val="20"/>
                <w:szCs w:val="20"/>
                <w:lang w:val="sr-Latn-BA"/>
              </w:rPr>
              <w:t xml:space="preserve"> </w:t>
            </w:r>
            <w:r w:rsidRPr="001B53A8">
              <w:rPr>
                <w:rFonts w:ascii="Times New Roman" w:eastAsia="SimSun" w:hAnsi="Times New Roman" w:cs="Times New Roman"/>
                <w:color w:val="000000"/>
                <w:sz w:val="20"/>
                <w:szCs w:val="20"/>
                <w:lang w:val="sr-Latn-BA"/>
              </w:rPr>
              <w:t>broj</w:t>
            </w:r>
            <w:r w:rsidR="0060565E" w:rsidRPr="001B53A8">
              <w:rPr>
                <w:rFonts w:ascii="Times New Roman" w:eastAsia="SimSun" w:hAnsi="Times New Roman" w:cs="Times New Roman"/>
                <w:color w:val="000000"/>
                <w:sz w:val="20"/>
                <w:szCs w:val="20"/>
                <w:lang w:val="sr-Latn-BA"/>
              </w:rPr>
              <w:t xml:space="preserve">   </w:t>
            </w:r>
          </w:p>
          <w:p w14:paraId="7F855D32" w14:textId="1539ABD3" w:rsidR="0060565E" w:rsidRPr="001B53A8" w:rsidRDefault="00003F34" w:rsidP="0060565E">
            <w:pPr>
              <w:spacing w:after="0" w:line="240" w:lineRule="auto"/>
              <w:ind w:firstLine="0"/>
              <w:jc w:val="left"/>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bCs w:val="0"/>
                <w:color w:val="000000"/>
                <w:sz w:val="20"/>
                <w:szCs w:val="20"/>
                <w:lang w:val="sr-Latn-BA"/>
              </w:rPr>
            </w:pPr>
            <w:r w:rsidRPr="001B53A8">
              <w:rPr>
                <w:rFonts w:ascii="Times New Roman" w:eastAsia="SimSun" w:hAnsi="Times New Roman" w:cs="Times New Roman"/>
                <w:color w:val="000000"/>
                <w:sz w:val="20"/>
                <w:szCs w:val="20"/>
                <w:lang w:val="sr-Latn-BA"/>
              </w:rPr>
              <w:t>Službenog</w:t>
            </w:r>
            <w:r w:rsidR="0060565E" w:rsidRPr="001B53A8">
              <w:rPr>
                <w:rFonts w:ascii="Times New Roman" w:eastAsia="SimSun" w:hAnsi="Times New Roman" w:cs="Times New Roman"/>
                <w:color w:val="000000"/>
                <w:sz w:val="20"/>
                <w:szCs w:val="20"/>
                <w:lang w:val="sr-Latn-BA"/>
              </w:rPr>
              <w:t xml:space="preserve">  </w:t>
            </w:r>
            <w:r w:rsidRPr="001B53A8">
              <w:rPr>
                <w:rFonts w:ascii="Times New Roman" w:eastAsia="SimSun" w:hAnsi="Times New Roman" w:cs="Times New Roman"/>
                <w:color w:val="000000"/>
                <w:sz w:val="20"/>
                <w:szCs w:val="20"/>
                <w:lang w:val="sr-Latn-BA"/>
              </w:rPr>
              <w:t>Glasnika</w:t>
            </w:r>
            <w:r w:rsidR="0060565E" w:rsidRPr="001B53A8">
              <w:rPr>
                <w:rFonts w:ascii="Times New Roman" w:eastAsia="SimSun" w:hAnsi="Times New Roman" w:cs="Times New Roman"/>
                <w:color w:val="000000"/>
                <w:sz w:val="20"/>
                <w:szCs w:val="20"/>
                <w:lang w:val="sr-Latn-BA"/>
              </w:rPr>
              <w:t xml:space="preserve"> </w:t>
            </w:r>
          </w:p>
        </w:tc>
      </w:tr>
      <w:tr w:rsidR="0060565E" w:rsidRPr="001B53A8" w14:paraId="42041172" w14:textId="77777777" w:rsidTr="0060565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73B11D8D" w14:textId="77777777" w:rsidR="0060565E" w:rsidRPr="001B53A8" w:rsidRDefault="0060565E" w:rsidP="0060565E">
            <w:pPr>
              <w:spacing w:before="0" w:after="0" w:line="240" w:lineRule="auto"/>
              <w:ind w:firstLine="0"/>
              <w:jc w:val="center"/>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1.</w:t>
            </w:r>
          </w:p>
        </w:tc>
        <w:tc>
          <w:tcPr>
            <w:tcW w:w="6946" w:type="dxa"/>
          </w:tcPr>
          <w:p w14:paraId="6CC7A6C0" w14:textId="7F151DC0" w:rsidR="0060565E" w:rsidRPr="001B53A8" w:rsidRDefault="00003F34" w:rsidP="0060565E">
            <w:pPr>
              <w:spacing w:before="0"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sz w:val="20"/>
                <w:szCs w:val="20"/>
                <w:lang w:val="sr-Latn-BA"/>
              </w:rPr>
              <w:t>Pravilnik</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evidenciji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pružalaca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usluga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povezanih</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sa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virtuelnim</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valutama</w:t>
            </w:r>
          </w:p>
        </w:tc>
        <w:tc>
          <w:tcPr>
            <w:tcW w:w="1559" w:type="dxa"/>
          </w:tcPr>
          <w:p w14:paraId="42550FC2" w14:textId="77777777" w:rsidR="0060565E" w:rsidRPr="001B53A8"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17.01.2023.</w:t>
            </w:r>
          </w:p>
          <w:p w14:paraId="544A50A1" w14:textId="77777777" w:rsidR="0060565E" w:rsidRPr="001B53A8"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04/23</w:t>
            </w:r>
          </w:p>
        </w:tc>
      </w:tr>
      <w:tr w:rsidR="0060565E" w:rsidRPr="001B53A8" w14:paraId="29BCE8D4" w14:textId="77777777" w:rsidTr="0060565E">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311E1DE7" w14:textId="77777777" w:rsidR="0060565E" w:rsidRPr="001B53A8" w:rsidRDefault="0060565E" w:rsidP="0060565E">
            <w:pPr>
              <w:spacing w:before="0" w:after="0" w:line="240" w:lineRule="auto"/>
              <w:ind w:firstLine="0"/>
              <w:jc w:val="center"/>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2.</w:t>
            </w:r>
          </w:p>
        </w:tc>
        <w:tc>
          <w:tcPr>
            <w:tcW w:w="6946" w:type="dxa"/>
          </w:tcPr>
          <w:p w14:paraId="6B6DF870" w14:textId="788D14D7" w:rsidR="0060565E" w:rsidRPr="001B53A8" w:rsidRDefault="00003F34" w:rsidP="0060565E">
            <w:pPr>
              <w:spacing w:before="0"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sz w:val="20"/>
                <w:szCs w:val="20"/>
                <w:lang w:val="sr-Latn-BA"/>
              </w:rPr>
              <w:t>Pravilnik</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izmjenama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Pravilnika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trgovanju</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hartijama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od</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vrijednosti</w:t>
            </w:r>
          </w:p>
        </w:tc>
        <w:tc>
          <w:tcPr>
            <w:tcW w:w="1559" w:type="dxa"/>
          </w:tcPr>
          <w:p w14:paraId="74E0D280" w14:textId="77777777" w:rsidR="0060565E" w:rsidRPr="001B53A8"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13.02.2023.</w:t>
            </w:r>
          </w:p>
          <w:p w14:paraId="6FF87567" w14:textId="77777777" w:rsidR="0060565E" w:rsidRPr="001B53A8"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13/23</w:t>
            </w:r>
          </w:p>
        </w:tc>
      </w:tr>
      <w:tr w:rsidR="0060565E" w:rsidRPr="001B53A8" w14:paraId="4A26052C" w14:textId="77777777" w:rsidTr="0060565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4F3CE2F5" w14:textId="77777777" w:rsidR="0060565E" w:rsidRPr="001B53A8" w:rsidRDefault="0060565E" w:rsidP="0060565E">
            <w:pPr>
              <w:spacing w:before="0" w:after="0" w:line="240" w:lineRule="auto"/>
              <w:ind w:firstLine="0"/>
              <w:jc w:val="center"/>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3.</w:t>
            </w:r>
          </w:p>
        </w:tc>
        <w:tc>
          <w:tcPr>
            <w:tcW w:w="6946" w:type="dxa"/>
          </w:tcPr>
          <w:p w14:paraId="6DDBB7F4" w14:textId="742B5D67" w:rsidR="0060565E" w:rsidRPr="001B53A8" w:rsidRDefault="00003F34" w:rsidP="0060565E">
            <w:pPr>
              <w:spacing w:before="0"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sz w:val="20"/>
                <w:szCs w:val="20"/>
                <w:lang w:val="sr-Latn-BA"/>
              </w:rPr>
              <w:t>Pravilnik</w:t>
            </w:r>
            <w:r w:rsidR="0060565E" w:rsidRPr="001B53A8">
              <w:rPr>
                <w:rFonts w:ascii="Times New Roman" w:eastAsia="SimSun" w:hAnsi="Times New Roman" w:cs="Times New Roman"/>
                <w:sz w:val="20"/>
                <w:szCs w:val="20"/>
                <w:lang w:val="sr-Latn-BA"/>
              </w:rPr>
              <w:t xml:space="preserve"> o </w:t>
            </w:r>
            <w:r w:rsidRPr="001B53A8">
              <w:rPr>
                <w:rFonts w:ascii="Times New Roman" w:eastAsia="SimSun" w:hAnsi="Times New Roman" w:cs="Times New Roman"/>
                <w:sz w:val="20"/>
                <w:szCs w:val="20"/>
                <w:lang w:val="sr-Latn-BA"/>
              </w:rPr>
              <w:t>adekvatnosti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kapitala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likvidnosti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brokersko</w:t>
            </w:r>
            <w:r w:rsidR="0060565E" w:rsidRPr="001B53A8">
              <w:rPr>
                <w:rFonts w:ascii="Times New Roman" w:eastAsia="SimSun" w:hAnsi="Times New Roman" w:cs="Times New Roman"/>
                <w:sz w:val="20"/>
                <w:szCs w:val="20"/>
                <w:lang w:val="sr-Latn-BA"/>
              </w:rPr>
              <w:t>-</w:t>
            </w:r>
            <w:r w:rsidRPr="001B53A8">
              <w:rPr>
                <w:rFonts w:ascii="Times New Roman" w:eastAsia="SimSun" w:hAnsi="Times New Roman" w:cs="Times New Roman"/>
                <w:sz w:val="20"/>
                <w:szCs w:val="20"/>
                <w:lang w:val="sr-Latn-BA"/>
              </w:rPr>
              <w:t>dilerskog</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društva</w:t>
            </w:r>
          </w:p>
        </w:tc>
        <w:tc>
          <w:tcPr>
            <w:tcW w:w="1559" w:type="dxa"/>
          </w:tcPr>
          <w:p w14:paraId="212CFB83" w14:textId="77777777" w:rsidR="0060565E" w:rsidRPr="001B53A8"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16.03.2023.</w:t>
            </w:r>
          </w:p>
          <w:p w14:paraId="55B98B68" w14:textId="77777777" w:rsidR="0060565E" w:rsidRPr="001B53A8"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25/23</w:t>
            </w:r>
          </w:p>
        </w:tc>
      </w:tr>
      <w:tr w:rsidR="0060565E" w:rsidRPr="001B53A8" w14:paraId="0D054D0C" w14:textId="77777777" w:rsidTr="0060565E">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2FA15482" w14:textId="77777777" w:rsidR="0060565E" w:rsidRPr="001B53A8" w:rsidRDefault="0060565E" w:rsidP="0060565E">
            <w:pPr>
              <w:spacing w:before="0" w:after="0" w:line="240" w:lineRule="auto"/>
              <w:ind w:firstLine="0"/>
              <w:jc w:val="center"/>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4.</w:t>
            </w:r>
          </w:p>
        </w:tc>
        <w:tc>
          <w:tcPr>
            <w:tcW w:w="6946" w:type="dxa"/>
          </w:tcPr>
          <w:p w14:paraId="5B33CBCD" w14:textId="76D56A68" w:rsidR="0060565E" w:rsidRPr="001B53A8" w:rsidRDefault="00003F34" w:rsidP="0060565E">
            <w:pPr>
              <w:spacing w:before="0"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sz w:val="20"/>
                <w:szCs w:val="20"/>
                <w:lang w:val="sr-Latn-BA"/>
              </w:rPr>
              <w:t>Pravilnik</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izmjenama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dopunama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Pravilnika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obavlјanju</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kastodi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poslova</w:t>
            </w:r>
          </w:p>
        </w:tc>
        <w:tc>
          <w:tcPr>
            <w:tcW w:w="1559" w:type="dxa"/>
          </w:tcPr>
          <w:p w14:paraId="6D1E69BC" w14:textId="77777777" w:rsidR="0060565E" w:rsidRPr="001B53A8"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16.03.2023.</w:t>
            </w:r>
          </w:p>
          <w:p w14:paraId="42CB5193" w14:textId="77777777" w:rsidR="0060565E" w:rsidRPr="001B53A8"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25/23</w:t>
            </w:r>
          </w:p>
        </w:tc>
      </w:tr>
      <w:tr w:rsidR="0060565E" w:rsidRPr="001B53A8" w14:paraId="367ABDFA" w14:textId="77777777" w:rsidTr="0060565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1F697444" w14:textId="77777777" w:rsidR="0060565E" w:rsidRPr="001B53A8" w:rsidRDefault="0060565E" w:rsidP="0060565E">
            <w:pPr>
              <w:spacing w:before="0" w:after="0" w:line="240" w:lineRule="auto"/>
              <w:ind w:firstLine="0"/>
              <w:jc w:val="center"/>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5.</w:t>
            </w:r>
          </w:p>
        </w:tc>
        <w:tc>
          <w:tcPr>
            <w:tcW w:w="6946" w:type="dxa"/>
          </w:tcPr>
          <w:p w14:paraId="2B9E234E" w14:textId="45696E65" w:rsidR="0060565E" w:rsidRPr="001B53A8" w:rsidRDefault="00003F34" w:rsidP="0060565E">
            <w:pPr>
              <w:spacing w:before="0"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Latn-BA"/>
              </w:rPr>
            </w:pPr>
            <w:r w:rsidRPr="001B53A8">
              <w:rPr>
                <w:rFonts w:ascii="Times New Roman" w:eastAsia="SimSun" w:hAnsi="Times New Roman" w:cs="Times New Roman"/>
                <w:sz w:val="20"/>
                <w:szCs w:val="20"/>
                <w:lang w:val="sr-Latn-BA"/>
              </w:rPr>
              <w:t>Pravilnik</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izmjenama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dopunama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Pravilnika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izvještavanju</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objavlјivanju</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informacija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poslovanju</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sa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hartijama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od</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vrijednosti</w:t>
            </w:r>
          </w:p>
        </w:tc>
        <w:tc>
          <w:tcPr>
            <w:tcW w:w="1559" w:type="dxa"/>
          </w:tcPr>
          <w:p w14:paraId="6CBD2F90" w14:textId="77777777" w:rsidR="0060565E" w:rsidRPr="001B53A8"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16.03.2023.</w:t>
            </w:r>
          </w:p>
          <w:p w14:paraId="30D6AB6A" w14:textId="77777777" w:rsidR="0060565E" w:rsidRPr="001B53A8"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25/23</w:t>
            </w:r>
          </w:p>
        </w:tc>
      </w:tr>
      <w:tr w:rsidR="0060565E" w:rsidRPr="001B53A8" w14:paraId="5915EF13" w14:textId="77777777" w:rsidTr="0060565E">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1DD6E9B4" w14:textId="77777777" w:rsidR="0060565E" w:rsidRPr="001B53A8" w:rsidRDefault="0060565E" w:rsidP="0060565E">
            <w:pPr>
              <w:spacing w:before="0" w:after="0" w:line="240" w:lineRule="auto"/>
              <w:ind w:firstLine="0"/>
              <w:jc w:val="center"/>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6.</w:t>
            </w:r>
          </w:p>
        </w:tc>
        <w:tc>
          <w:tcPr>
            <w:tcW w:w="6946" w:type="dxa"/>
          </w:tcPr>
          <w:p w14:paraId="58D0559D" w14:textId="02668BF4" w:rsidR="0060565E" w:rsidRPr="001B53A8" w:rsidRDefault="00003F34" w:rsidP="0060565E">
            <w:pPr>
              <w:spacing w:before="0"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sr-Latn-BA"/>
              </w:rPr>
            </w:pPr>
            <w:r w:rsidRPr="001B53A8">
              <w:rPr>
                <w:rFonts w:ascii="Times New Roman" w:eastAsia="SimSun" w:hAnsi="Times New Roman" w:cs="Times New Roman"/>
                <w:sz w:val="20"/>
                <w:szCs w:val="20"/>
                <w:lang w:val="sr-Latn-BA"/>
              </w:rPr>
              <w:t>Pravilnik</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izmjenama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dopunama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Pravilnika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nadzoru</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nad</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učesnicima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na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tržištu</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hartija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od</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vrijednosti</w:t>
            </w:r>
          </w:p>
        </w:tc>
        <w:tc>
          <w:tcPr>
            <w:tcW w:w="1559" w:type="dxa"/>
          </w:tcPr>
          <w:p w14:paraId="4B713CDB" w14:textId="77777777" w:rsidR="0060565E" w:rsidRPr="001B53A8"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16.03.2023.</w:t>
            </w:r>
          </w:p>
          <w:p w14:paraId="523868B6" w14:textId="77777777" w:rsidR="0060565E" w:rsidRPr="001B53A8"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25/23</w:t>
            </w:r>
          </w:p>
        </w:tc>
      </w:tr>
      <w:tr w:rsidR="0060565E" w:rsidRPr="001B53A8" w14:paraId="287472EF" w14:textId="77777777" w:rsidTr="0060565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39818764" w14:textId="77777777" w:rsidR="0060565E" w:rsidRPr="001B53A8" w:rsidRDefault="0060565E" w:rsidP="0060565E">
            <w:pPr>
              <w:spacing w:before="0" w:after="0" w:line="240" w:lineRule="auto"/>
              <w:ind w:firstLine="0"/>
              <w:jc w:val="center"/>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7.</w:t>
            </w:r>
          </w:p>
        </w:tc>
        <w:tc>
          <w:tcPr>
            <w:tcW w:w="6946" w:type="dxa"/>
          </w:tcPr>
          <w:p w14:paraId="3933D8DA" w14:textId="2127D907" w:rsidR="0060565E" w:rsidRPr="001B53A8" w:rsidRDefault="00003F34" w:rsidP="0060565E">
            <w:pPr>
              <w:spacing w:before="0"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Latn-BA"/>
              </w:rPr>
            </w:pPr>
            <w:r w:rsidRPr="001B53A8">
              <w:rPr>
                <w:rFonts w:ascii="Times New Roman" w:eastAsia="SimSun" w:hAnsi="Times New Roman" w:cs="Times New Roman"/>
                <w:sz w:val="20"/>
                <w:szCs w:val="20"/>
                <w:lang w:val="sr-Latn-BA"/>
              </w:rPr>
              <w:t>Pravilnik</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uslovima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postupku</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pretvaranja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zatvorenog</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akcionarskog</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društva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u</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otvoreno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odnosno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otvorenog</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akcionarskog</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društva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u</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zatvoreno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promjeni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pravne</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forme</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akcionarskog</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društva</w:t>
            </w:r>
          </w:p>
        </w:tc>
        <w:tc>
          <w:tcPr>
            <w:tcW w:w="1559" w:type="dxa"/>
          </w:tcPr>
          <w:p w14:paraId="1512EEA7" w14:textId="77777777" w:rsidR="0060565E" w:rsidRPr="001B53A8"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27.03.2023.</w:t>
            </w:r>
          </w:p>
          <w:p w14:paraId="125A2CC6" w14:textId="77777777" w:rsidR="0060565E" w:rsidRPr="001B53A8"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29/23</w:t>
            </w:r>
          </w:p>
        </w:tc>
      </w:tr>
      <w:tr w:rsidR="0060565E" w:rsidRPr="001B53A8" w14:paraId="1A58C4A7" w14:textId="77777777" w:rsidTr="0060565E">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166A0DD9" w14:textId="77777777" w:rsidR="0060565E" w:rsidRPr="001B53A8" w:rsidRDefault="0060565E" w:rsidP="0060565E">
            <w:pPr>
              <w:spacing w:before="0" w:after="0" w:line="240" w:lineRule="auto"/>
              <w:ind w:firstLine="0"/>
              <w:jc w:val="center"/>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8.</w:t>
            </w:r>
          </w:p>
        </w:tc>
        <w:tc>
          <w:tcPr>
            <w:tcW w:w="6946" w:type="dxa"/>
          </w:tcPr>
          <w:p w14:paraId="7DA1FB32" w14:textId="11DAB1C8" w:rsidR="0060565E" w:rsidRPr="001B53A8" w:rsidRDefault="00003F34" w:rsidP="0060565E">
            <w:pPr>
              <w:spacing w:before="0"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sr-Latn-BA"/>
              </w:rPr>
            </w:pPr>
            <w:r w:rsidRPr="001B53A8">
              <w:rPr>
                <w:rFonts w:ascii="Times New Roman" w:eastAsia="SimSun" w:hAnsi="Times New Roman" w:cs="Times New Roman"/>
                <w:sz w:val="20"/>
                <w:szCs w:val="20"/>
                <w:lang w:val="sr-Latn-BA"/>
              </w:rPr>
              <w:t>Pravilnik</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izmjenama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dopunama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Pravilnika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uslovima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postupku</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emisije</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hartija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od</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vrijednosti</w:t>
            </w:r>
          </w:p>
        </w:tc>
        <w:tc>
          <w:tcPr>
            <w:tcW w:w="1559" w:type="dxa"/>
          </w:tcPr>
          <w:p w14:paraId="4A2EA44D" w14:textId="77777777" w:rsidR="0060565E" w:rsidRPr="001B53A8"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27.03.2023.</w:t>
            </w:r>
          </w:p>
          <w:p w14:paraId="7A61F09E" w14:textId="77777777" w:rsidR="0060565E" w:rsidRPr="001B53A8"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29/23</w:t>
            </w:r>
          </w:p>
        </w:tc>
      </w:tr>
      <w:tr w:rsidR="0060565E" w:rsidRPr="001B53A8" w14:paraId="1D46DB78" w14:textId="77777777" w:rsidTr="0060565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5A7CF9D5" w14:textId="77777777" w:rsidR="0060565E" w:rsidRPr="001B53A8" w:rsidRDefault="0060565E" w:rsidP="0060565E">
            <w:pPr>
              <w:spacing w:before="0" w:after="0" w:line="240" w:lineRule="auto"/>
              <w:ind w:firstLine="0"/>
              <w:jc w:val="center"/>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9.</w:t>
            </w:r>
          </w:p>
        </w:tc>
        <w:tc>
          <w:tcPr>
            <w:tcW w:w="6946" w:type="dxa"/>
          </w:tcPr>
          <w:p w14:paraId="07893EF1" w14:textId="627214D8" w:rsidR="0060565E" w:rsidRPr="001B53A8" w:rsidRDefault="00003F34" w:rsidP="0060565E">
            <w:pPr>
              <w:spacing w:before="0"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Latn-BA"/>
              </w:rPr>
            </w:pPr>
            <w:r w:rsidRPr="001B53A8">
              <w:rPr>
                <w:rFonts w:ascii="Times New Roman" w:eastAsia="SimSun" w:hAnsi="Times New Roman" w:cs="Times New Roman"/>
                <w:sz w:val="20"/>
                <w:szCs w:val="20"/>
                <w:lang w:val="sr-Latn-BA"/>
              </w:rPr>
              <w:t>Pravilnik</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izmjenama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dopunama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Pravilnika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sadržaju</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rokovima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obliku</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izvještavanja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društva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za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faktoring</w:t>
            </w:r>
          </w:p>
        </w:tc>
        <w:tc>
          <w:tcPr>
            <w:tcW w:w="1559" w:type="dxa"/>
          </w:tcPr>
          <w:p w14:paraId="37405FDE" w14:textId="77777777" w:rsidR="0060565E" w:rsidRPr="001B53A8"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06.04.2023.</w:t>
            </w:r>
          </w:p>
          <w:p w14:paraId="3BAAA9F4" w14:textId="77777777" w:rsidR="0060565E" w:rsidRPr="001B53A8"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32/23</w:t>
            </w:r>
          </w:p>
        </w:tc>
      </w:tr>
      <w:tr w:rsidR="0060565E" w:rsidRPr="001B53A8" w14:paraId="78CC2EE7" w14:textId="77777777" w:rsidTr="0060565E">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425E5EAA" w14:textId="77777777" w:rsidR="0060565E" w:rsidRPr="001B53A8" w:rsidRDefault="0060565E" w:rsidP="0060565E">
            <w:pPr>
              <w:spacing w:before="0" w:after="0" w:line="240" w:lineRule="auto"/>
              <w:ind w:firstLine="0"/>
              <w:jc w:val="center"/>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10.</w:t>
            </w:r>
          </w:p>
        </w:tc>
        <w:tc>
          <w:tcPr>
            <w:tcW w:w="6946" w:type="dxa"/>
          </w:tcPr>
          <w:p w14:paraId="396271F4" w14:textId="0B4B644D" w:rsidR="0060565E" w:rsidRPr="001B53A8" w:rsidRDefault="00003F34" w:rsidP="0060565E">
            <w:pPr>
              <w:spacing w:before="0"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sr-Latn-BA"/>
              </w:rPr>
            </w:pPr>
            <w:r w:rsidRPr="001B53A8">
              <w:rPr>
                <w:rFonts w:ascii="Times New Roman" w:eastAsia="SimSun" w:hAnsi="Times New Roman" w:cs="Times New Roman"/>
                <w:sz w:val="20"/>
                <w:szCs w:val="20"/>
                <w:lang w:val="sr-Latn-BA"/>
              </w:rPr>
              <w:t>Pravilnik</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uslovima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postupku</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izdavanja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odobrenja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za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sticanje</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otuđivanje</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prenos</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zalaganje</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akcija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Centralnog</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registra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hartija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od</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vrijednosti</w:t>
            </w:r>
          </w:p>
        </w:tc>
        <w:tc>
          <w:tcPr>
            <w:tcW w:w="1559" w:type="dxa"/>
          </w:tcPr>
          <w:p w14:paraId="10BA8173" w14:textId="77777777" w:rsidR="0060565E" w:rsidRPr="001B53A8"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02.08.2023.</w:t>
            </w:r>
          </w:p>
          <w:p w14:paraId="5E04CA27" w14:textId="77777777" w:rsidR="0060565E" w:rsidRPr="001B53A8"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69/23</w:t>
            </w:r>
          </w:p>
        </w:tc>
      </w:tr>
      <w:tr w:rsidR="0060565E" w:rsidRPr="001B53A8" w14:paraId="370C1679" w14:textId="77777777" w:rsidTr="0060565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4C3053F8" w14:textId="77777777" w:rsidR="0060565E" w:rsidRPr="001B53A8" w:rsidRDefault="0060565E" w:rsidP="0060565E">
            <w:pPr>
              <w:spacing w:before="0" w:after="0" w:line="240" w:lineRule="auto"/>
              <w:ind w:firstLine="0"/>
              <w:jc w:val="center"/>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11.</w:t>
            </w:r>
          </w:p>
        </w:tc>
        <w:tc>
          <w:tcPr>
            <w:tcW w:w="6946" w:type="dxa"/>
          </w:tcPr>
          <w:p w14:paraId="75123B44" w14:textId="0824BBE7" w:rsidR="0060565E" w:rsidRPr="001B53A8" w:rsidRDefault="00003F34" w:rsidP="0060565E">
            <w:pPr>
              <w:spacing w:before="0"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Latn-BA"/>
              </w:rPr>
            </w:pPr>
            <w:r w:rsidRPr="001B53A8">
              <w:rPr>
                <w:rFonts w:ascii="Times New Roman" w:eastAsia="SimSun" w:hAnsi="Times New Roman" w:cs="Times New Roman"/>
                <w:sz w:val="20"/>
                <w:szCs w:val="20"/>
                <w:lang w:val="sr-Latn-BA"/>
              </w:rPr>
              <w:t>Pravilnik</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dopunama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Pravilnika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uslovima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postupku</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emisije</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hartija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od</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vrijednosti</w:t>
            </w:r>
          </w:p>
        </w:tc>
        <w:tc>
          <w:tcPr>
            <w:tcW w:w="1559" w:type="dxa"/>
          </w:tcPr>
          <w:p w14:paraId="5778884D" w14:textId="77777777" w:rsidR="0060565E" w:rsidRPr="001B53A8"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02.08.2023.</w:t>
            </w:r>
          </w:p>
          <w:p w14:paraId="4611E1B1" w14:textId="77777777" w:rsidR="0060565E" w:rsidRPr="001B53A8" w:rsidRDefault="0060565E" w:rsidP="0060565E">
            <w:pPr>
              <w:spacing w:before="0"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69/23</w:t>
            </w:r>
          </w:p>
        </w:tc>
      </w:tr>
      <w:tr w:rsidR="0060565E" w:rsidRPr="001B53A8" w14:paraId="7FE41CCE" w14:textId="77777777" w:rsidTr="0060565E">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65C6EB42" w14:textId="77777777" w:rsidR="0060565E" w:rsidRPr="001B53A8" w:rsidRDefault="0060565E" w:rsidP="0060565E">
            <w:pPr>
              <w:spacing w:before="0" w:after="0" w:line="240" w:lineRule="auto"/>
              <w:ind w:firstLine="0"/>
              <w:jc w:val="center"/>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12.</w:t>
            </w:r>
          </w:p>
        </w:tc>
        <w:tc>
          <w:tcPr>
            <w:tcW w:w="6946" w:type="dxa"/>
          </w:tcPr>
          <w:p w14:paraId="1B3C31DF" w14:textId="23CC561C" w:rsidR="0060565E" w:rsidRPr="001B53A8" w:rsidRDefault="00003F34" w:rsidP="0060565E">
            <w:pPr>
              <w:spacing w:before="0"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0"/>
                <w:szCs w:val="20"/>
                <w:lang w:val="sr-Latn-BA"/>
              </w:rPr>
            </w:pPr>
            <w:r w:rsidRPr="001B53A8">
              <w:rPr>
                <w:rFonts w:ascii="Times New Roman" w:eastAsia="SimSun" w:hAnsi="Times New Roman" w:cs="Times New Roman"/>
                <w:sz w:val="20"/>
                <w:szCs w:val="20"/>
                <w:lang w:val="sr-Latn-BA"/>
              </w:rPr>
              <w:t>Uputstvo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formi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sadržaju</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mišlјenja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uprave</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emitenta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objavlјenoj</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ponudi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za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preuzimanje</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emitenta</w:t>
            </w:r>
          </w:p>
        </w:tc>
        <w:tc>
          <w:tcPr>
            <w:tcW w:w="1559" w:type="dxa"/>
          </w:tcPr>
          <w:p w14:paraId="6F520B41" w14:textId="77777777" w:rsidR="0060565E" w:rsidRPr="001B53A8"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02.08.2023.</w:t>
            </w:r>
          </w:p>
          <w:p w14:paraId="3986B540" w14:textId="77777777" w:rsidR="0060565E" w:rsidRPr="001B53A8" w:rsidRDefault="0060565E" w:rsidP="0060565E">
            <w:pPr>
              <w:spacing w:before="0"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69/23</w:t>
            </w:r>
          </w:p>
        </w:tc>
      </w:tr>
      <w:tr w:rsidR="0060565E" w:rsidRPr="001B53A8" w14:paraId="5E76092A" w14:textId="77777777" w:rsidTr="0060565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75" w:type="dxa"/>
          </w:tcPr>
          <w:p w14:paraId="6D3212C1" w14:textId="77777777" w:rsidR="0060565E" w:rsidRPr="001B53A8" w:rsidRDefault="0060565E" w:rsidP="0060565E">
            <w:pPr>
              <w:spacing w:before="0" w:after="0" w:line="240" w:lineRule="auto"/>
              <w:ind w:firstLine="0"/>
              <w:jc w:val="center"/>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lastRenderedPageBreak/>
              <w:t>13.</w:t>
            </w:r>
          </w:p>
        </w:tc>
        <w:tc>
          <w:tcPr>
            <w:tcW w:w="6946" w:type="dxa"/>
          </w:tcPr>
          <w:p w14:paraId="35066323" w14:textId="2B956265" w:rsidR="0060565E" w:rsidRPr="001B53A8" w:rsidRDefault="00003F34" w:rsidP="0060565E">
            <w:pPr>
              <w:spacing w:before="0"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Latn-BA"/>
              </w:rPr>
            </w:pPr>
            <w:r w:rsidRPr="001B53A8">
              <w:rPr>
                <w:rFonts w:ascii="Times New Roman" w:eastAsia="SimSun" w:hAnsi="Times New Roman" w:cs="Times New Roman"/>
                <w:sz w:val="20"/>
                <w:szCs w:val="20"/>
                <w:lang w:val="sr-Latn-BA"/>
              </w:rPr>
              <w:t>Pravilnik</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uslovima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postupku</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sticanja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zvanja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dobijanja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dozvole</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za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obavlјanje</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poslova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brokera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investicionog</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savjetnika</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investicionog</w:t>
            </w:r>
            <w:r w:rsidR="0060565E" w:rsidRPr="001B53A8">
              <w:rPr>
                <w:rFonts w:ascii="Times New Roman" w:eastAsia="SimSun" w:hAnsi="Times New Roman" w:cs="Times New Roman"/>
                <w:sz w:val="20"/>
                <w:szCs w:val="20"/>
                <w:lang w:val="sr-Latn-BA"/>
              </w:rPr>
              <w:t xml:space="preserve"> </w:t>
            </w:r>
            <w:r w:rsidRPr="001B53A8">
              <w:rPr>
                <w:rFonts w:ascii="Times New Roman" w:eastAsia="SimSun" w:hAnsi="Times New Roman" w:cs="Times New Roman"/>
                <w:sz w:val="20"/>
                <w:szCs w:val="20"/>
                <w:lang w:val="sr-Latn-BA"/>
              </w:rPr>
              <w:t>menadžera</w:t>
            </w:r>
          </w:p>
        </w:tc>
        <w:tc>
          <w:tcPr>
            <w:tcW w:w="1559" w:type="dxa"/>
          </w:tcPr>
          <w:p w14:paraId="5115F447" w14:textId="77777777" w:rsidR="0060565E" w:rsidRPr="001B53A8"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04.12.2023.</w:t>
            </w:r>
          </w:p>
          <w:p w14:paraId="52493B55" w14:textId="77777777" w:rsidR="0060565E" w:rsidRPr="001B53A8" w:rsidRDefault="0060565E" w:rsidP="0060565E">
            <w:pPr>
              <w:spacing w:before="0"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1B53A8">
              <w:rPr>
                <w:rFonts w:ascii="Times New Roman" w:eastAsia="SimSun" w:hAnsi="Times New Roman" w:cs="Times New Roman"/>
                <w:color w:val="000000"/>
                <w:sz w:val="20"/>
                <w:szCs w:val="20"/>
                <w:lang w:val="sr-Latn-BA"/>
              </w:rPr>
              <w:t>105/23</w:t>
            </w:r>
          </w:p>
        </w:tc>
      </w:tr>
    </w:tbl>
    <w:p w14:paraId="720C5368" w14:textId="58F1EC8C" w:rsidR="00A71791" w:rsidRPr="001B53A8" w:rsidRDefault="00003F34" w:rsidP="00A71791">
      <w:pPr>
        <w:pStyle w:val="Caption"/>
        <w:tabs>
          <w:tab w:val="left" w:pos="1276"/>
        </w:tabs>
        <w:spacing w:after="0"/>
        <w:jc w:val="left"/>
        <w:rPr>
          <w:rFonts w:ascii="Times New Roman" w:hAnsi="Times New Roman"/>
          <w:b w:val="0"/>
          <w:sz w:val="24"/>
          <w:lang w:val="sr-Latn-BA"/>
        </w:rPr>
      </w:pPr>
      <w:r w:rsidRPr="001B53A8">
        <w:rPr>
          <w:rFonts w:ascii="Times New Roman" w:hAnsi="Times New Roman"/>
          <w:sz w:val="24"/>
          <w:lang w:val="sr-Latn-BA"/>
        </w:rPr>
        <w:t>Tabela</w:t>
      </w:r>
      <w:r w:rsidR="00A71791" w:rsidRPr="001B53A8">
        <w:rPr>
          <w:rFonts w:ascii="Times New Roman" w:hAnsi="Times New Roman"/>
          <w:sz w:val="24"/>
          <w:lang w:val="sr-Latn-BA"/>
        </w:rPr>
        <w:t xml:space="preserve"> </w:t>
      </w:r>
      <w:r w:rsidR="00A71791" w:rsidRPr="001B53A8">
        <w:rPr>
          <w:rFonts w:ascii="Times New Roman" w:hAnsi="Times New Roman"/>
          <w:sz w:val="24"/>
          <w:lang w:val="sr-Latn-BA"/>
        </w:rPr>
        <w:fldChar w:fldCharType="begin"/>
      </w:r>
      <w:r w:rsidR="00A71791" w:rsidRPr="001B53A8">
        <w:rPr>
          <w:rFonts w:ascii="Times New Roman" w:hAnsi="Times New Roman"/>
          <w:sz w:val="24"/>
          <w:lang w:val="sr-Latn-BA"/>
        </w:rPr>
        <w:instrText xml:space="preserve"> SEQ Табела \* ARABIC </w:instrText>
      </w:r>
      <w:r w:rsidR="00A71791" w:rsidRPr="001B53A8">
        <w:rPr>
          <w:rFonts w:ascii="Times New Roman" w:hAnsi="Times New Roman"/>
          <w:sz w:val="24"/>
          <w:lang w:val="sr-Latn-BA"/>
        </w:rPr>
        <w:fldChar w:fldCharType="separate"/>
      </w:r>
      <w:r w:rsidR="00FC63D2" w:rsidRPr="001B53A8">
        <w:rPr>
          <w:rFonts w:ascii="Times New Roman" w:hAnsi="Times New Roman"/>
          <w:noProof/>
          <w:sz w:val="24"/>
          <w:lang w:val="sr-Latn-BA"/>
        </w:rPr>
        <w:t>15</w:t>
      </w:r>
      <w:r w:rsidR="00A71791" w:rsidRPr="001B53A8">
        <w:rPr>
          <w:rFonts w:ascii="Times New Roman" w:hAnsi="Times New Roman"/>
          <w:sz w:val="24"/>
          <w:lang w:val="sr-Latn-BA"/>
        </w:rPr>
        <w:fldChar w:fldCharType="end"/>
      </w:r>
      <w:r w:rsidR="00A71791" w:rsidRPr="001B53A8">
        <w:rPr>
          <w:rFonts w:ascii="Times New Roman" w:hAnsi="Times New Roman"/>
          <w:sz w:val="24"/>
          <w:lang w:val="sr-Latn-BA"/>
        </w:rPr>
        <w:t>.</w:t>
      </w:r>
      <w:r w:rsidR="00A71791" w:rsidRPr="001B53A8">
        <w:rPr>
          <w:rFonts w:ascii="Times New Roman" w:hAnsi="Times New Roman"/>
          <w:sz w:val="24"/>
          <w:lang w:val="sr-Latn-BA"/>
        </w:rPr>
        <w:tab/>
      </w:r>
      <w:r w:rsidRPr="001B53A8">
        <w:rPr>
          <w:rFonts w:ascii="Times New Roman" w:hAnsi="Times New Roman"/>
          <w:b w:val="0"/>
          <w:sz w:val="24"/>
          <w:lang w:val="sr-Latn-BA"/>
        </w:rPr>
        <w:t>Propisi</w:t>
      </w:r>
      <w:r w:rsidR="00A71791" w:rsidRPr="001B53A8">
        <w:rPr>
          <w:rFonts w:ascii="Times New Roman" w:hAnsi="Times New Roman"/>
          <w:b w:val="0"/>
          <w:sz w:val="24"/>
          <w:lang w:val="sr-Latn-BA"/>
        </w:rPr>
        <w:t xml:space="preserve"> </w:t>
      </w:r>
      <w:r w:rsidRPr="001B53A8">
        <w:rPr>
          <w:rFonts w:ascii="Times New Roman" w:hAnsi="Times New Roman"/>
          <w:b w:val="0"/>
          <w:sz w:val="24"/>
          <w:lang w:val="sr-Latn-BA"/>
        </w:rPr>
        <w:t>koje</w:t>
      </w:r>
      <w:r w:rsidR="00A71791" w:rsidRPr="001B53A8">
        <w:rPr>
          <w:rFonts w:ascii="Times New Roman" w:hAnsi="Times New Roman"/>
          <w:b w:val="0"/>
          <w:sz w:val="24"/>
          <w:lang w:val="sr-Latn-BA"/>
        </w:rPr>
        <w:t xml:space="preserve"> </w:t>
      </w:r>
      <w:r w:rsidRPr="001B53A8">
        <w:rPr>
          <w:rFonts w:ascii="Times New Roman" w:hAnsi="Times New Roman"/>
          <w:b w:val="0"/>
          <w:sz w:val="24"/>
          <w:lang w:val="sr-Latn-BA"/>
        </w:rPr>
        <w:t>je</w:t>
      </w:r>
      <w:r w:rsidR="00A71791" w:rsidRPr="001B53A8">
        <w:rPr>
          <w:rFonts w:ascii="Times New Roman" w:hAnsi="Times New Roman"/>
          <w:b w:val="0"/>
          <w:sz w:val="24"/>
          <w:lang w:val="sr-Latn-BA"/>
        </w:rPr>
        <w:t xml:space="preserve"> </w:t>
      </w:r>
      <w:r w:rsidRPr="001B53A8">
        <w:rPr>
          <w:rFonts w:ascii="Times New Roman" w:hAnsi="Times New Roman"/>
          <w:b w:val="0"/>
          <w:sz w:val="24"/>
          <w:lang w:val="sr-Latn-BA"/>
        </w:rPr>
        <w:t>Komisija</w:t>
      </w:r>
      <w:r w:rsidR="00A71791" w:rsidRPr="001B53A8">
        <w:rPr>
          <w:rFonts w:ascii="Times New Roman" w:hAnsi="Times New Roman"/>
          <w:b w:val="0"/>
          <w:sz w:val="24"/>
          <w:lang w:val="sr-Latn-BA"/>
        </w:rPr>
        <w:t xml:space="preserve"> </w:t>
      </w:r>
      <w:r w:rsidRPr="001B53A8">
        <w:rPr>
          <w:rFonts w:ascii="Times New Roman" w:hAnsi="Times New Roman"/>
          <w:b w:val="0"/>
          <w:sz w:val="24"/>
          <w:lang w:val="sr-Latn-BA"/>
        </w:rPr>
        <w:t>donijela</w:t>
      </w:r>
      <w:r w:rsidR="00A71791" w:rsidRPr="001B53A8">
        <w:rPr>
          <w:rFonts w:ascii="Times New Roman" w:hAnsi="Times New Roman"/>
          <w:b w:val="0"/>
          <w:sz w:val="24"/>
          <w:lang w:val="sr-Latn-BA"/>
        </w:rPr>
        <w:t xml:space="preserve"> </w:t>
      </w:r>
      <w:r w:rsidRPr="001B53A8">
        <w:rPr>
          <w:rFonts w:ascii="Times New Roman" w:hAnsi="Times New Roman"/>
          <w:b w:val="0"/>
          <w:sz w:val="24"/>
          <w:lang w:val="sr-Latn-BA"/>
        </w:rPr>
        <w:t>u</w:t>
      </w:r>
      <w:r w:rsidR="00A71791" w:rsidRPr="001B53A8">
        <w:rPr>
          <w:rFonts w:ascii="Times New Roman" w:hAnsi="Times New Roman"/>
          <w:b w:val="0"/>
          <w:sz w:val="24"/>
          <w:lang w:val="sr-Latn-BA"/>
        </w:rPr>
        <w:t xml:space="preserve"> </w:t>
      </w:r>
      <w:r w:rsidR="00F0610F" w:rsidRPr="001B53A8">
        <w:rPr>
          <w:rFonts w:ascii="Times New Roman" w:hAnsi="Times New Roman"/>
          <w:b w:val="0"/>
          <w:sz w:val="24"/>
          <w:lang w:val="sr-Latn-BA"/>
        </w:rPr>
        <w:t>202</w:t>
      </w:r>
      <w:r w:rsidR="005F377D" w:rsidRPr="001B53A8">
        <w:rPr>
          <w:rFonts w:ascii="Times New Roman" w:hAnsi="Times New Roman"/>
          <w:b w:val="0"/>
          <w:sz w:val="24"/>
          <w:lang w:val="sr-Latn-BA"/>
        </w:rPr>
        <w:t>3</w:t>
      </w:r>
      <w:r w:rsidR="00A71791" w:rsidRPr="001B53A8">
        <w:rPr>
          <w:rFonts w:ascii="Times New Roman" w:hAnsi="Times New Roman"/>
          <w:b w:val="0"/>
          <w:sz w:val="24"/>
          <w:lang w:val="sr-Latn-BA"/>
        </w:rPr>
        <w:t xml:space="preserve">. </w:t>
      </w:r>
      <w:r w:rsidRPr="001B53A8">
        <w:rPr>
          <w:rFonts w:ascii="Times New Roman" w:hAnsi="Times New Roman"/>
          <w:b w:val="0"/>
          <w:sz w:val="24"/>
          <w:lang w:val="sr-Latn-BA"/>
        </w:rPr>
        <w:t>godini</w:t>
      </w:r>
    </w:p>
    <w:p w14:paraId="79FBDE0A" w14:textId="24A3A823" w:rsidR="009628CE" w:rsidRPr="001B53A8" w:rsidRDefault="00003F34" w:rsidP="006B6E0C">
      <w:pPr>
        <w:pStyle w:val="Heading2"/>
        <w:spacing w:before="240" w:after="0" w:line="240" w:lineRule="auto"/>
        <w:ind w:left="578" w:hanging="578"/>
        <w:rPr>
          <w:rFonts w:ascii="Times New Roman" w:hAnsi="Times New Roman"/>
          <w:sz w:val="24"/>
          <w:lang w:val="sr-Latn-BA"/>
        </w:rPr>
      </w:pPr>
      <w:bookmarkStart w:id="80" w:name="_Toc167962122"/>
      <w:r w:rsidRPr="001B53A8">
        <w:rPr>
          <w:rFonts w:ascii="Times New Roman" w:hAnsi="Times New Roman"/>
          <w:sz w:val="24"/>
          <w:lang w:val="sr-Latn-BA"/>
        </w:rPr>
        <w:t>Saradnja</w:t>
      </w:r>
      <w:bookmarkEnd w:id="77"/>
      <w:bookmarkEnd w:id="78"/>
      <w:bookmarkEnd w:id="79"/>
      <w:bookmarkEnd w:id="80"/>
    </w:p>
    <w:p w14:paraId="4E822622" w14:textId="1819B098" w:rsidR="009628CE" w:rsidRPr="001B53A8" w:rsidRDefault="00003F34" w:rsidP="006B6E0C">
      <w:pPr>
        <w:spacing w:after="0" w:line="240" w:lineRule="auto"/>
        <w:ind w:firstLine="567"/>
        <w:rPr>
          <w:lang w:val="sr-Latn-BA"/>
        </w:rPr>
      </w:pPr>
      <w:r w:rsidRPr="001B53A8">
        <w:rPr>
          <w:lang w:val="sr-Latn-BA"/>
        </w:rPr>
        <w:t>Saradnja</w:t>
      </w:r>
      <w:r w:rsidR="00C34E2D" w:rsidRPr="001B53A8">
        <w:rPr>
          <w:lang w:val="sr-Latn-BA"/>
        </w:rPr>
        <w:t xml:space="preserve"> </w:t>
      </w:r>
      <w:r w:rsidRPr="001B53A8">
        <w:rPr>
          <w:lang w:val="sr-Latn-BA"/>
        </w:rPr>
        <w:t>Komisije</w:t>
      </w:r>
      <w:r w:rsidR="00C34E2D" w:rsidRPr="001B53A8">
        <w:rPr>
          <w:lang w:val="sr-Latn-BA"/>
        </w:rPr>
        <w:t xml:space="preserve"> </w:t>
      </w:r>
      <w:r w:rsidRPr="001B53A8">
        <w:rPr>
          <w:bCs/>
          <w:lang w:val="sr-Latn-BA"/>
        </w:rPr>
        <w:t>obuhvata</w:t>
      </w:r>
      <w:r w:rsidR="009628CE" w:rsidRPr="001B53A8">
        <w:rPr>
          <w:lang w:val="sr-Latn-BA"/>
        </w:rPr>
        <w:t xml:space="preserve"> </w:t>
      </w:r>
      <w:r w:rsidRPr="001B53A8">
        <w:rPr>
          <w:lang w:val="sr-Latn-BA"/>
        </w:rPr>
        <w:t>raznovrsne</w:t>
      </w:r>
      <w:r w:rsidR="009628CE" w:rsidRPr="001B53A8">
        <w:rPr>
          <w:lang w:val="sr-Latn-BA"/>
        </w:rPr>
        <w:t xml:space="preserve"> </w:t>
      </w:r>
      <w:r w:rsidRPr="001B53A8">
        <w:rPr>
          <w:lang w:val="sr-Latn-BA"/>
        </w:rPr>
        <w:t>oblike</w:t>
      </w:r>
      <w:r w:rsidR="009628CE" w:rsidRPr="001B53A8">
        <w:rPr>
          <w:lang w:val="sr-Latn-BA"/>
        </w:rPr>
        <w:t xml:space="preserve"> </w:t>
      </w:r>
      <w:r w:rsidRPr="001B53A8">
        <w:rPr>
          <w:lang w:val="sr-Latn-BA"/>
        </w:rPr>
        <w:t>poslovnih</w:t>
      </w:r>
      <w:r w:rsidR="009628CE" w:rsidRPr="001B53A8">
        <w:rPr>
          <w:lang w:val="sr-Latn-BA"/>
        </w:rPr>
        <w:t xml:space="preserve"> </w:t>
      </w:r>
      <w:r w:rsidRPr="001B53A8">
        <w:rPr>
          <w:lang w:val="sr-Latn-BA"/>
        </w:rPr>
        <w:t>kontakata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razmjene</w:t>
      </w:r>
      <w:r w:rsidR="009628CE" w:rsidRPr="001B53A8">
        <w:rPr>
          <w:lang w:val="sr-Latn-BA"/>
        </w:rPr>
        <w:t xml:space="preserve"> </w:t>
      </w:r>
      <w:r w:rsidRPr="001B53A8">
        <w:rPr>
          <w:lang w:val="sr-Latn-BA"/>
        </w:rPr>
        <w:t>informacija</w:t>
      </w:r>
      <w:r w:rsidR="009628CE" w:rsidRPr="001B53A8">
        <w:rPr>
          <w:lang w:val="sr-Latn-BA"/>
        </w:rPr>
        <w:t xml:space="preserve"> </w:t>
      </w:r>
      <w:r w:rsidRPr="001B53A8">
        <w:rPr>
          <w:lang w:val="sr-Latn-BA"/>
        </w:rPr>
        <w:t>sa</w:t>
      </w:r>
      <w:r w:rsidR="009628CE" w:rsidRPr="001B53A8">
        <w:rPr>
          <w:lang w:val="sr-Latn-BA"/>
        </w:rPr>
        <w:t xml:space="preserve"> </w:t>
      </w:r>
      <w:r w:rsidRPr="001B53A8">
        <w:rPr>
          <w:lang w:val="sr-Latn-BA"/>
        </w:rPr>
        <w:t>domaćim</w:t>
      </w:r>
      <w:r w:rsidR="009628CE" w:rsidRPr="001B53A8">
        <w:rPr>
          <w:lang w:val="sr-Latn-BA"/>
        </w:rPr>
        <w:t xml:space="preserve">, </w:t>
      </w:r>
      <w:r w:rsidRPr="001B53A8">
        <w:rPr>
          <w:lang w:val="sr-Latn-BA"/>
        </w:rPr>
        <w:t>stranim</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međunarodnim</w:t>
      </w:r>
      <w:r w:rsidR="009628CE" w:rsidRPr="001B53A8">
        <w:rPr>
          <w:lang w:val="sr-Latn-BA"/>
        </w:rPr>
        <w:t xml:space="preserve"> </w:t>
      </w:r>
      <w:r w:rsidRPr="001B53A8">
        <w:rPr>
          <w:lang w:val="sr-Latn-BA"/>
        </w:rPr>
        <w:t>institucijama</w:t>
      </w:r>
      <w:r w:rsidR="009628CE" w:rsidRPr="001B53A8">
        <w:rPr>
          <w:lang w:val="sr-Latn-BA"/>
        </w:rPr>
        <w:t xml:space="preserve">,  </w:t>
      </w:r>
      <w:r w:rsidRPr="001B53A8">
        <w:rPr>
          <w:lang w:val="sr-Latn-BA"/>
        </w:rPr>
        <w:t>organizacijama</w:t>
      </w:r>
      <w:r w:rsidR="009628CE" w:rsidRPr="001B53A8">
        <w:rPr>
          <w:lang w:val="sr-Latn-BA"/>
        </w:rPr>
        <w:t xml:space="preserve">, </w:t>
      </w:r>
      <w:r w:rsidRPr="001B53A8">
        <w:rPr>
          <w:lang w:val="sr-Latn-BA"/>
        </w:rPr>
        <w:t>organima</w:t>
      </w:r>
      <w:r w:rsidR="009628CE" w:rsidRPr="001B53A8">
        <w:rPr>
          <w:lang w:val="sr-Latn-BA"/>
        </w:rPr>
        <w:t xml:space="preserve"> </w:t>
      </w:r>
      <w:r w:rsidRPr="001B53A8">
        <w:rPr>
          <w:lang w:val="sr-Latn-BA"/>
        </w:rPr>
        <w:t>vlasti</w:t>
      </w:r>
      <w:r w:rsidR="009628CE" w:rsidRPr="001B53A8">
        <w:rPr>
          <w:lang w:val="sr-Latn-BA"/>
        </w:rPr>
        <w:t xml:space="preserve">, </w:t>
      </w:r>
      <w:r w:rsidRPr="001B53A8">
        <w:rPr>
          <w:lang w:val="sr-Latn-BA"/>
        </w:rPr>
        <w:t>kao</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udruženjima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obrazovnim</w:t>
      </w:r>
      <w:r w:rsidR="009628CE" w:rsidRPr="001B53A8">
        <w:rPr>
          <w:lang w:val="sr-Latn-BA"/>
        </w:rPr>
        <w:t xml:space="preserve"> </w:t>
      </w:r>
      <w:r w:rsidRPr="001B53A8">
        <w:rPr>
          <w:lang w:val="sr-Latn-BA"/>
        </w:rPr>
        <w:t>ustanovama</w:t>
      </w:r>
      <w:r w:rsidR="009628CE" w:rsidRPr="001B53A8">
        <w:rPr>
          <w:lang w:val="sr-Latn-BA"/>
        </w:rPr>
        <w:t xml:space="preserve">. </w:t>
      </w:r>
      <w:r w:rsidRPr="001B53A8">
        <w:rPr>
          <w:lang w:val="sr-Latn-BA"/>
        </w:rPr>
        <w:t>U</w:t>
      </w:r>
      <w:r w:rsidR="009628CE" w:rsidRPr="001B53A8">
        <w:rPr>
          <w:lang w:val="sr-Latn-BA"/>
        </w:rPr>
        <w:t xml:space="preserve"> </w:t>
      </w:r>
      <w:r w:rsidRPr="001B53A8">
        <w:rPr>
          <w:lang w:val="sr-Latn-BA"/>
        </w:rPr>
        <w:t>prvom</w:t>
      </w:r>
      <w:r w:rsidR="009628CE" w:rsidRPr="001B53A8">
        <w:rPr>
          <w:lang w:val="sr-Latn-BA"/>
        </w:rPr>
        <w:t xml:space="preserve"> </w:t>
      </w:r>
      <w:r w:rsidRPr="001B53A8">
        <w:rPr>
          <w:lang w:val="sr-Latn-BA"/>
        </w:rPr>
        <w:t>redu</w:t>
      </w:r>
      <w:r w:rsidR="009628CE" w:rsidRPr="001B53A8">
        <w:rPr>
          <w:lang w:val="sr-Latn-BA"/>
        </w:rPr>
        <w:t xml:space="preserve"> </w:t>
      </w:r>
      <w:r w:rsidRPr="001B53A8">
        <w:rPr>
          <w:lang w:val="sr-Latn-BA"/>
        </w:rPr>
        <w:t>to</w:t>
      </w:r>
      <w:r w:rsidR="009628CE" w:rsidRPr="001B53A8">
        <w:rPr>
          <w:lang w:val="sr-Latn-BA"/>
        </w:rPr>
        <w:t xml:space="preserve"> </w:t>
      </w:r>
      <w:r w:rsidRPr="001B53A8">
        <w:rPr>
          <w:lang w:val="sr-Latn-BA"/>
        </w:rPr>
        <w:t>je</w:t>
      </w:r>
      <w:r w:rsidR="009628CE" w:rsidRPr="001B53A8">
        <w:rPr>
          <w:lang w:val="sr-Latn-BA"/>
        </w:rPr>
        <w:t xml:space="preserve"> </w:t>
      </w:r>
      <w:r w:rsidRPr="001B53A8">
        <w:rPr>
          <w:lang w:val="sr-Latn-BA"/>
        </w:rPr>
        <w:t>saradnja</w:t>
      </w:r>
      <w:r w:rsidR="009628CE" w:rsidRPr="001B53A8">
        <w:rPr>
          <w:lang w:val="sr-Latn-BA"/>
        </w:rPr>
        <w:t xml:space="preserve"> </w:t>
      </w:r>
      <w:r w:rsidRPr="001B53A8">
        <w:rPr>
          <w:lang w:val="sr-Latn-BA"/>
        </w:rPr>
        <w:t>sa</w:t>
      </w:r>
      <w:r w:rsidR="009628CE" w:rsidRPr="001B53A8">
        <w:rPr>
          <w:lang w:val="sr-Latn-BA"/>
        </w:rPr>
        <w:t xml:space="preserve"> </w:t>
      </w:r>
      <w:r w:rsidRPr="001B53A8">
        <w:rPr>
          <w:lang w:val="sr-Latn-BA"/>
        </w:rPr>
        <w:t>regulatornim</w:t>
      </w:r>
      <w:r w:rsidR="009628CE" w:rsidRPr="001B53A8">
        <w:rPr>
          <w:lang w:val="sr-Latn-BA"/>
        </w:rPr>
        <w:t xml:space="preserve"> </w:t>
      </w:r>
      <w:r w:rsidRPr="001B53A8">
        <w:rPr>
          <w:lang w:val="sr-Latn-BA"/>
        </w:rPr>
        <w:t>organima</w:t>
      </w:r>
      <w:r w:rsidR="009628CE" w:rsidRPr="001B53A8">
        <w:rPr>
          <w:lang w:val="sr-Latn-BA"/>
        </w:rPr>
        <w:t xml:space="preserve"> </w:t>
      </w:r>
      <w:r w:rsidRPr="001B53A8">
        <w:rPr>
          <w:lang w:val="sr-Latn-BA"/>
        </w:rPr>
        <w:t>Republike</w:t>
      </w:r>
      <w:r w:rsidR="009628CE" w:rsidRPr="001B53A8">
        <w:rPr>
          <w:lang w:val="sr-Latn-BA"/>
        </w:rPr>
        <w:t xml:space="preserve"> </w:t>
      </w:r>
      <w:r w:rsidRPr="001B53A8">
        <w:rPr>
          <w:lang w:val="sr-Latn-BA"/>
        </w:rPr>
        <w:t>Srpske</w:t>
      </w:r>
      <w:r w:rsidR="009628CE" w:rsidRPr="001B53A8">
        <w:rPr>
          <w:lang w:val="sr-Latn-BA"/>
        </w:rPr>
        <w:t xml:space="preserve"> (</w:t>
      </w:r>
      <w:r w:rsidRPr="001B53A8">
        <w:rPr>
          <w:lang w:val="sr-Latn-BA"/>
        </w:rPr>
        <w:t>npr</w:t>
      </w:r>
      <w:r w:rsidR="009628CE" w:rsidRPr="001B53A8">
        <w:rPr>
          <w:lang w:val="sr-Latn-BA"/>
        </w:rPr>
        <w:t xml:space="preserve">. </w:t>
      </w:r>
      <w:r w:rsidRPr="001B53A8">
        <w:rPr>
          <w:lang w:val="sr-Latn-BA"/>
        </w:rPr>
        <w:t>Agencija</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bankarstvo</w:t>
      </w:r>
      <w:r w:rsidR="009628CE" w:rsidRPr="001B53A8">
        <w:rPr>
          <w:lang w:val="sr-Latn-BA"/>
        </w:rPr>
        <w:t xml:space="preserve">, </w:t>
      </w:r>
      <w:r w:rsidRPr="001B53A8">
        <w:rPr>
          <w:lang w:val="sr-Latn-BA"/>
        </w:rPr>
        <w:t>Agencija</w:t>
      </w:r>
      <w:r w:rsidR="009628CE" w:rsidRPr="001B53A8">
        <w:rPr>
          <w:lang w:val="sr-Latn-BA"/>
        </w:rPr>
        <w:t xml:space="preserve"> </w:t>
      </w:r>
      <w:r w:rsidRPr="001B53A8">
        <w:rPr>
          <w:lang w:val="sr-Latn-BA"/>
        </w:rPr>
        <w:t>za</w:t>
      </w:r>
      <w:r w:rsidR="009628CE" w:rsidRPr="001B53A8">
        <w:rPr>
          <w:lang w:val="sr-Latn-BA"/>
        </w:rPr>
        <w:t xml:space="preserve"> </w:t>
      </w:r>
      <w:r w:rsidRPr="001B53A8">
        <w:rPr>
          <w:lang w:val="sr-Latn-BA"/>
        </w:rPr>
        <w:t>osiguranje</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sl</w:t>
      </w:r>
      <w:r w:rsidR="009628CE" w:rsidRPr="001B53A8">
        <w:rPr>
          <w:lang w:val="sr-Latn-BA"/>
        </w:rPr>
        <w:t xml:space="preserve">.), </w:t>
      </w:r>
      <w:r w:rsidRPr="001B53A8">
        <w:rPr>
          <w:lang w:val="sr-Latn-BA"/>
        </w:rPr>
        <w:t>sa</w:t>
      </w:r>
      <w:r w:rsidR="009628CE" w:rsidRPr="001B53A8">
        <w:rPr>
          <w:lang w:val="sr-Latn-BA"/>
        </w:rPr>
        <w:t xml:space="preserve"> </w:t>
      </w:r>
      <w:r w:rsidRPr="001B53A8">
        <w:rPr>
          <w:lang w:val="sr-Latn-BA"/>
        </w:rPr>
        <w:t>organima</w:t>
      </w:r>
      <w:r w:rsidR="009628CE" w:rsidRPr="001B53A8">
        <w:rPr>
          <w:lang w:val="sr-Latn-BA"/>
        </w:rPr>
        <w:t xml:space="preserve"> </w:t>
      </w:r>
      <w:r w:rsidRPr="001B53A8">
        <w:rPr>
          <w:lang w:val="sr-Latn-BA"/>
        </w:rPr>
        <w:t>Vlade</w:t>
      </w:r>
      <w:r w:rsidR="009628CE" w:rsidRPr="001B53A8">
        <w:rPr>
          <w:lang w:val="sr-Latn-BA"/>
        </w:rPr>
        <w:t xml:space="preserve"> </w:t>
      </w:r>
      <w:r w:rsidRPr="001B53A8">
        <w:rPr>
          <w:lang w:val="sr-Latn-BA"/>
        </w:rPr>
        <w:t>Republike</w:t>
      </w:r>
      <w:r w:rsidR="009628CE" w:rsidRPr="001B53A8">
        <w:rPr>
          <w:lang w:val="sr-Latn-BA"/>
        </w:rPr>
        <w:t xml:space="preserve"> </w:t>
      </w:r>
      <w:r w:rsidRPr="001B53A8">
        <w:rPr>
          <w:lang w:val="sr-Latn-BA"/>
        </w:rPr>
        <w:t>Srpske</w:t>
      </w:r>
      <w:r w:rsidR="009628CE" w:rsidRPr="001B53A8">
        <w:rPr>
          <w:lang w:val="sr-Latn-BA"/>
        </w:rPr>
        <w:t xml:space="preserve">, </w:t>
      </w:r>
      <w:r w:rsidRPr="001B53A8">
        <w:rPr>
          <w:lang w:val="sr-Latn-BA"/>
        </w:rPr>
        <w:t>sa</w:t>
      </w:r>
      <w:r w:rsidR="009628CE" w:rsidRPr="001B53A8">
        <w:rPr>
          <w:lang w:val="sr-Latn-BA"/>
        </w:rPr>
        <w:t xml:space="preserve"> </w:t>
      </w:r>
      <w:r w:rsidRPr="001B53A8">
        <w:rPr>
          <w:lang w:val="sr-Latn-BA"/>
        </w:rPr>
        <w:t>sudovima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tužilaštvima</w:t>
      </w:r>
      <w:r w:rsidR="009628CE" w:rsidRPr="001B53A8">
        <w:rPr>
          <w:lang w:val="sr-Latn-BA"/>
        </w:rPr>
        <w:t xml:space="preserve"> </w:t>
      </w:r>
      <w:r w:rsidRPr="001B53A8">
        <w:rPr>
          <w:lang w:val="sr-Latn-BA"/>
        </w:rPr>
        <w:t>Republike</w:t>
      </w:r>
      <w:r w:rsidR="009628CE" w:rsidRPr="001B53A8">
        <w:rPr>
          <w:lang w:val="sr-Latn-BA"/>
        </w:rPr>
        <w:t xml:space="preserve"> </w:t>
      </w:r>
      <w:r w:rsidRPr="001B53A8">
        <w:rPr>
          <w:lang w:val="sr-Latn-BA"/>
        </w:rPr>
        <w:t>Srpske</w:t>
      </w:r>
      <w:r w:rsidR="009628CE" w:rsidRPr="001B53A8">
        <w:rPr>
          <w:lang w:val="sr-Latn-BA"/>
        </w:rPr>
        <w:t xml:space="preserve">, </w:t>
      </w:r>
      <w:r w:rsidRPr="001B53A8">
        <w:rPr>
          <w:lang w:val="sr-Latn-BA"/>
        </w:rPr>
        <w:t>sa</w:t>
      </w:r>
      <w:r w:rsidR="009628CE" w:rsidRPr="001B53A8">
        <w:rPr>
          <w:lang w:val="sr-Latn-BA"/>
        </w:rPr>
        <w:t xml:space="preserve"> </w:t>
      </w:r>
      <w:r w:rsidRPr="001B53A8">
        <w:rPr>
          <w:lang w:val="sr-Latn-BA"/>
        </w:rPr>
        <w:t>obrazovnim</w:t>
      </w:r>
      <w:r w:rsidR="009628CE" w:rsidRPr="001B53A8">
        <w:rPr>
          <w:lang w:val="sr-Latn-BA"/>
        </w:rPr>
        <w:t xml:space="preserve"> </w:t>
      </w:r>
      <w:r w:rsidRPr="001B53A8">
        <w:rPr>
          <w:lang w:val="sr-Latn-BA"/>
        </w:rPr>
        <w:t>institucijama</w:t>
      </w:r>
      <w:r w:rsidR="009628CE" w:rsidRPr="001B53A8">
        <w:rPr>
          <w:lang w:val="sr-Latn-BA"/>
        </w:rPr>
        <w:t>,</w:t>
      </w:r>
      <w:r w:rsidR="00A2023D" w:rsidRPr="001B53A8">
        <w:rPr>
          <w:lang w:val="sr-Latn-BA"/>
        </w:rPr>
        <w:t xml:space="preserve"> </w:t>
      </w:r>
      <w:r w:rsidRPr="001B53A8">
        <w:rPr>
          <w:lang w:val="sr-Latn-BA"/>
        </w:rPr>
        <w:t>strukovnim</w:t>
      </w:r>
      <w:r w:rsidR="009628CE" w:rsidRPr="001B53A8">
        <w:rPr>
          <w:lang w:val="sr-Latn-BA"/>
        </w:rPr>
        <w:t xml:space="preserve"> </w:t>
      </w:r>
      <w:r w:rsidRPr="001B53A8">
        <w:rPr>
          <w:lang w:val="sr-Latn-BA"/>
        </w:rPr>
        <w:t>udruženjima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sl</w:t>
      </w:r>
      <w:r w:rsidR="009628CE" w:rsidRPr="001B53A8">
        <w:rPr>
          <w:lang w:val="sr-Latn-BA"/>
        </w:rPr>
        <w:t xml:space="preserve">., </w:t>
      </w:r>
      <w:r w:rsidRPr="001B53A8">
        <w:rPr>
          <w:lang w:val="sr-Latn-BA"/>
        </w:rPr>
        <w:t>ali</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saradnja</w:t>
      </w:r>
      <w:r w:rsidR="009628CE" w:rsidRPr="001B53A8">
        <w:rPr>
          <w:lang w:val="sr-Latn-BA"/>
        </w:rPr>
        <w:t xml:space="preserve"> </w:t>
      </w:r>
      <w:r w:rsidRPr="001B53A8">
        <w:rPr>
          <w:lang w:val="sr-Latn-BA"/>
        </w:rPr>
        <w:t>sa</w:t>
      </w:r>
      <w:r w:rsidR="009628CE" w:rsidRPr="001B53A8">
        <w:rPr>
          <w:lang w:val="sr-Latn-BA"/>
        </w:rPr>
        <w:t xml:space="preserve"> </w:t>
      </w:r>
      <w:r w:rsidRPr="001B53A8">
        <w:rPr>
          <w:lang w:val="sr-Latn-BA"/>
        </w:rPr>
        <w:t>institucijama</w:t>
      </w:r>
      <w:r w:rsidR="009628CE" w:rsidRPr="001B53A8">
        <w:rPr>
          <w:lang w:val="sr-Latn-BA"/>
        </w:rPr>
        <w:t xml:space="preserve"> </w:t>
      </w:r>
      <w:r w:rsidRPr="001B53A8">
        <w:rPr>
          <w:lang w:val="sr-Latn-BA"/>
        </w:rPr>
        <w:t>Federacije</w:t>
      </w:r>
      <w:r w:rsidR="009628CE" w:rsidRPr="001B53A8">
        <w:rPr>
          <w:lang w:val="sr-Latn-BA"/>
        </w:rPr>
        <w:t xml:space="preserve"> </w:t>
      </w:r>
      <w:r w:rsidRPr="001B53A8">
        <w:rPr>
          <w:lang w:val="sr-Latn-BA"/>
        </w:rPr>
        <w:t>BiH</w:t>
      </w:r>
      <w:r w:rsidR="009628CE" w:rsidRPr="001B53A8">
        <w:rPr>
          <w:lang w:val="sr-Latn-BA"/>
        </w:rPr>
        <w:t xml:space="preserve">, </w:t>
      </w:r>
      <w:r w:rsidRPr="001B53A8">
        <w:rPr>
          <w:lang w:val="sr-Latn-BA"/>
        </w:rPr>
        <w:t>zajedničkim</w:t>
      </w:r>
      <w:r w:rsidR="009628CE" w:rsidRPr="001B53A8">
        <w:rPr>
          <w:lang w:val="sr-Latn-BA"/>
        </w:rPr>
        <w:t xml:space="preserve"> </w:t>
      </w:r>
      <w:r w:rsidRPr="001B53A8">
        <w:rPr>
          <w:lang w:val="sr-Latn-BA"/>
        </w:rPr>
        <w:t>organima</w:t>
      </w:r>
      <w:r w:rsidR="009628CE" w:rsidRPr="001B53A8">
        <w:rPr>
          <w:lang w:val="sr-Latn-BA"/>
        </w:rPr>
        <w:t xml:space="preserve"> </w:t>
      </w:r>
      <w:r w:rsidRPr="001B53A8">
        <w:rPr>
          <w:lang w:val="sr-Latn-BA"/>
        </w:rPr>
        <w:t>Bosne</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Hercegovine</w:t>
      </w:r>
      <w:r w:rsidR="009628CE" w:rsidRPr="001B53A8">
        <w:rPr>
          <w:lang w:val="sr-Latn-BA"/>
        </w:rPr>
        <w:t xml:space="preserve">, </w:t>
      </w:r>
      <w:r w:rsidRPr="001B53A8">
        <w:rPr>
          <w:lang w:val="sr-Latn-BA"/>
        </w:rPr>
        <w:t>regulatornim</w:t>
      </w:r>
      <w:r w:rsidR="009628CE" w:rsidRPr="001B53A8">
        <w:rPr>
          <w:lang w:val="sr-Latn-BA"/>
        </w:rPr>
        <w:t xml:space="preserve"> </w:t>
      </w:r>
      <w:r w:rsidRPr="001B53A8">
        <w:rPr>
          <w:lang w:val="sr-Latn-BA"/>
        </w:rPr>
        <w:t>tijelima</w:t>
      </w:r>
      <w:r w:rsidR="009628CE" w:rsidRPr="001B53A8">
        <w:rPr>
          <w:lang w:val="sr-Latn-BA"/>
        </w:rPr>
        <w:t xml:space="preserve"> </w:t>
      </w:r>
      <w:r w:rsidRPr="001B53A8">
        <w:rPr>
          <w:lang w:val="sr-Latn-BA"/>
        </w:rPr>
        <w:t>drugih</w:t>
      </w:r>
      <w:r w:rsidR="009628CE" w:rsidRPr="001B53A8">
        <w:rPr>
          <w:lang w:val="sr-Latn-BA"/>
        </w:rPr>
        <w:t xml:space="preserve"> </w:t>
      </w:r>
      <w:r w:rsidRPr="001B53A8">
        <w:rPr>
          <w:lang w:val="sr-Latn-BA"/>
        </w:rPr>
        <w:t>država</w:t>
      </w:r>
      <w:r w:rsidR="009628CE" w:rsidRPr="001B53A8">
        <w:rPr>
          <w:lang w:val="sr-Latn-BA"/>
        </w:rPr>
        <w:t xml:space="preserve">, </w:t>
      </w:r>
      <w:r w:rsidRPr="001B53A8">
        <w:rPr>
          <w:lang w:val="sr-Latn-BA"/>
        </w:rPr>
        <w:t>kao</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saradnja</w:t>
      </w:r>
      <w:r w:rsidR="009628CE" w:rsidRPr="001B53A8">
        <w:rPr>
          <w:lang w:val="sr-Latn-BA"/>
        </w:rPr>
        <w:t xml:space="preserve"> </w:t>
      </w:r>
      <w:r w:rsidRPr="001B53A8">
        <w:rPr>
          <w:lang w:val="sr-Latn-BA"/>
        </w:rPr>
        <w:t>sa</w:t>
      </w:r>
      <w:r w:rsidR="009628CE" w:rsidRPr="001B53A8">
        <w:rPr>
          <w:lang w:val="sr-Latn-BA"/>
        </w:rPr>
        <w:t xml:space="preserve"> </w:t>
      </w:r>
      <w:r w:rsidRPr="001B53A8">
        <w:rPr>
          <w:lang w:val="sr-Latn-BA"/>
        </w:rPr>
        <w:t>međunarodnim</w:t>
      </w:r>
      <w:r w:rsidR="009628CE" w:rsidRPr="001B53A8">
        <w:rPr>
          <w:lang w:val="sr-Latn-BA"/>
        </w:rPr>
        <w:t xml:space="preserve"> </w:t>
      </w:r>
      <w:r w:rsidRPr="001B53A8">
        <w:rPr>
          <w:lang w:val="sr-Latn-BA"/>
        </w:rPr>
        <w:t>institucijama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asocijacijama</w:t>
      </w:r>
      <w:r w:rsidR="009628CE" w:rsidRPr="001B53A8">
        <w:rPr>
          <w:lang w:val="sr-Latn-BA"/>
        </w:rPr>
        <w:t>.</w:t>
      </w:r>
    </w:p>
    <w:p w14:paraId="474148DA" w14:textId="79751EA5" w:rsidR="0075782C" w:rsidRPr="001B53A8" w:rsidRDefault="00003F34" w:rsidP="006B6E0C">
      <w:pPr>
        <w:pStyle w:val="Heading3"/>
        <w:spacing w:line="240" w:lineRule="auto"/>
        <w:ind w:left="567" w:hanging="567"/>
        <w:rPr>
          <w:rFonts w:ascii="Times New Roman" w:hAnsi="Times New Roman"/>
          <w:lang w:val="sr-Latn-BA"/>
        </w:rPr>
      </w:pPr>
      <w:bookmarkStart w:id="81" w:name="_Toc167962123"/>
      <w:r w:rsidRPr="001B53A8">
        <w:rPr>
          <w:rFonts w:ascii="Times New Roman" w:hAnsi="Times New Roman"/>
          <w:lang w:val="sr-Latn-BA"/>
        </w:rPr>
        <w:t>Međunarodna</w:t>
      </w:r>
      <w:r w:rsidR="0075782C" w:rsidRPr="001B53A8">
        <w:rPr>
          <w:rFonts w:ascii="Times New Roman" w:hAnsi="Times New Roman"/>
          <w:lang w:val="sr-Latn-BA"/>
        </w:rPr>
        <w:t xml:space="preserve"> </w:t>
      </w:r>
      <w:r w:rsidRPr="001B53A8">
        <w:rPr>
          <w:rFonts w:ascii="Times New Roman" w:hAnsi="Times New Roman"/>
          <w:lang w:val="sr-Latn-BA"/>
        </w:rPr>
        <w:t>saradnja</w:t>
      </w:r>
      <w:bookmarkEnd w:id="81"/>
    </w:p>
    <w:p w14:paraId="6DC2242B" w14:textId="44B49D43" w:rsidR="002E4D61" w:rsidRPr="001B53A8" w:rsidRDefault="00003F34" w:rsidP="006B6E0C">
      <w:pPr>
        <w:pStyle w:val="Heading4"/>
        <w:spacing w:line="240" w:lineRule="auto"/>
        <w:ind w:left="851" w:hanging="851"/>
        <w:rPr>
          <w:rFonts w:ascii="Times New Roman" w:hAnsi="Times New Roman" w:cs="Times New Roman"/>
          <w:lang w:val="sr-Latn-BA"/>
        </w:rPr>
      </w:pPr>
      <w:r w:rsidRPr="001B53A8">
        <w:rPr>
          <w:rFonts w:ascii="Times New Roman" w:hAnsi="Times New Roman" w:cs="Times New Roman"/>
          <w:lang w:val="sr-Latn-BA"/>
        </w:rPr>
        <w:t>Administrativni</w:t>
      </w:r>
      <w:r w:rsidR="002E4D61" w:rsidRPr="001B53A8">
        <w:rPr>
          <w:rFonts w:ascii="Times New Roman" w:hAnsi="Times New Roman" w:cs="Times New Roman"/>
          <w:lang w:val="sr-Latn-BA"/>
        </w:rPr>
        <w:t xml:space="preserve"> </w:t>
      </w:r>
      <w:r w:rsidRPr="001B53A8">
        <w:rPr>
          <w:rFonts w:ascii="Times New Roman" w:hAnsi="Times New Roman" w:cs="Times New Roman"/>
          <w:lang w:val="sr-Latn-BA"/>
        </w:rPr>
        <w:t>sporazum</w:t>
      </w:r>
    </w:p>
    <w:p w14:paraId="2D67567B" w14:textId="5D0D72E7" w:rsidR="002E4D61" w:rsidRPr="001B53A8" w:rsidRDefault="00003F34" w:rsidP="006B6E0C">
      <w:pPr>
        <w:pStyle w:val="Default"/>
        <w:spacing w:before="120"/>
        <w:ind w:firstLine="567"/>
        <w:jc w:val="both"/>
        <w:rPr>
          <w:lang w:val="sr-Latn-BA"/>
        </w:rPr>
      </w:pPr>
      <w:r w:rsidRPr="001B53A8">
        <w:rPr>
          <w:lang w:val="sr-Latn-BA"/>
        </w:rPr>
        <w:t>Komisija</w:t>
      </w:r>
      <w:r w:rsidR="002E4D61" w:rsidRPr="001B53A8">
        <w:rPr>
          <w:lang w:val="sr-Latn-BA"/>
        </w:rPr>
        <w:t xml:space="preserve"> </w:t>
      </w:r>
      <w:r w:rsidRPr="001B53A8">
        <w:rPr>
          <w:lang w:val="sr-Latn-BA"/>
        </w:rPr>
        <w:t>je</w:t>
      </w:r>
      <w:r w:rsidR="001D4197" w:rsidRPr="001B53A8">
        <w:rPr>
          <w:lang w:val="sr-Latn-BA"/>
        </w:rPr>
        <w:t xml:space="preserve"> </w:t>
      </w:r>
      <w:r w:rsidRPr="001B53A8">
        <w:rPr>
          <w:lang w:val="sr-Latn-BA"/>
        </w:rPr>
        <w:t>u</w:t>
      </w:r>
      <w:r w:rsidR="001D4197" w:rsidRPr="001B53A8">
        <w:rPr>
          <w:lang w:val="sr-Latn-BA"/>
        </w:rPr>
        <w:t xml:space="preserve"> 2019. </w:t>
      </w:r>
      <w:r w:rsidRPr="001B53A8">
        <w:rPr>
          <w:lang w:val="sr-Latn-BA"/>
        </w:rPr>
        <w:t>godini</w:t>
      </w:r>
      <w:r w:rsidR="001D4197" w:rsidRPr="001B53A8">
        <w:rPr>
          <w:lang w:val="sr-Latn-BA"/>
        </w:rPr>
        <w:t xml:space="preserve"> </w:t>
      </w:r>
      <w:r w:rsidRPr="001B53A8">
        <w:rPr>
          <w:lang w:val="sr-Latn-BA"/>
        </w:rPr>
        <w:t>postala</w:t>
      </w:r>
      <w:r w:rsidR="002E4D61" w:rsidRPr="001B53A8">
        <w:rPr>
          <w:lang w:val="sr-Latn-BA"/>
        </w:rPr>
        <w:t xml:space="preserve"> </w:t>
      </w:r>
      <w:r w:rsidRPr="001B53A8">
        <w:rPr>
          <w:lang w:val="sr-Latn-BA"/>
        </w:rPr>
        <w:t>potpisnik</w:t>
      </w:r>
      <w:r w:rsidR="002E4D61" w:rsidRPr="001B53A8">
        <w:rPr>
          <w:lang w:val="sr-Latn-BA"/>
        </w:rPr>
        <w:t xml:space="preserve"> </w:t>
      </w:r>
      <w:r w:rsidRPr="001B53A8">
        <w:rPr>
          <w:lang w:val="sr-Latn-BA"/>
        </w:rPr>
        <w:t>Administrativnog</w:t>
      </w:r>
      <w:r w:rsidR="002E4D61" w:rsidRPr="001B53A8">
        <w:rPr>
          <w:lang w:val="sr-Latn-BA"/>
        </w:rPr>
        <w:t xml:space="preserve"> </w:t>
      </w:r>
      <w:r w:rsidRPr="001B53A8">
        <w:rPr>
          <w:lang w:val="sr-Latn-BA"/>
        </w:rPr>
        <w:t>sporazuma</w:t>
      </w:r>
      <w:r w:rsidR="002E4D61" w:rsidRPr="001B53A8">
        <w:rPr>
          <w:lang w:val="sr-Latn-BA"/>
        </w:rPr>
        <w:t xml:space="preserve"> </w:t>
      </w:r>
      <w:r w:rsidRPr="001B53A8">
        <w:rPr>
          <w:lang w:val="sr-Latn-BA"/>
        </w:rPr>
        <w:t>za</w:t>
      </w:r>
      <w:r w:rsidR="002E4D61" w:rsidRPr="001B53A8">
        <w:rPr>
          <w:lang w:val="sr-Latn-BA"/>
        </w:rPr>
        <w:t xml:space="preserve"> </w:t>
      </w:r>
      <w:r w:rsidRPr="001B53A8">
        <w:rPr>
          <w:lang w:val="sr-Latn-BA"/>
        </w:rPr>
        <w:t>prenos</w:t>
      </w:r>
      <w:r w:rsidR="002E4D61" w:rsidRPr="001B53A8">
        <w:rPr>
          <w:lang w:val="sr-Latn-BA"/>
        </w:rPr>
        <w:t xml:space="preserve"> </w:t>
      </w:r>
      <w:r w:rsidRPr="001B53A8">
        <w:rPr>
          <w:lang w:val="sr-Latn-BA"/>
        </w:rPr>
        <w:t>ličnih</w:t>
      </w:r>
      <w:r w:rsidR="002E4D61" w:rsidRPr="001B53A8">
        <w:rPr>
          <w:lang w:val="sr-Latn-BA"/>
        </w:rPr>
        <w:t xml:space="preserve"> </w:t>
      </w:r>
      <w:r w:rsidRPr="001B53A8">
        <w:rPr>
          <w:lang w:val="sr-Latn-BA"/>
        </w:rPr>
        <w:t>podataka</w:t>
      </w:r>
      <w:r w:rsidR="002E4D61" w:rsidRPr="001B53A8">
        <w:rPr>
          <w:lang w:val="sr-Latn-BA"/>
        </w:rPr>
        <w:t xml:space="preserve"> </w:t>
      </w:r>
      <w:r w:rsidRPr="001B53A8">
        <w:rPr>
          <w:lang w:val="sr-Latn-BA"/>
        </w:rPr>
        <w:t>između</w:t>
      </w:r>
      <w:r w:rsidR="002E4D61" w:rsidRPr="001B53A8">
        <w:rPr>
          <w:lang w:val="sr-Latn-BA"/>
        </w:rPr>
        <w:t xml:space="preserve"> </w:t>
      </w:r>
      <w:r w:rsidRPr="001B53A8">
        <w:rPr>
          <w:lang w:val="sr-Latn-BA"/>
        </w:rPr>
        <w:t>svakog</w:t>
      </w:r>
      <w:r w:rsidR="002E4D61" w:rsidRPr="001B53A8">
        <w:rPr>
          <w:lang w:val="sr-Latn-BA"/>
        </w:rPr>
        <w:t xml:space="preserve"> </w:t>
      </w:r>
      <w:r w:rsidRPr="001B53A8">
        <w:rPr>
          <w:lang w:val="sr-Latn-BA"/>
        </w:rPr>
        <w:t>nadležnog</w:t>
      </w:r>
      <w:r w:rsidR="002E4D61" w:rsidRPr="001B53A8">
        <w:rPr>
          <w:lang w:val="sr-Latn-BA"/>
        </w:rPr>
        <w:t xml:space="preserve"> </w:t>
      </w:r>
      <w:r w:rsidRPr="001B53A8">
        <w:rPr>
          <w:lang w:val="sr-Latn-BA"/>
        </w:rPr>
        <w:t>organa</w:t>
      </w:r>
      <w:r w:rsidR="002E4D61" w:rsidRPr="001B53A8">
        <w:rPr>
          <w:lang w:val="sr-Latn-BA"/>
        </w:rPr>
        <w:t xml:space="preserve"> </w:t>
      </w:r>
      <w:r w:rsidRPr="001B53A8">
        <w:rPr>
          <w:lang w:val="sr-Latn-BA"/>
        </w:rPr>
        <w:t>Evropskog</w:t>
      </w:r>
      <w:r w:rsidR="002E4D61" w:rsidRPr="001B53A8">
        <w:rPr>
          <w:lang w:val="sr-Latn-BA"/>
        </w:rPr>
        <w:t xml:space="preserve"> </w:t>
      </w:r>
      <w:r w:rsidRPr="001B53A8">
        <w:rPr>
          <w:lang w:val="sr-Latn-BA"/>
        </w:rPr>
        <w:t>ekonomskog</w:t>
      </w:r>
      <w:r w:rsidR="002E4D61" w:rsidRPr="001B53A8">
        <w:rPr>
          <w:lang w:val="sr-Latn-BA"/>
        </w:rPr>
        <w:t xml:space="preserve"> </w:t>
      </w:r>
      <w:r w:rsidRPr="001B53A8">
        <w:rPr>
          <w:lang w:val="sr-Latn-BA"/>
        </w:rPr>
        <w:t>prostora</w:t>
      </w:r>
      <w:r w:rsidR="002E4D61" w:rsidRPr="001B53A8">
        <w:rPr>
          <w:lang w:val="sr-Latn-BA"/>
        </w:rPr>
        <w:t xml:space="preserve"> (</w:t>
      </w:r>
      <w:r w:rsidRPr="001B53A8">
        <w:rPr>
          <w:lang w:val="sr-Latn-BA"/>
        </w:rPr>
        <w:t>EEP</w:t>
      </w:r>
      <w:r w:rsidR="002E4D61" w:rsidRPr="001B53A8">
        <w:rPr>
          <w:lang w:val="sr-Latn-BA"/>
        </w:rPr>
        <w:t xml:space="preserve">) </w:t>
      </w:r>
      <w:r w:rsidRPr="001B53A8">
        <w:rPr>
          <w:lang w:val="sr-Latn-BA"/>
        </w:rPr>
        <w:t>navedenog</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Prilogu</w:t>
      </w:r>
      <w:r w:rsidR="002E4D61" w:rsidRPr="001B53A8">
        <w:rPr>
          <w:lang w:val="sr-Latn-BA"/>
        </w:rPr>
        <w:t xml:space="preserve"> </w:t>
      </w:r>
      <w:r w:rsidRPr="001B53A8">
        <w:rPr>
          <w:lang w:val="sr-Latn-BA"/>
        </w:rPr>
        <w:t>A</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svakog</w:t>
      </w:r>
      <w:r w:rsidR="002E4D61" w:rsidRPr="001B53A8">
        <w:rPr>
          <w:lang w:val="sr-Latn-BA"/>
        </w:rPr>
        <w:t xml:space="preserve"> </w:t>
      </w:r>
      <w:r w:rsidRPr="001B53A8">
        <w:rPr>
          <w:lang w:val="sr-Latn-BA"/>
        </w:rPr>
        <w:t>nadležnog</w:t>
      </w:r>
      <w:r w:rsidR="002E4D61" w:rsidRPr="001B53A8">
        <w:rPr>
          <w:lang w:val="sr-Latn-BA"/>
        </w:rPr>
        <w:t xml:space="preserve"> </w:t>
      </w:r>
      <w:r w:rsidRPr="001B53A8">
        <w:rPr>
          <w:lang w:val="sr-Latn-BA"/>
        </w:rPr>
        <w:t>organa</w:t>
      </w:r>
      <w:r w:rsidR="002E4D61" w:rsidRPr="001B53A8">
        <w:rPr>
          <w:lang w:val="sr-Latn-BA"/>
        </w:rPr>
        <w:t xml:space="preserve"> </w:t>
      </w:r>
      <w:r w:rsidRPr="001B53A8">
        <w:rPr>
          <w:lang w:val="sr-Latn-BA"/>
        </w:rPr>
        <w:t>van</w:t>
      </w:r>
      <w:r w:rsidR="002E4D61" w:rsidRPr="001B53A8">
        <w:rPr>
          <w:lang w:val="sr-Latn-BA"/>
        </w:rPr>
        <w:t xml:space="preserve"> </w:t>
      </w:r>
      <w:r w:rsidRPr="001B53A8">
        <w:rPr>
          <w:lang w:val="sr-Latn-BA"/>
        </w:rPr>
        <w:t>Evropskog</w:t>
      </w:r>
      <w:r w:rsidR="002E4D61" w:rsidRPr="001B53A8">
        <w:rPr>
          <w:lang w:val="sr-Latn-BA"/>
        </w:rPr>
        <w:t xml:space="preserve"> </w:t>
      </w:r>
      <w:r w:rsidRPr="001B53A8">
        <w:rPr>
          <w:lang w:val="sr-Latn-BA"/>
        </w:rPr>
        <w:t>ekonomskog</w:t>
      </w:r>
      <w:r w:rsidR="002E4D61" w:rsidRPr="001B53A8">
        <w:rPr>
          <w:lang w:val="sr-Latn-BA"/>
        </w:rPr>
        <w:t xml:space="preserve"> </w:t>
      </w:r>
      <w:r w:rsidRPr="001B53A8">
        <w:rPr>
          <w:lang w:val="sr-Latn-BA"/>
        </w:rPr>
        <w:t>prostora</w:t>
      </w:r>
      <w:r w:rsidR="002E4D61" w:rsidRPr="001B53A8">
        <w:rPr>
          <w:lang w:val="sr-Latn-BA"/>
        </w:rPr>
        <w:t xml:space="preserve"> (</w:t>
      </w:r>
      <w:r w:rsidRPr="001B53A8">
        <w:rPr>
          <w:lang w:val="sr-Latn-BA"/>
        </w:rPr>
        <w:t>EEP</w:t>
      </w:r>
      <w:r w:rsidR="002E4D61" w:rsidRPr="001B53A8">
        <w:rPr>
          <w:lang w:val="sr-Latn-BA"/>
        </w:rPr>
        <w:t>)</w:t>
      </w:r>
      <w:r w:rsidR="002E4D61" w:rsidRPr="001B53A8">
        <w:rPr>
          <w:rFonts w:asciiTheme="minorHAnsi" w:hAnsiTheme="minorHAnsi"/>
          <w:lang w:val="sr-Latn-BA"/>
        </w:rPr>
        <w:t xml:space="preserve"> </w:t>
      </w:r>
      <w:r w:rsidRPr="001B53A8">
        <w:rPr>
          <w:lang w:val="sr-Latn-BA"/>
        </w:rPr>
        <w:t>navedenog</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Prilogu</w:t>
      </w:r>
      <w:r w:rsidR="002E4D61" w:rsidRPr="001B53A8">
        <w:rPr>
          <w:lang w:val="sr-Latn-BA"/>
        </w:rPr>
        <w:t xml:space="preserve"> </w:t>
      </w:r>
      <w:r w:rsidRPr="001B53A8">
        <w:rPr>
          <w:lang w:val="sr-Latn-BA"/>
        </w:rPr>
        <w:t>B</w:t>
      </w:r>
      <w:r w:rsidR="00A92F69" w:rsidRPr="001B53A8">
        <w:rPr>
          <w:rStyle w:val="FootnoteReference"/>
          <w:lang w:val="sr-Latn-BA"/>
        </w:rPr>
        <w:footnoteReference w:id="18"/>
      </w:r>
      <w:r w:rsidR="002E4D61" w:rsidRPr="001B53A8">
        <w:rPr>
          <w:i/>
          <w:lang w:val="sr-Latn-BA"/>
        </w:rPr>
        <w:t xml:space="preserve"> </w:t>
      </w:r>
      <w:r w:rsidR="002E4D61" w:rsidRPr="001B53A8">
        <w:rPr>
          <w:lang w:val="sr-Latn-BA"/>
        </w:rPr>
        <w:t>-</w:t>
      </w:r>
      <w:r w:rsidR="002E4D61" w:rsidRPr="001B53A8">
        <w:rPr>
          <w:i/>
          <w:lang w:val="sr-Latn-BA"/>
        </w:rPr>
        <w:t xml:space="preserve"> </w:t>
      </w:r>
      <w:r w:rsidRPr="001B53A8">
        <w:rPr>
          <w:lang w:val="sr-Latn-BA"/>
        </w:rPr>
        <w:t>u</w:t>
      </w:r>
      <w:r w:rsidR="002E4D61" w:rsidRPr="001B53A8">
        <w:rPr>
          <w:lang w:val="sr-Latn-BA"/>
        </w:rPr>
        <w:t xml:space="preserve"> </w:t>
      </w:r>
      <w:r w:rsidRPr="001B53A8">
        <w:rPr>
          <w:lang w:val="sr-Latn-BA"/>
        </w:rPr>
        <w:t>dalјem</w:t>
      </w:r>
      <w:r w:rsidR="002E4D61" w:rsidRPr="001B53A8">
        <w:rPr>
          <w:lang w:val="sr-Latn-BA"/>
        </w:rPr>
        <w:t xml:space="preserve"> </w:t>
      </w:r>
      <w:r w:rsidRPr="001B53A8">
        <w:rPr>
          <w:lang w:val="sr-Latn-BA"/>
        </w:rPr>
        <w:t>tekstu</w:t>
      </w:r>
      <w:r w:rsidR="002E4D61" w:rsidRPr="001B53A8">
        <w:rPr>
          <w:lang w:val="sr-Latn-BA"/>
        </w:rPr>
        <w:t xml:space="preserve">: </w:t>
      </w:r>
      <w:r w:rsidRPr="001B53A8">
        <w:rPr>
          <w:lang w:val="sr-Latn-BA"/>
        </w:rPr>
        <w:t>Administrativni</w:t>
      </w:r>
      <w:r w:rsidR="002E4D61" w:rsidRPr="001B53A8">
        <w:rPr>
          <w:lang w:val="sr-Latn-BA"/>
        </w:rPr>
        <w:t xml:space="preserve"> </w:t>
      </w:r>
      <w:r w:rsidRPr="001B53A8">
        <w:rPr>
          <w:lang w:val="sr-Latn-BA"/>
        </w:rPr>
        <w:t>sporazum</w:t>
      </w:r>
      <w:r w:rsidR="002E4D61" w:rsidRPr="001B53A8">
        <w:rPr>
          <w:lang w:val="sr-Latn-BA"/>
        </w:rPr>
        <w:t xml:space="preserve">. </w:t>
      </w:r>
    </w:p>
    <w:p w14:paraId="706D657A" w14:textId="15BE73A1" w:rsidR="002E4D61" w:rsidRPr="001B53A8" w:rsidRDefault="00003F34" w:rsidP="006B6E0C">
      <w:pPr>
        <w:pStyle w:val="Default"/>
        <w:spacing w:before="120"/>
        <w:ind w:firstLine="567"/>
        <w:jc w:val="both"/>
        <w:rPr>
          <w:lang w:val="sr-Latn-BA"/>
        </w:rPr>
      </w:pPr>
      <w:r w:rsidRPr="001B53A8">
        <w:rPr>
          <w:lang w:val="sr-Latn-BA"/>
        </w:rPr>
        <w:t>Pod</w:t>
      </w:r>
      <w:r w:rsidR="002E4D61" w:rsidRPr="001B53A8">
        <w:rPr>
          <w:lang w:val="sr-Latn-BA"/>
        </w:rPr>
        <w:t xml:space="preserve"> </w:t>
      </w:r>
      <w:r w:rsidRPr="001B53A8">
        <w:rPr>
          <w:lang w:val="sr-Latn-BA"/>
        </w:rPr>
        <w:t>nadležnim</w:t>
      </w:r>
      <w:r w:rsidR="002E4D61" w:rsidRPr="001B53A8">
        <w:rPr>
          <w:lang w:val="sr-Latn-BA"/>
        </w:rPr>
        <w:t xml:space="preserve"> </w:t>
      </w:r>
      <w:r w:rsidRPr="001B53A8">
        <w:rPr>
          <w:lang w:val="sr-Latn-BA"/>
        </w:rPr>
        <w:t>organima</w:t>
      </w:r>
      <w:r w:rsidR="002E4D61" w:rsidRPr="001B53A8">
        <w:rPr>
          <w:lang w:val="sr-Latn-BA"/>
        </w:rPr>
        <w:t xml:space="preserve"> </w:t>
      </w:r>
      <w:r w:rsidRPr="001B53A8">
        <w:rPr>
          <w:lang w:val="sr-Latn-BA"/>
        </w:rPr>
        <w:t>iz</w:t>
      </w:r>
      <w:r w:rsidR="002E4D61" w:rsidRPr="001B53A8">
        <w:rPr>
          <w:lang w:val="sr-Latn-BA"/>
        </w:rPr>
        <w:t>/</w:t>
      </w:r>
      <w:r w:rsidRPr="001B53A8">
        <w:rPr>
          <w:lang w:val="sr-Latn-BA"/>
        </w:rPr>
        <w:t>izvan</w:t>
      </w:r>
      <w:r w:rsidR="002E4D61" w:rsidRPr="001B53A8">
        <w:rPr>
          <w:lang w:val="sr-Latn-BA"/>
        </w:rPr>
        <w:t xml:space="preserve"> </w:t>
      </w:r>
      <w:r w:rsidRPr="001B53A8">
        <w:rPr>
          <w:lang w:val="sr-Latn-BA"/>
        </w:rPr>
        <w:t>EEP</w:t>
      </w:r>
      <w:r w:rsidR="002E4D61" w:rsidRPr="001B53A8">
        <w:rPr>
          <w:lang w:val="sr-Latn-BA"/>
        </w:rPr>
        <w:t xml:space="preserve"> </w:t>
      </w:r>
      <w:r w:rsidRPr="001B53A8">
        <w:rPr>
          <w:lang w:val="sr-Latn-BA"/>
        </w:rPr>
        <w:t>misli</w:t>
      </w:r>
      <w:r w:rsidR="002E4D61" w:rsidRPr="001B53A8">
        <w:rPr>
          <w:lang w:val="sr-Latn-BA"/>
        </w:rPr>
        <w:t xml:space="preserve"> </w:t>
      </w:r>
      <w:r w:rsidRPr="001B53A8">
        <w:rPr>
          <w:lang w:val="sr-Latn-BA"/>
        </w:rPr>
        <w:t>se</w:t>
      </w:r>
      <w:r w:rsidR="002E4D61" w:rsidRPr="001B53A8">
        <w:rPr>
          <w:lang w:val="sr-Latn-BA"/>
        </w:rPr>
        <w:t xml:space="preserve"> </w:t>
      </w:r>
      <w:r w:rsidRPr="001B53A8">
        <w:rPr>
          <w:lang w:val="sr-Latn-BA"/>
        </w:rPr>
        <w:t>na</w:t>
      </w:r>
      <w:r w:rsidR="002E4D61" w:rsidRPr="001B53A8">
        <w:rPr>
          <w:lang w:val="sr-Latn-BA"/>
        </w:rPr>
        <w:t xml:space="preserve"> </w:t>
      </w:r>
      <w:r w:rsidRPr="001B53A8">
        <w:rPr>
          <w:lang w:val="sr-Latn-BA"/>
        </w:rPr>
        <w:t>institucije</w:t>
      </w:r>
      <w:r w:rsidR="002E4D61" w:rsidRPr="001B53A8">
        <w:rPr>
          <w:lang w:val="sr-Latn-BA"/>
        </w:rPr>
        <w:t>/</w:t>
      </w:r>
      <w:r w:rsidRPr="001B53A8">
        <w:rPr>
          <w:lang w:val="sr-Latn-BA"/>
        </w:rPr>
        <w:t>regulatore</w:t>
      </w:r>
      <w:r w:rsidR="002E4D61" w:rsidRPr="001B53A8">
        <w:rPr>
          <w:lang w:val="sr-Latn-BA"/>
        </w:rPr>
        <w:t xml:space="preserve">, </w:t>
      </w:r>
      <w:r w:rsidRPr="001B53A8">
        <w:rPr>
          <w:lang w:val="sr-Latn-BA"/>
        </w:rPr>
        <w:t>članice</w:t>
      </w:r>
      <w:r w:rsidR="002E4D61" w:rsidRPr="001B53A8">
        <w:rPr>
          <w:lang w:val="sr-Latn-BA"/>
        </w:rPr>
        <w:t xml:space="preserve"> </w:t>
      </w:r>
      <w:r w:rsidRPr="001B53A8">
        <w:rPr>
          <w:lang w:val="sr-Latn-BA"/>
        </w:rPr>
        <w:t>Međunarodne</w:t>
      </w:r>
      <w:r w:rsidR="002E4D61" w:rsidRPr="001B53A8">
        <w:rPr>
          <w:lang w:val="sr-Latn-BA"/>
        </w:rPr>
        <w:t xml:space="preserve"> </w:t>
      </w:r>
      <w:r w:rsidRPr="001B53A8">
        <w:rPr>
          <w:lang w:val="sr-Latn-BA"/>
        </w:rPr>
        <w:t>organizacije</w:t>
      </w:r>
      <w:r w:rsidR="002E4D61" w:rsidRPr="001B53A8">
        <w:rPr>
          <w:lang w:val="sr-Latn-BA"/>
        </w:rPr>
        <w:t xml:space="preserve"> </w:t>
      </w:r>
      <w:r w:rsidRPr="001B53A8">
        <w:rPr>
          <w:lang w:val="sr-Latn-BA"/>
        </w:rPr>
        <w:t>komisija</w:t>
      </w:r>
      <w:r w:rsidR="002E4D61" w:rsidRPr="001B53A8">
        <w:rPr>
          <w:lang w:val="sr-Latn-BA"/>
        </w:rPr>
        <w:t xml:space="preserve"> </w:t>
      </w:r>
      <w:r w:rsidRPr="001B53A8">
        <w:rPr>
          <w:lang w:val="sr-Latn-BA"/>
        </w:rPr>
        <w:t>za</w:t>
      </w:r>
      <w:r w:rsidR="002E4D61" w:rsidRPr="001B53A8">
        <w:rPr>
          <w:lang w:val="sr-Latn-BA"/>
        </w:rPr>
        <w:t xml:space="preserve"> </w:t>
      </w:r>
      <w:r w:rsidRPr="001B53A8">
        <w:rPr>
          <w:lang w:val="sr-Latn-BA"/>
        </w:rPr>
        <w:t>hartije</w:t>
      </w:r>
      <w:r w:rsidR="002E4D61" w:rsidRPr="001B53A8">
        <w:rPr>
          <w:lang w:val="sr-Latn-BA"/>
        </w:rPr>
        <w:t xml:space="preserve"> </w:t>
      </w:r>
      <w:r w:rsidRPr="001B53A8">
        <w:rPr>
          <w:lang w:val="sr-Latn-BA"/>
        </w:rPr>
        <w:t>od</w:t>
      </w:r>
      <w:r w:rsidR="002E4D61" w:rsidRPr="001B53A8">
        <w:rPr>
          <w:lang w:val="sr-Latn-BA"/>
        </w:rPr>
        <w:t xml:space="preserve"> </w:t>
      </w:r>
      <w:r w:rsidRPr="001B53A8">
        <w:rPr>
          <w:lang w:val="sr-Latn-BA"/>
        </w:rPr>
        <w:t>vrijednosti</w:t>
      </w:r>
      <w:r w:rsidR="002E4D61" w:rsidRPr="001B53A8">
        <w:rPr>
          <w:lang w:val="sr-Latn-BA"/>
        </w:rPr>
        <w:t xml:space="preserve"> (</w:t>
      </w:r>
      <w:r w:rsidRPr="001B53A8">
        <w:rPr>
          <w:lang w:val="sr-Latn-BA"/>
        </w:rPr>
        <w:t>eng</w:t>
      </w:r>
      <w:r w:rsidR="002E4D61" w:rsidRPr="001B53A8">
        <w:rPr>
          <w:lang w:val="sr-Latn-BA"/>
        </w:rPr>
        <w:t xml:space="preserve">. International Organization of Securities Commissions – IOSCO), </w:t>
      </w:r>
      <w:r w:rsidRPr="001B53A8">
        <w:rPr>
          <w:lang w:val="sr-Latn-BA"/>
        </w:rPr>
        <w:t>koje</w:t>
      </w:r>
      <w:r w:rsidR="002E4D61" w:rsidRPr="001B53A8">
        <w:rPr>
          <w:lang w:val="sr-Latn-BA"/>
        </w:rPr>
        <w:t xml:space="preserve"> </w:t>
      </w:r>
      <w:r w:rsidRPr="001B53A8">
        <w:rPr>
          <w:lang w:val="sr-Latn-BA"/>
        </w:rPr>
        <w:t>su</w:t>
      </w:r>
      <w:r w:rsidR="002E4D61" w:rsidRPr="001B53A8">
        <w:rPr>
          <w:lang w:val="sr-Latn-BA"/>
        </w:rPr>
        <w:t xml:space="preserve"> </w:t>
      </w:r>
      <w:r w:rsidRPr="001B53A8">
        <w:rPr>
          <w:lang w:val="sr-Latn-BA"/>
        </w:rPr>
        <w:t>potpisnice</w:t>
      </w:r>
      <w:r w:rsidR="002E4D61" w:rsidRPr="001B53A8">
        <w:rPr>
          <w:lang w:val="sr-Latn-BA"/>
        </w:rPr>
        <w:t xml:space="preserve"> IOSCO </w:t>
      </w:r>
      <w:r w:rsidRPr="001B53A8">
        <w:rPr>
          <w:lang w:val="sr-Latn-BA"/>
        </w:rPr>
        <w:t>Međunarodnog</w:t>
      </w:r>
      <w:r w:rsidR="002E4D61" w:rsidRPr="001B53A8">
        <w:rPr>
          <w:lang w:val="sr-Latn-BA"/>
        </w:rPr>
        <w:t xml:space="preserve"> </w:t>
      </w:r>
      <w:r w:rsidRPr="001B53A8">
        <w:rPr>
          <w:lang w:val="sr-Latn-BA"/>
        </w:rPr>
        <w:t>memorandum</w:t>
      </w:r>
      <w:r w:rsidR="002E4D61" w:rsidRPr="001B53A8">
        <w:rPr>
          <w:lang w:val="sr-Latn-BA"/>
        </w:rPr>
        <w:t xml:space="preserve"> </w:t>
      </w:r>
      <w:r w:rsidRPr="001B53A8">
        <w:rPr>
          <w:lang w:val="sr-Latn-BA"/>
        </w:rPr>
        <w:t>o</w:t>
      </w:r>
      <w:r w:rsidR="002E4D61" w:rsidRPr="001B53A8">
        <w:rPr>
          <w:lang w:val="sr-Latn-BA"/>
        </w:rPr>
        <w:t xml:space="preserve"> </w:t>
      </w:r>
      <w:r w:rsidRPr="001B53A8">
        <w:rPr>
          <w:lang w:val="sr-Latn-BA"/>
        </w:rPr>
        <w:t>razumijevanju</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vezi</w:t>
      </w:r>
      <w:r w:rsidR="002E4D61" w:rsidRPr="001B53A8">
        <w:rPr>
          <w:lang w:val="sr-Latn-BA"/>
        </w:rPr>
        <w:t xml:space="preserve"> </w:t>
      </w:r>
      <w:r w:rsidRPr="001B53A8">
        <w:rPr>
          <w:lang w:val="sr-Latn-BA"/>
        </w:rPr>
        <w:t>s</w:t>
      </w:r>
      <w:r w:rsidR="002E4D61" w:rsidRPr="001B53A8">
        <w:rPr>
          <w:lang w:val="sr-Latn-BA"/>
        </w:rPr>
        <w:t xml:space="preserve"> </w:t>
      </w:r>
      <w:r w:rsidRPr="001B53A8">
        <w:rPr>
          <w:lang w:val="sr-Latn-BA"/>
        </w:rPr>
        <w:t>konsultacijama</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saradnjom</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razmjenom</w:t>
      </w:r>
      <w:r w:rsidR="002E4D61" w:rsidRPr="001B53A8">
        <w:rPr>
          <w:lang w:val="sr-Latn-BA"/>
        </w:rPr>
        <w:t xml:space="preserve"> </w:t>
      </w:r>
      <w:r w:rsidRPr="001B53A8">
        <w:rPr>
          <w:lang w:val="sr-Latn-BA"/>
        </w:rPr>
        <w:t>informacija</w:t>
      </w:r>
      <w:r w:rsidR="00A92F69" w:rsidRPr="001B53A8">
        <w:rPr>
          <w:rStyle w:val="FootnoteReference"/>
          <w:lang w:val="sr-Latn-BA"/>
        </w:rPr>
        <w:footnoteReference w:id="19"/>
      </w:r>
      <w:r w:rsidR="002E4D61" w:rsidRPr="001B53A8">
        <w:rPr>
          <w:lang w:val="sr-Latn-BA"/>
        </w:rPr>
        <w:t xml:space="preserve"> </w:t>
      </w:r>
      <w:r w:rsidRPr="001B53A8">
        <w:rPr>
          <w:lang w:val="sr-Latn-BA"/>
        </w:rPr>
        <w:t>i</w:t>
      </w:r>
      <w:r w:rsidR="002E4D61" w:rsidRPr="001B53A8">
        <w:rPr>
          <w:lang w:val="sr-Latn-BA"/>
        </w:rPr>
        <w:t>/</w:t>
      </w:r>
      <w:r w:rsidRPr="001B53A8">
        <w:rPr>
          <w:lang w:val="sr-Latn-BA"/>
        </w:rPr>
        <w:t>ili</w:t>
      </w:r>
      <w:r w:rsidR="002E4D61" w:rsidRPr="001B53A8">
        <w:rPr>
          <w:i/>
          <w:lang w:val="sr-Latn-BA"/>
        </w:rPr>
        <w:t xml:space="preserve"> </w:t>
      </w:r>
      <w:r w:rsidR="002E4D61" w:rsidRPr="001B53A8">
        <w:rPr>
          <w:lang w:val="sr-Latn-BA"/>
        </w:rPr>
        <w:t>IOSCO</w:t>
      </w:r>
      <w:r w:rsidR="002E4D61" w:rsidRPr="001B53A8">
        <w:rPr>
          <w:i/>
          <w:lang w:val="sr-Latn-BA"/>
        </w:rPr>
        <w:t xml:space="preserve"> </w:t>
      </w:r>
      <w:r w:rsidRPr="001B53A8">
        <w:rPr>
          <w:lang w:val="sr-Latn-BA"/>
        </w:rPr>
        <w:t>Unaprijeđenog</w:t>
      </w:r>
      <w:r w:rsidR="002E4D61" w:rsidRPr="001B53A8">
        <w:rPr>
          <w:lang w:val="sr-Latn-BA"/>
        </w:rPr>
        <w:t xml:space="preserve"> </w:t>
      </w:r>
      <w:r w:rsidRPr="001B53A8">
        <w:rPr>
          <w:lang w:val="sr-Latn-BA"/>
        </w:rPr>
        <w:t>međunarodnog</w:t>
      </w:r>
      <w:r w:rsidR="002E4D61" w:rsidRPr="001B53A8">
        <w:rPr>
          <w:lang w:val="sr-Latn-BA"/>
        </w:rPr>
        <w:t xml:space="preserve"> </w:t>
      </w:r>
      <w:r w:rsidRPr="001B53A8">
        <w:rPr>
          <w:lang w:val="sr-Latn-BA"/>
        </w:rPr>
        <w:t>memorandum</w:t>
      </w:r>
      <w:r w:rsidR="002E4D61" w:rsidRPr="001B53A8">
        <w:rPr>
          <w:lang w:val="sr-Latn-BA"/>
        </w:rPr>
        <w:t xml:space="preserve"> </w:t>
      </w:r>
      <w:r w:rsidRPr="001B53A8">
        <w:rPr>
          <w:lang w:val="sr-Latn-BA"/>
        </w:rPr>
        <w:t>o</w:t>
      </w:r>
      <w:r w:rsidR="002E4D61" w:rsidRPr="001B53A8">
        <w:rPr>
          <w:lang w:val="sr-Latn-BA"/>
        </w:rPr>
        <w:t xml:space="preserve"> </w:t>
      </w:r>
      <w:r w:rsidRPr="001B53A8">
        <w:rPr>
          <w:lang w:val="sr-Latn-BA"/>
        </w:rPr>
        <w:t>razumijevanju</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vezi</w:t>
      </w:r>
      <w:r w:rsidR="002E4D61" w:rsidRPr="001B53A8">
        <w:rPr>
          <w:lang w:val="sr-Latn-BA"/>
        </w:rPr>
        <w:t xml:space="preserve"> </w:t>
      </w:r>
      <w:r w:rsidRPr="001B53A8">
        <w:rPr>
          <w:lang w:val="sr-Latn-BA"/>
        </w:rPr>
        <w:t>s</w:t>
      </w:r>
      <w:r w:rsidR="002E4D61" w:rsidRPr="001B53A8">
        <w:rPr>
          <w:lang w:val="sr-Latn-BA"/>
        </w:rPr>
        <w:t xml:space="preserve"> </w:t>
      </w:r>
      <w:r w:rsidRPr="001B53A8">
        <w:rPr>
          <w:lang w:val="sr-Latn-BA"/>
        </w:rPr>
        <w:t>konsultacijama</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saradnjom</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razmjenom</w:t>
      </w:r>
      <w:r w:rsidR="002E4D61" w:rsidRPr="001B53A8">
        <w:rPr>
          <w:lang w:val="sr-Latn-BA"/>
        </w:rPr>
        <w:t xml:space="preserve"> </w:t>
      </w:r>
      <w:r w:rsidRPr="001B53A8">
        <w:rPr>
          <w:lang w:val="sr-Latn-BA"/>
        </w:rPr>
        <w:t>informacija</w:t>
      </w:r>
      <w:r w:rsidR="00A92F69" w:rsidRPr="001B53A8">
        <w:rPr>
          <w:rStyle w:val="FootnoteReference"/>
          <w:lang w:val="sr-Latn-BA"/>
        </w:rPr>
        <w:footnoteReference w:id="20"/>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Prilogu</w:t>
      </w:r>
      <w:r w:rsidR="002E4D61" w:rsidRPr="001B53A8">
        <w:rPr>
          <w:lang w:val="sr-Latn-BA"/>
        </w:rPr>
        <w:t xml:space="preserve"> </w:t>
      </w:r>
      <w:r w:rsidRPr="001B53A8">
        <w:rPr>
          <w:lang w:val="sr-Latn-BA"/>
        </w:rPr>
        <w:t>A</w:t>
      </w:r>
      <w:r w:rsidR="002E4D61" w:rsidRPr="001B53A8">
        <w:rPr>
          <w:lang w:val="sr-Latn-BA"/>
        </w:rPr>
        <w:t xml:space="preserve"> </w:t>
      </w:r>
      <w:r w:rsidRPr="001B53A8">
        <w:rPr>
          <w:lang w:val="sr-Latn-BA"/>
        </w:rPr>
        <w:t>je</w:t>
      </w:r>
      <w:r w:rsidR="002E4D61" w:rsidRPr="001B53A8">
        <w:rPr>
          <w:lang w:val="sr-Latn-BA"/>
        </w:rPr>
        <w:t xml:space="preserve"> </w:t>
      </w:r>
      <w:r w:rsidRPr="001B53A8">
        <w:rPr>
          <w:lang w:val="sr-Latn-BA"/>
        </w:rPr>
        <w:t>lista</w:t>
      </w:r>
      <w:r w:rsidR="002E4D61" w:rsidRPr="001B53A8">
        <w:rPr>
          <w:lang w:val="sr-Latn-BA"/>
        </w:rPr>
        <w:t xml:space="preserve"> </w:t>
      </w:r>
      <w:r w:rsidRPr="001B53A8">
        <w:rPr>
          <w:lang w:val="sr-Latn-BA"/>
        </w:rPr>
        <w:t>ovih</w:t>
      </w:r>
      <w:r w:rsidR="002E4D61" w:rsidRPr="001B53A8">
        <w:rPr>
          <w:lang w:val="sr-Latn-BA"/>
        </w:rPr>
        <w:t xml:space="preserve"> </w:t>
      </w:r>
      <w:r w:rsidRPr="001B53A8">
        <w:rPr>
          <w:lang w:val="sr-Latn-BA"/>
        </w:rPr>
        <w:t>institucija</w:t>
      </w:r>
      <w:r w:rsidR="002E4D61" w:rsidRPr="001B53A8">
        <w:rPr>
          <w:lang w:val="sr-Latn-BA"/>
        </w:rPr>
        <w:t>/</w:t>
      </w:r>
      <w:r w:rsidRPr="001B53A8">
        <w:rPr>
          <w:lang w:val="sr-Latn-BA"/>
        </w:rPr>
        <w:t>regulatora</w:t>
      </w:r>
      <w:r w:rsidR="002E4D61" w:rsidRPr="001B53A8">
        <w:rPr>
          <w:lang w:val="sr-Latn-BA"/>
        </w:rPr>
        <w:t xml:space="preserve"> </w:t>
      </w:r>
      <w:r w:rsidRPr="001B53A8">
        <w:rPr>
          <w:lang w:val="sr-Latn-BA"/>
        </w:rPr>
        <w:t>koje</w:t>
      </w:r>
      <w:r w:rsidR="002E4D61" w:rsidRPr="001B53A8">
        <w:rPr>
          <w:lang w:val="sr-Latn-BA"/>
        </w:rPr>
        <w:t xml:space="preserve"> </w:t>
      </w:r>
      <w:r w:rsidRPr="001B53A8">
        <w:rPr>
          <w:lang w:val="sr-Latn-BA"/>
        </w:rPr>
        <w:t>pripadaju</w:t>
      </w:r>
      <w:r w:rsidR="002E4D61" w:rsidRPr="001B53A8">
        <w:rPr>
          <w:lang w:val="sr-Latn-BA"/>
        </w:rPr>
        <w:t xml:space="preserve"> </w:t>
      </w:r>
      <w:r w:rsidRPr="001B53A8">
        <w:rPr>
          <w:lang w:val="sr-Latn-BA"/>
        </w:rPr>
        <w:t>EEP</w:t>
      </w:r>
      <w:r w:rsidR="002E4D61" w:rsidRPr="001B53A8">
        <w:rPr>
          <w:lang w:val="sr-Latn-BA"/>
        </w:rPr>
        <w:t xml:space="preserve">, </w:t>
      </w:r>
      <w:r w:rsidRPr="001B53A8">
        <w:rPr>
          <w:lang w:val="sr-Latn-BA"/>
        </w:rPr>
        <w:t>dok</w:t>
      </w:r>
      <w:r w:rsidR="002E4D61" w:rsidRPr="001B53A8">
        <w:rPr>
          <w:lang w:val="sr-Latn-BA"/>
        </w:rPr>
        <w:t xml:space="preserve"> </w:t>
      </w:r>
      <w:r w:rsidRPr="001B53A8">
        <w:rPr>
          <w:lang w:val="sr-Latn-BA"/>
        </w:rPr>
        <w:t>je</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Prilogu</w:t>
      </w:r>
      <w:r w:rsidR="002E4D61" w:rsidRPr="001B53A8">
        <w:rPr>
          <w:lang w:val="sr-Latn-BA"/>
        </w:rPr>
        <w:t xml:space="preserve"> </w:t>
      </w:r>
      <w:r w:rsidRPr="001B53A8">
        <w:rPr>
          <w:lang w:val="sr-Latn-BA"/>
        </w:rPr>
        <w:t>B</w:t>
      </w:r>
      <w:r w:rsidR="002E4D61" w:rsidRPr="001B53A8">
        <w:rPr>
          <w:lang w:val="sr-Latn-BA"/>
        </w:rPr>
        <w:t xml:space="preserve"> </w:t>
      </w:r>
      <w:r w:rsidRPr="001B53A8">
        <w:rPr>
          <w:lang w:val="sr-Latn-BA"/>
        </w:rPr>
        <w:t>lista</w:t>
      </w:r>
      <w:r w:rsidR="002E4D61" w:rsidRPr="001B53A8">
        <w:rPr>
          <w:lang w:val="sr-Latn-BA"/>
        </w:rPr>
        <w:t xml:space="preserve"> </w:t>
      </w:r>
      <w:r w:rsidRPr="001B53A8">
        <w:rPr>
          <w:lang w:val="sr-Latn-BA"/>
        </w:rPr>
        <w:t>institucije</w:t>
      </w:r>
      <w:r w:rsidR="002E4D61" w:rsidRPr="001B53A8">
        <w:rPr>
          <w:lang w:val="sr-Latn-BA"/>
        </w:rPr>
        <w:t>/</w:t>
      </w:r>
      <w:r w:rsidRPr="001B53A8">
        <w:rPr>
          <w:lang w:val="sr-Latn-BA"/>
        </w:rPr>
        <w:t>regulatore</w:t>
      </w:r>
      <w:r w:rsidR="002E4D61" w:rsidRPr="001B53A8">
        <w:rPr>
          <w:lang w:val="sr-Latn-BA"/>
        </w:rPr>
        <w:t xml:space="preserve"> </w:t>
      </w:r>
      <w:r w:rsidRPr="001B53A8">
        <w:rPr>
          <w:lang w:val="sr-Latn-BA"/>
        </w:rPr>
        <w:t>izvan</w:t>
      </w:r>
      <w:r w:rsidR="002E4D61" w:rsidRPr="001B53A8">
        <w:rPr>
          <w:lang w:val="sr-Latn-BA"/>
        </w:rPr>
        <w:t xml:space="preserve"> </w:t>
      </w:r>
      <w:r w:rsidRPr="001B53A8">
        <w:rPr>
          <w:lang w:val="sr-Latn-BA"/>
        </w:rPr>
        <w:t>EEP</w:t>
      </w:r>
      <w:r w:rsidR="002E4D61" w:rsidRPr="001B53A8">
        <w:rPr>
          <w:lang w:val="sr-Latn-BA"/>
        </w:rPr>
        <w:t>.</w:t>
      </w:r>
    </w:p>
    <w:p w14:paraId="2FDAED63" w14:textId="19117160" w:rsidR="002E4D61" w:rsidRPr="001B53A8" w:rsidRDefault="00003F34" w:rsidP="006B6E0C">
      <w:pPr>
        <w:pStyle w:val="Default"/>
        <w:spacing w:before="120"/>
        <w:ind w:firstLine="567"/>
        <w:jc w:val="both"/>
        <w:rPr>
          <w:lang w:val="sr-Latn-BA"/>
        </w:rPr>
      </w:pPr>
      <w:r w:rsidRPr="001B53A8">
        <w:rPr>
          <w:lang w:val="sr-Latn-BA"/>
        </w:rPr>
        <w:t>U</w:t>
      </w:r>
      <w:r w:rsidR="002E4D61" w:rsidRPr="001B53A8">
        <w:rPr>
          <w:lang w:val="sr-Latn-BA"/>
        </w:rPr>
        <w:t xml:space="preserve"> </w:t>
      </w:r>
      <w:r w:rsidRPr="001B53A8">
        <w:rPr>
          <w:lang w:val="sr-Latn-BA"/>
        </w:rPr>
        <w:t>maju</w:t>
      </w:r>
      <w:r w:rsidR="002E4D61" w:rsidRPr="001B53A8">
        <w:rPr>
          <w:lang w:val="sr-Latn-BA"/>
        </w:rPr>
        <w:t xml:space="preserve"> 2018. </w:t>
      </w:r>
      <w:r w:rsidRPr="001B53A8">
        <w:rPr>
          <w:lang w:val="sr-Latn-BA"/>
        </w:rPr>
        <w:t>godine</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Evropskoj</w:t>
      </w:r>
      <w:r w:rsidR="002E4D61" w:rsidRPr="001B53A8">
        <w:rPr>
          <w:lang w:val="sr-Latn-BA"/>
        </w:rPr>
        <w:t xml:space="preserve"> </w:t>
      </w:r>
      <w:r w:rsidRPr="001B53A8">
        <w:rPr>
          <w:lang w:val="sr-Latn-BA"/>
        </w:rPr>
        <w:t>uniji</w:t>
      </w:r>
      <w:r w:rsidR="002E4D61" w:rsidRPr="001B53A8">
        <w:rPr>
          <w:lang w:val="sr-Latn-BA"/>
        </w:rPr>
        <w:t xml:space="preserve"> </w:t>
      </w:r>
      <w:r w:rsidRPr="001B53A8">
        <w:rPr>
          <w:lang w:val="sr-Latn-BA"/>
        </w:rPr>
        <w:t>je</w:t>
      </w:r>
      <w:r w:rsidR="002E4D61" w:rsidRPr="001B53A8">
        <w:rPr>
          <w:lang w:val="sr-Latn-BA"/>
        </w:rPr>
        <w:t xml:space="preserve"> </w:t>
      </w:r>
      <w:r w:rsidRPr="001B53A8">
        <w:rPr>
          <w:lang w:val="sr-Latn-BA"/>
        </w:rPr>
        <w:t>stupila</w:t>
      </w:r>
      <w:r w:rsidR="002E4D61" w:rsidRPr="001B53A8">
        <w:rPr>
          <w:lang w:val="sr-Latn-BA"/>
        </w:rPr>
        <w:t xml:space="preserve"> </w:t>
      </w:r>
      <w:r w:rsidRPr="001B53A8">
        <w:rPr>
          <w:lang w:val="sr-Latn-BA"/>
        </w:rPr>
        <w:t>na</w:t>
      </w:r>
      <w:r w:rsidR="002E4D61" w:rsidRPr="001B53A8">
        <w:rPr>
          <w:lang w:val="sr-Latn-BA"/>
        </w:rPr>
        <w:t xml:space="preserve"> </w:t>
      </w:r>
      <w:r w:rsidRPr="001B53A8">
        <w:rPr>
          <w:lang w:val="sr-Latn-BA"/>
        </w:rPr>
        <w:t>snagu</w:t>
      </w:r>
      <w:r w:rsidR="002E4D61" w:rsidRPr="001B53A8">
        <w:rPr>
          <w:lang w:val="sr-Latn-BA"/>
        </w:rPr>
        <w:t xml:space="preserve"> </w:t>
      </w:r>
      <w:r w:rsidRPr="001B53A8">
        <w:rPr>
          <w:lang w:val="sr-Latn-BA"/>
        </w:rPr>
        <w:t>Uredba</w:t>
      </w:r>
      <w:r w:rsidR="002E4D61" w:rsidRPr="001B53A8">
        <w:rPr>
          <w:lang w:val="sr-Latn-BA"/>
        </w:rPr>
        <w:t xml:space="preserve"> </w:t>
      </w:r>
      <w:r w:rsidRPr="001B53A8">
        <w:rPr>
          <w:lang w:val="sr-Latn-BA"/>
        </w:rPr>
        <w:t>o</w:t>
      </w:r>
      <w:r w:rsidR="002E4D61" w:rsidRPr="001B53A8">
        <w:rPr>
          <w:lang w:val="sr-Latn-BA"/>
        </w:rPr>
        <w:t xml:space="preserve"> </w:t>
      </w:r>
      <w:r w:rsidRPr="001B53A8">
        <w:rPr>
          <w:lang w:val="sr-Latn-BA"/>
        </w:rPr>
        <w:t>zaštiti</w:t>
      </w:r>
      <w:r w:rsidR="002E4D61" w:rsidRPr="001B53A8">
        <w:rPr>
          <w:lang w:val="sr-Latn-BA"/>
        </w:rPr>
        <w:t xml:space="preserve"> </w:t>
      </w:r>
      <w:r w:rsidRPr="001B53A8">
        <w:rPr>
          <w:lang w:val="sr-Latn-BA"/>
        </w:rPr>
        <w:t>ličnih</w:t>
      </w:r>
      <w:r w:rsidR="002E4D61" w:rsidRPr="001B53A8">
        <w:rPr>
          <w:lang w:val="sr-Latn-BA"/>
        </w:rPr>
        <w:t xml:space="preserve"> </w:t>
      </w:r>
      <w:r w:rsidRPr="001B53A8">
        <w:rPr>
          <w:lang w:val="sr-Latn-BA"/>
        </w:rPr>
        <w:t>podataka</w:t>
      </w:r>
      <w:r w:rsidR="002E4D61" w:rsidRPr="001B53A8">
        <w:rPr>
          <w:lang w:val="sr-Latn-BA"/>
        </w:rPr>
        <w:t xml:space="preserve"> (</w:t>
      </w:r>
      <w:r w:rsidRPr="001B53A8">
        <w:rPr>
          <w:lang w:val="sr-Latn-BA"/>
        </w:rPr>
        <w:t>eng</w:t>
      </w:r>
      <w:r w:rsidR="002E4D61" w:rsidRPr="001B53A8">
        <w:rPr>
          <w:lang w:val="sr-Latn-BA"/>
        </w:rPr>
        <w:t xml:space="preserve">. General Data Protection Regulation – GDPR). </w:t>
      </w:r>
      <w:r w:rsidRPr="001B53A8">
        <w:rPr>
          <w:lang w:val="sr-Latn-BA"/>
        </w:rPr>
        <w:t>Ova</w:t>
      </w:r>
      <w:r w:rsidR="002E4D61" w:rsidRPr="001B53A8">
        <w:rPr>
          <w:lang w:val="sr-Latn-BA"/>
        </w:rPr>
        <w:t xml:space="preserve"> </w:t>
      </w:r>
      <w:r w:rsidRPr="001B53A8">
        <w:rPr>
          <w:lang w:val="sr-Latn-BA"/>
        </w:rPr>
        <w:t>uredba</w:t>
      </w:r>
      <w:r w:rsidR="002E4D61" w:rsidRPr="001B53A8">
        <w:rPr>
          <w:lang w:val="sr-Latn-BA"/>
        </w:rPr>
        <w:t xml:space="preserve"> </w:t>
      </w:r>
      <w:r w:rsidRPr="001B53A8">
        <w:rPr>
          <w:lang w:val="sr-Latn-BA"/>
        </w:rPr>
        <w:t>može</w:t>
      </w:r>
      <w:r w:rsidR="002E4D61" w:rsidRPr="001B53A8">
        <w:rPr>
          <w:lang w:val="sr-Latn-BA"/>
        </w:rPr>
        <w:t xml:space="preserve"> </w:t>
      </w:r>
      <w:r w:rsidRPr="001B53A8">
        <w:rPr>
          <w:lang w:val="sr-Latn-BA"/>
        </w:rPr>
        <w:t>uticati</w:t>
      </w:r>
      <w:r w:rsidR="002E4D61" w:rsidRPr="001B53A8">
        <w:rPr>
          <w:lang w:val="sr-Latn-BA"/>
        </w:rPr>
        <w:t xml:space="preserve"> </w:t>
      </w:r>
      <w:r w:rsidRPr="001B53A8">
        <w:rPr>
          <w:lang w:val="sr-Latn-BA"/>
        </w:rPr>
        <w:t>na</w:t>
      </w:r>
      <w:r w:rsidR="002E4D61" w:rsidRPr="001B53A8">
        <w:rPr>
          <w:lang w:val="sr-Latn-BA"/>
        </w:rPr>
        <w:t xml:space="preserve"> </w:t>
      </w:r>
      <w:r w:rsidRPr="001B53A8">
        <w:rPr>
          <w:lang w:val="sr-Latn-BA"/>
        </w:rPr>
        <w:t>prenos</w:t>
      </w:r>
      <w:r w:rsidR="002E4D61" w:rsidRPr="001B53A8">
        <w:rPr>
          <w:lang w:val="sr-Latn-BA"/>
        </w:rPr>
        <w:t xml:space="preserve"> </w:t>
      </w:r>
      <w:r w:rsidRPr="001B53A8">
        <w:rPr>
          <w:lang w:val="sr-Latn-BA"/>
        </w:rPr>
        <w:t>ličnih</w:t>
      </w:r>
      <w:r w:rsidR="002E4D61" w:rsidRPr="001B53A8">
        <w:rPr>
          <w:lang w:val="sr-Latn-BA"/>
        </w:rPr>
        <w:t xml:space="preserve"> </w:t>
      </w:r>
      <w:r w:rsidRPr="001B53A8">
        <w:rPr>
          <w:lang w:val="sr-Latn-BA"/>
        </w:rPr>
        <w:t>podataka</w:t>
      </w:r>
      <w:r w:rsidR="002E4D61" w:rsidRPr="001B53A8">
        <w:rPr>
          <w:lang w:val="sr-Latn-BA"/>
        </w:rPr>
        <w:t xml:space="preserve"> </w:t>
      </w:r>
      <w:r w:rsidRPr="001B53A8">
        <w:rPr>
          <w:lang w:val="sr-Latn-BA"/>
        </w:rPr>
        <w:t>između</w:t>
      </w:r>
      <w:r w:rsidR="002E4D61" w:rsidRPr="001B53A8">
        <w:rPr>
          <w:lang w:val="sr-Latn-BA"/>
        </w:rPr>
        <w:t xml:space="preserve"> IOSCO </w:t>
      </w:r>
      <w:r w:rsidRPr="001B53A8">
        <w:rPr>
          <w:lang w:val="sr-Latn-BA"/>
        </w:rPr>
        <w:t>članica</w:t>
      </w:r>
      <w:r w:rsidR="002E4D61" w:rsidRPr="001B53A8">
        <w:rPr>
          <w:lang w:val="sr-Latn-BA"/>
        </w:rPr>
        <w:t xml:space="preserve"> </w:t>
      </w:r>
      <w:r w:rsidRPr="001B53A8">
        <w:rPr>
          <w:lang w:val="sr-Latn-BA"/>
        </w:rPr>
        <w:t>koje</w:t>
      </w:r>
      <w:r w:rsidR="002E4D61" w:rsidRPr="001B53A8">
        <w:rPr>
          <w:lang w:val="sr-Latn-BA"/>
        </w:rPr>
        <w:t xml:space="preserve"> </w:t>
      </w:r>
      <w:r w:rsidRPr="001B53A8">
        <w:rPr>
          <w:lang w:val="sr-Latn-BA"/>
        </w:rPr>
        <w:t>su</w:t>
      </w:r>
      <w:r w:rsidR="002E4D61" w:rsidRPr="001B53A8">
        <w:rPr>
          <w:lang w:val="sr-Latn-BA"/>
        </w:rPr>
        <w:t xml:space="preserve"> </w:t>
      </w:r>
      <w:r w:rsidRPr="001B53A8">
        <w:rPr>
          <w:lang w:val="sr-Latn-BA"/>
        </w:rPr>
        <w:t>iz</w:t>
      </w:r>
      <w:r w:rsidR="002E4D61" w:rsidRPr="001B53A8">
        <w:rPr>
          <w:lang w:val="sr-Latn-BA"/>
        </w:rPr>
        <w:t xml:space="preserve"> </w:t>
      </w:r>
      <w:r w:rsidRPr="001B53A8">
        <w:rPr>
          <w:lang w:val="sr-Latn-BA"/>
        </w:rPr>
        <w:t>EEP</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koje</w:t>
      </w:r>
      <w:r w:rsidR="002E4D61" w:rsidRPr="001B53A8">
        <w:rPr>
          <w:lang w:val="sr-Latn-BA"/>
        </w:rPr>
        <w:t xml:space="preserve"> </w:t>
      </w:r>
      <w:r w:rsidRPr="001B53A8">
        <w:rPr>
          <w:lang w:val="sr-Latn-BA"/>
        </w:rPr>
        <w:t>ne</w:t>
      </w:r>
      <w:r w:rsidR="002E4D61" w:rsidRPr="001B53A8">
        <w:rPr>
          <w:lang w:val="sr-Latn-BA"/>
        </w:rPr>
        <w:t xml:space="preserve"> </w:t>
      </w:r>
      <w:r w:rsidRPr="001B53A8">
        <w:rPr>
          <w:lang w:val="sr-Latn-BA"/>
        </w:rPr>
        <w:t>pripadaju</w:t>
      </w:r>
      <w:r w:rsidR="002E4D61" w:rsidRPr="001B53A8">
        <w:rPr>
          <w:lang w:val="sr-Latn-BA"/>
        </w:rPr>
        <w:t xml:space="preserve"> </w:t>
      </w:r>
      <w:r w:rsidRPr="001B53A8">
        <w:rPr>
          <w:lang w:val="sr-Latn-BA"/>
        </w:rPr>
        <w:t>EEP</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potencijalno</w:t>
      </w:r>
      <w:r w:rsidR="002E4D61" w:rsidRPr="001B53A8">
        <w:rPr>
          <w:lang w:val="sr-Latn-BA"/>
        </w:rPr>
        <w:t xml:space="preserve"> </w:t>
      </w:r>
      <w:r w:rsidRPr="001B53A8">
        <w:rPr>
          <w:lang w:val="sr-Latn-BA"/>
        </w:rPr>
        <w:t>ometa</w:t>
      </w:r>
      <w:r w:rsidR="002E4D61" w:rsidRPr="001B53A8">
        <w:rPr>
          <w:lang w:val="sr-Latn-BA"/>
        </w:rPr>
        <w:t xml:space="preserve"> </w:t>
      </w:r>
      <w:r w:rsidRPr="001B53A8">
        <w:rPr>
          <w:lang w:val="sr-Latn-BA"/>
        </w:rPr>
        <w:t>razmjenu</w:t>
      </w:r>
      <w:r w:rsidR="002E4D61" w:rsidRPr="001B53A8">
        <w:rPr>
          <w:lang w:val="sr-Latn-BA"/>
        </w:rPr>
        <w:t xml:space="preserve"> </w:t>
      </w:r>
      <w:r w:rsidRPr="001B53A8">
        <w:rPr>
          <w:lang w:val="sr-Latn-BA"/>
        </w:rPr>
        <w:t>informacija</w:t>
      </w:r>
      <w:r w:rsidR="002E4D61" w:rsidRPr="001B53A8">
        <w:rPr>
          <w:lang w:val="sr-Latn-BA"/>
        </w:rPr>
        <w:t xml:space="preserve"> </w:t>
      </w:r>
      <w:r w:rsidRPr="001B53A8">
        <w:rPr>
          <w:lang w:val="sr-Latn-BA"/>
        </w:rPr>
        <w:t>između</w:t>
      </w:r>
      <w:r w:rsidR="002E4D61" w:rsidRPr="001B53A8">
        <w:rPr>
          <w:lang w:val="sr-Latn-BA"/>
        </w:rPr>
        <w:t xml:space="preserve"> </w:t>
      </w:r>
      <w:r w:rsidRPr="001B53A8">
        <w:rPr>
          <w:lang w:val="sr-Latn-BA"/>
        </w:rPr>
        <w:t>potpisnica</w:t>
      </w:r>
      <w:r w:rsidR="002E4D61" w:rsidRPr="001B53A8">
        <w:rPr>
          <w:lang w:val="sr-Latn-BA"/>
        </w:rPr>
        <w:t xml:space="preserve"> IOSCO MMoU </w:t>
      </w:r>
      <w:r w:rsidRPr="001B53A8">
        <w:rPr>
          <w:lang w:val="sr-Latn-BA"/>
        </w:rPr>
        <w:t>i</w:t>
      </w:r>
      <w:r w:rsidR="002E4D61" w:rsidRPr="001B53A8">
        <w:rPr>
          <w:lang w:val="sr-Latn-BA"/>
        </w:rPr>
        <w:t xml:space="preserve"> EMMoU. </w:t>
      </w:r>
      <w:r w:rsidRPr="001B53A8">
        <w:rPr>
          <w:lang w:val="sr-Latn-BA"/>
        </w:rPr>
        <w:t>Jedan</w:t>
      </w:r>
      <w:r w:rsidR="002E4D61" w:rsidRPr="001B53A8">
        <w:rPr>
          <w:lang w:val="sr-Latn-BA"/>
        </w:rPr>
        <w:t xml:space="preserve"> </w:t>
      </w:r>
      <w:r w:rsidRPr="001B53A8">
        <w:rPr>
          <w:lang w:val="sr-Latn-BA"/>
        </w:rPr>
        <w:t>mehanizam</w:t>
      </w:r>
      <w:r w:rsidR="002E4D61" w:rsidRPr="001B53A8">
        <w:rPr>
          <w:lang w:val="sr-Latn-BA"/>
        </w:rPr>
        <w:t xml:space="preserve"> </w:t>
      </w:r>
      <w:r w:rsidRPr="001B53A8">
        <w:rPr>
          <w:lang w:val="sr-Latn-BA"/>
        </w:rPr>
        <w:t>pod</w:t>
      </w:r>
      <w:r w:rsidR="002E4D61" w:rsidRPr="001B53A8">
        <w:rPr>
          <w:lang w:val="sr-Latn-BA"/>
        </w:rPr>
        <w:t xml:space="preserve"> GDPR </w:t>
      </w:r>
      <w:r w:rsidRPr="001B53A8">
        <w:rPr>
          <w:lang w:val="sr-Latn-BA"/>
        </w:rPr>
        <w:t>za</w:t>
      </w:r>
      <w:r w:rsidR="002E4D61" w:rsidRPr="001B53A8">
        <w:rPr>
          <w:lang w:val="sr-Latn-BA"/>
        </w:rPr>
        <w:t xml:space="preserve"> </w:t>
      </w:r>
      <w:r w:rsidRPr="001B53A8">
        <w:rPr>
          <w:lang w:val="sr-Latn-BA"/>
        </w:rPr>
        <w:t>prenos</w:t>
      </w:r>
      <w:r w:rsidR="002E4D61" w:rsidRPr="001B53A8">
        <w:rPr>
          <w:lang w:val="sr-Latn-BA"/>
        </w:rPr>
        <w:t xml:space="preserve"> </w:t>
      </w:r>
      <w:r w:rsidRPr="001B53A8">
        <w:rPr>
          <w:lang w:val="sr-Latn-BA"/>
        </w:rPr>
        <w:t>ličnih</w:t>
      </w:r>
      <w:r w:rsidR="002E4D61" w:rsidRPr="001B53A8">
        <w:rPr>
          <w:lang w:val="sr-Latn-BA"/>
        </w:rPr>
        <w:t xml:space="preserve"> </w:t>
      </w:r>
      <w:r w:rsidRPr="001B53A8">
        <w:rPr>
          <w:lang w:val="sr-Latn-BA"/>
        </w:rPr>
        <w:t>podataka</w:t>
      </w:r>
      <w:r w:rsidR="002E4D61" w:rsidRPr="001B53A8">
        <w:rPr>
          <w:lang w:val="sr-Latn-BA"/>
        </w:rPr>
        <w:t xml:space="preserve"> </w:t>
      </w:r>
      <w:r w:rsidRPr="001B53A8">
        <w:rPr>
          <w:lang w:val="sr-Latn-BA"/>
        </w:rPr>
        <w:t>izvan</w:t>
      </w:r>
      <w:r w:rsidR="002E4D61" w:rsidRPr="001B53A8">
        <w:rPr>
          <w:lang w:val="sr-Latn-BA"/>
        </w:rPr>
        <w:t xml:space="preserve"> </w:t>
      </w:r>
      <w:r w:rsidRPr="001B53A8">
        <w:rPr>
          <w:lang w:val="sr-Latn-BA"/>
        </w:rPr>
        <w:t>zone</w:t>
      </w:r>
      <w:r w:rsidR="002E4D61" w:rsidRPr="001B53A8">
        <w:rPr>
          <w:lang w:val="sr-Latn-BA"/>
        </w:rPr>
        <w:t xml:space="preserve"> </w:t>
      </w:r>
      <w:r w:rsidRPr="001B53A8">
        <w:rPr>
          <w:lang w:val="sr-Latn-BA"/>
        </w:rPr>
        <w:t>EEP</w:t>
      </w:r>
      <w:r w:rsidR="002E4D61" w:rsidRPr="001B53A8">
        <w:rPr>
          <w:lang w:val="sr-Latn-BA"/>
        </w:rPr>
        <w:t xml:space="preserve"> </w:t>
      </w:r>
      <w:r w:rsidRPr="001B53A8">
        <w:rPr>
          <w:lang w:val="sr-Latn-BA"/>
        </w:rPr>
        <w:t>je</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ovaj</w:t>
      </w:r>
      <w:r w:rsidR="002E4D61" w:rsidRPr="001B53A8">
        <w:rPr>
          <w:lang w:val="sr-Latn-BA"/>
        </w:rPr>
        <w:t xml:space="preserve"> </w:t>
      </w:r>
      <w:r w:rsidRPr="001B53A8">
        <w:rPr>
          <w:lang w:val="sr-Latn-BA"/>
        </w:rPr>
        <w:t>administrativni</w:t>
      </w:r>
      <w:r w:rsidR="002E4D61" w:rsidRPr="001B53A8">
        <w:rPr>
          <w:lang w:val="sr-Latn-BA"/>
        </w:rPr>
        <w:t xml:space="preserve"> </w:t>
      </w:r>
      <w:r w:rsidRPr="001B53A8">
        <w:rPr>
          <w:lang w:val="sr-Latn-BA"/>
        </w:rPr>
        <w:t>sporazum</w:t>
      </w:r>
      <w:r w:rsidR="002E4D61" w:rsidRPr="001B53A8">
        <w:rPr>
          <w:lang w:val="sr-Latn-BA"/>
        </w:rPr>
        <w:t xml:space="preserve"> </w:t>
      </w:r>
      <w:r w:rsidRPr="001B53A8">
        <w:rPr>
          <w:lang w:val="sr-Latn-BA"/>
        </w:rPr>
        <w:t>sa</w:t>
      </w:r>
      <w:r w:rsidR="002E4D61" w:rsidRPr="001B53A8">
        <w:rPr>
          <w:lang w:val="sr-Latn-BA"/>
        </w:rPr>
        <w:t xml:space="preserve"> </w:t>
      </w:r>
      <w:r w:rsidRPr="001B53A8">
        <w:rPr>
          <w:lang w:val="sr-Latn-BA"/>
        </w:rPr>
        <w:t>odgovarajućim</w:t>
      </w:r>
      <w:r w:rsidR="002E4D61" w:rsidRPr="001B53A8">
        <w:rPr>
          <w:lang w:val="sr-Latn-BA"/>
        </w:rPr>
        <w:t xml:space="preserve"> </w:t>
      </w:r>
      <w:r w:rsidRPr="001B53A8">
        <w:rPr>
          <w:lang w:val="sr-Latn-BA"/>
        </w:rPr>
        <w:t>zaštitnim</w:t>
      </w:r>
      <w:r w:rsidR="002E4D61" w:rsidRPr="001B53A8">
        <w:rPr>
          <w:lang w:val="sr-Latn-BA"/>
        </w:rPr>
        <w:t xml:space="preserve"> </w:t>
      </w:r>
      <w:r w:rsidRPr="001B53A8">
        <w:rPr>
          <w:lang w:val="sr-Latn-BA"/>
        </w:rPr>
        <w:t>mehanizmom</w:t>
      </w:r>
      <w:r w:rsidR="002E4D61" w:rsidRPr="001B53A8">
        <w:rPr>
          <w:lang w:val="sr-Latn-BA"/>
        </w:rPr>
        <w:t>.</w:t>
      </w:r>
    </w:p>
    <w:p w14:paraId="7CD1B060" w14:textId="293506AF" w:rsidR="002E4D61" w:rsidRPr="001B53A8" w:rsidRDefault="00003F34" w:rsidP="006B6E0C">
      <w:pPr>
        <w:pStyle w:val="Default"/>
        <w:spacing w:before="120"/>
        <w:ind w:firstLine="567"/>
        <w:jc w:val="both"/>
        <w:rPr>
          <w:lang w:val="sr-Latn-BA"/>
        </w:rPr>
      </w:pPr>
      <w:r w:rsidRPr="001B53A8">
        <w:rPr>
          <w:lang w:val="sr-Latn-BA"/>
        </w:rPr>
        <w:t>Ovaj</w:t>
      </w:r>
      <w:r w:rsidR="002E4D61" w:rsidRPr="001B53A8">
        <w:rPr>
          <w:lang w:val="sr-Latn-BA"/>
        </w:rPr>
        <w:t xml:space="preserve"> </w:t>
      </w:r>
      <w:r w:rsidRPr="001B53A8">
        <w:rPr>
          <w:lang w:val="sr-Latn-BA"/>
        </w:rPr>
        <w:t>administrativni</w:t>
      </w:r>
      <w:r w:rsidR="002E4D61" w:rsidRPr="001B53A8">
        <w:rPr>
          <w:lang w:val="sr-Latn-BA"/>
        </w:rPr>
        <w:t xml:space="preserve"> </w:t>
      </w:r>
      <w:r w:rsidRPr="001B53A8">
        <w:rPr>
          <w:lang w:val="sr-Latn-BA"/>
        </w:rPr>
        <w:t>sporazum</w:t>
      </w:r>
      <w:r w:rsidR="002E4D61" w:rsidRPr="001B53A8">
        <w:rPr>
          <w:lang w:val="sr-Latn-BA"/>
        </w:rPr>
        <w:t xml:space="preserve"> </w:t>
      </w:r>
      <w:r w:rsidRPr="001B53A8">
        <w:rPr>
          <w:lang w:val="sr-Latn-BA"/>
        </w:rPr>
        <w:t>je</w:t>
      </w:r>
      <w:r w:rsidR="002E4D61" w:rsidRPr="001B53A8">
        <w:rPr>
          <w:lang w:val="sr-Latn-BA"/>
        </w:rPr>
        <w:t xml:space="preserve"> </w:t>
      </w:r>
      <w:r w:rsidRPr="001B53A8">
        <w:rPr>
          <w:lang w:val="sr-Latn-BA"/>
        </w:rPr>
        <w:t>ograničen</w:t>
      </w:r>
      <w:r w:rsidR="002E4D61" w:rsidRPr="001B53A8">
        <w:rPr>
          <w:lang w:val="sr-Latn-BA"/>
        </w:rPr>
        <w:t xml:space="preserve"> </w:t>
      </w:r>
      <w:r w:rsidRPr="001B53A8">
        <w:rPr>
          <w:lang w:val="sr-Latn-BA"/>
        </w:rPr>
        <w:t>na</w:t>
      </w:r>
      <w:r w:rsidR="002E4D61" w:rsidRPr="001B53A8">
        <w:rPr>
          <w:lang w:val="sr-Latn-BA"/>
        </w:rPr>
        <w:t xml:space="preserve"> </w:t>
      </w:r>
      <w:r w:rsidRPr="001B53A8">
        <w:rPr>
          <w:lang w:val="sr-Latn-BA"/>
        </w:rPr>
        <w:t>prenos</w:t>
      </w:r>
      <w:r w:rsidR="002E4D61" w:rsidRPr="001B53A8">
        <w:rPr>
          <w:lang w:val="sr-Latn-BA"/>
        </w:rPr>
        <w:t xml:space="preserve"> </w:t>
      </w:r>
      <w:r w:rsidRPr="001B53A8">
        <w:rPr>
          <w:lang w:val="sr-Latn-BA"/>
        </w:rPr>
        <w:t>ličnih</w:t>
      </w:r>
      <w:r w:rsidR="002E4D61" w:rsidRPr="001B53A8">
        <w:rPr>
          <w:lang w:val="sr-Latn-BA"/>
        </w:rPr>
        <w:t xml:space="preserve"> </w:t>
      </w:r>
      <w:r w:rsidRPr="001B53A8">
        <w:rPr>
          <w:lang w:val="sr-Latn-BA"/>
        </w:rPr>
        <w:t>podataka</w:t>
      </w:r>
      <w:r w:rsidR="002E4D61" w:rsidRPr="001B53A8">
        <w:rPr>
          <w:lang w:val="sr-Latn-BA"/>
        </w:rPr>
        <w:t xml:space="preserve"> </w:t>
      </w:r>
      <w:r w:rsidRPr="001B53A8">
        <w:rPr>
          <w:lang w:val="sr-Latn-BA"/>
        </w:rPr>
        <w:t>između</w:t>
      </w:r>
      <w:r w:rsidR="002E4D61" w:rsidRPr="001B53A8">
        <w:rPr>
          <w:lang w:val="sr-Latn-BA"/>
        </w:rPr>
        <w:t xml:space="preserve"> </w:t>
      </w:r>
      <w:r w:rsidRPr="001B53A8">
        <w:rPr>
          <w:lang w:val="sr-Latn-BA"/>
        </w:rPr>
        <w:t>nadležnih</w:t>
      </w:r>
      <w:r w:rsidR="002E4D61" w:rsidRPr="001B53A8">
        <w:rPr>
          <w:lang w:val="sr-Latn-BA"/>
        </w:rPr>
        <w:t xml:space="preserve"> </w:t>
      </w:r>
      <w:r w:rsidRPr="001B53A8">
        <w:rPr>
          <w:lang w:val="sr-Latn-BA"/>
        </w:rPr>
        <w:t>organa</w:t>
      </w:r>
      <w:r w:rsidR="002E4D61" w:rsidRPr="001B53A8">
        <w:rPr>
          <w:lang w:val="sr-Latn-BA"/>
        </w:rPr>
        <w:t xml:space="preserve"> </w:t>
      </w:r>
      <w:r w:rsidRPr="001B53A8">
        <w:rPr>
          <w:lang w:val="sr-Latn-BA"/>
        </w:rPr>
        <w:t>EEP</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nadležnih</w:t>
      </w:r>
      <w:r w:rsidR="002E4D61" w:rsidRPr="001B53A8">
        <w:rPr>
          <w:lang w:val="sr-Latn-BA"/>
        </w:rPr>
        <w:t xml:space="preserve"> </w:t>
      </w:r>
      <w:r w:rsidRPr="001B53A8">
        <w:rPr>
          <w:lang w:val="sr-Latn-BA"/>
        </w:rPr>
        <w:t>organa</w:t>
      </w:r>
      <w:r w:rsidR="002E4D61" w:rsidRPr="001B53A8">
        <w:rPr>
          <w:lang w:val="sr-Latn-BA"/>
        </w:rPr>
        <w:t xml:space="preserve"> </w:t>
      </w:r>
      <w:r w:rsidRPr="001B53A8">
        <w:rPr>
          <w:lang w:val="sr-Latn-BA"/>
        </w:rPr>
        <w:t>van</w:t>
      </w:r>
      <w:r w:rsidR="002E4D61" w:rsidRPr="001B53A8">
        <w:rPr>
          <w:lang w:val="sr-Latn-BA"/>
        </w:rPr>
        <w:t xml:space="preserve"> </w:t>
      </w:r>
      <w:r w:rsidRPr="001B53A8">
        <w:rPr>
          <w:lang w:val="sr-Latn-BA"/>
        </w:rPr>
        <w:t>EEP</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njihovom</w:t>
      </w:r>
      <w:r w:rsidR="002E4D61" w:rsidRPr="001B53A8">
        <w:rPr>
          <w:lang w:val="sr-Latn-BA"/>
        </w:rPr>
        <w:t xml:space="preserve"> </w:t>
      </w:r>
      <w:r w:rsidRPr="001B53A8">
        <w:rPr>
          <w:lang w:val="sr-Latn-BA"/>
        </w:rPr>
        <w:t>svojstvu</w:t>
      </w:r>
      <w:r w:rsidR="002E4D61" w:rsidRPr="001B53A8">
        <w:rPr>
          <w:lang w:val="sr-Latn-BA"/>
        </w:rPr>
        <w:t xml:space="preserve"> </w:t>
      </w:r>
      <w:r w:rsidRPr="001B53A8">
        <w:rPr>
          <w:lang w:val="sr-Latn-BA"/>
        </w:rPr>
        <w:t>organa</w:t>
      </w:r>
      <w:r w:rsidR="002E4D61" w:rsidRPr="001B53A8">
        <w:rPr>
          <w:lang w:val="sr-Latn-BA"/>
        </w:rPr>
        <w:t xml:space="preserve"> </w:t>
      </w:r>
      <w:r w:rsidRPr="001B53A8">
        <w:rPr>
          <w:lang w:val="sr-Latn-BA"/>
        </w:rPr>
        <w:t>javne</w:t>
      </w:r>
      <w:r w:rsidR="002E4D61" w:rsidRPr="001B53A8">
        <w:rPr>
          <w:lang w:val="sr-Latn-BA"/>
        </w:rPr>
        <w:t xml:space="preserve"> </w:t>
      </w:r>
      <w:r w:rsidRPr="001B53A8">
        <w:rPr>
          <w:lang w:val="sr-Latn-BA"/>
        </w:rPr>
        <w:t>vlasti</w:t>
      </w:r>
      <w:r w:rsidR="002E4D61" w:rsidRPr="001B53A8">
        <w:rPr>
          <w:lang w:val="sr-Latn-BA"/>
        </w:rPr>
        <w:t xml:space="preserve">, </w:t>
      </w:r>
      <w:r w:rsidRPr="001B53A8">
        <w:rPr>
          <w:lang w:val="sr-Latn-BA"/>
        </w:rPr>
        <w:t>regulatora</w:t>
      </w:r>
      <w:r w:rsidR="002E4D61" w:rsidRPr="001B53A8">
        <w:rPr>
          <w:lang w:val="sr-Latn-BA"/>
        </w:rPr>
        <w:t xml:space="preserve"> </w:t>
      </w:r>
      <w:r w:rsidRPr="001B53A8">
        <w:rPr>
          <w:lang w:val="sr-Latn-BA"/>
        </w:rPr>
        <w:t>i</w:t>
      </w:r>
      <w:r w:rsidR="002E4D61" w:rsidRPr="001B53A8">
        <w:rPr>
          <w:lang w:val="sr-Latn-BA"/>
        </w:rPr>
        <w:t>/</w:t>
      </w:r>
      <w:r w:rsidRPr="001B53A8">
        <w:rPr>
          <w:lang w:val="sr-Latn-BA"/>
        </w:rPr>
        <w:t>ili</w:t>
      </w:r>
      <w:r w:rsidR="002E4D61" w:rsidRPr="001B53A8">
        <w:rPr>
          <w:lang w:val="sr-Latn-BA"/>
        </w:rPr>
        <w:t xml:space="preserve"> </w:t>
      </w:r>
      <w:r w:rsidRPr="001B53A8">
        <w:rPr>
          <w:lang w:val="sr-Latn-BA"/>
        </w:rPr>
        <w:t>nadzornih</w:t>
      </w:r>
      <w:r w:rsidR="002E4D61" w:rsidRPr="001B53A8">
        <w:rPr>
          <w:lang w:val="sr-Latn-BA"/>
        </w:rPr>
        <w:t xml:space="preserve"> </w:t>
      </w:r>
      <w:r w:rsidRPr="001B53A8">
        <w:rPr>
          <w:lang w:val="sr-Latn-BA"/>
        </w:rPr>
        <w:t>organa</w:t>
      </w:r>
      <w:r w:rsidR="002E4D61" w:rsidRPr="001B53A8">
        <w:rPr>
          <w:lang w:val="sr-Latn-BA"/>
        </w:rPr>
        <w:t xml:space="preserve"> </w:t>
      </w:r>
      <w:r w:rsidRPr="001B53A8">
        <w:rPr>
          <w:lang w:val="sr-Latn-BA"/>
        </w:rPr>
        <w:t>tržišta</w:t>
      </w:r>
      <w:r w:rsidR="002E4D61" w:rsidRPr="001B53A8">
        <w:rPr>
          <w:lang w:val="sr-Latn-BA"/>
        </w:rPr>
        <w:t xml:space="preserve"> </w:t>
      </w:r>
      <w:r w:rsidRPr="001B53A8">
        <w:rPr>
          <w:lang w:val="sr-Latn-BA"/>
        </w:rPr>
        <w:t>hartija</w:t>
      </w:r>
      <w:r w:rsidR="002E4D61" w:rsidRPr="001B53A8">
        <w:rPr>
          <w:lang w:val="sr-Latn-BA"/>
        </w:rPr>
        <w:t xml:space="preserve"> </w:t>
      </w:r>
      <w:r w:rsidRPr="001B53A8">
        <w:rPr>
          <w:lang w:val="sr-Latn-BA"/>
        </w:rPr>
        <w:t>od</w:t>
      </w:r>
      <w:r w:rsidR="002E4D61" w:rsidRPr="001B53A8">
        <w:rPr>
          <w:lang w:val="sr-Latn-BA"/>
        </w:rPr>
        <w:t xml:space="preserve"> </w:t>
      </w:r>
      <w:r w:rsidRPr="001B53A8">
        <w:rPr>
          <w:lang w:val="sr-Latn-BA"/>
        </w:rPr>
        <w:t>vrijednosti</w:t>
      </w:r>
      <w:r w:rsidR="002E4D61" w:rsidRPr="001B53A8">
        <w:rPr>
          <w:lang w:val="sr-Latn-BA"/>
        </w:rPr>
        <w:t xml:space="preserve"> </w:t>
      </w:r>
      <w:r w:rsidRPr="001B53A8">
        <w:rPr>
          <w:lang w:val="sr-Latn-BA"/>
        </w:rPr>
        <w:t>i</w:t>
      </w:r>
      <w:r w:rsidR="002E4D61" w:rsidRPr="001B53A8">
        <w:rPr>
          <w:lang w:val="sr-Latn-BA"/>
        </w:rPr>
        <w:t>/</w:t>
      </w:r>
      <w:r w:rsidRPr="001B53A8">
        <w:rPr>
          <w:lang w:val="sr-Latn-BA"/>
        </w:rPr>
        <w:t>ili</w:t>
      </w:r>
      <w:r w:rsidR="002E4D61" w:rsidRPr="001B53A8">
        <w:rPr>
          <w:lang w:val="sr-Latn-BA"/>
        </w:rPr>
        <w:t xml:space="preserve"> </w:t>
      </w:r>
      <w:r w:rsidRPr="001B53A8">
        <w:rPr>
          <w:lang w:val="sr-Latn-BA"/>
        </w:rPr>
        <w:t>derivata</w:t>
      </w:r>
      <w:r w:rsidR="002E4D61" w:rsidRPr="001B53A8">
        <w:rPr>
          <w:lang w:val="sr-Latn-BA"/>
        </w:rPr>
        <w:t xml:space="preserve">. </w:t>
      </w:r>
      <w:r w:rsidRPr="001B53A8">
        <w:rPr>
          <w:lang w:val="sr-Latn-BA"/>
        </w:rPr>
        <w:t>Nadležni</w:t>
      </w:r>
      <w:r w:rsidR="002E4D61" w:rsidRPr="001B53A8">
        <w:rPr>
          <w:lang w:val="sr-Latn-BA"/>
        </w:rPr>
        <w:t xml:space="preserve"> </w:t>
      </w:r>
      <w:r w:rsidRPr="001B53A8">
        <w:rPr>
          <w:lang w:val="sr-Latn-BA"/>
        </w:rPr>
        <w:t>organi</w:t>
      </w:r>
      <w:r w:rsidR="002E4D61" w:rsidRPr="001B53A8">
        <w:rPr>
          <w:lang w:val="sr-Latn-BA"/>
        </w:rPr>
        <w:t xml:space="preserve"> </w:t>
      </w:r>
      <w:r w:rsidRPr="001B53A8">
        <w:rPr>
          <w:lang w:val="sr-Latn-BA"/>
        </w:rPr>
        <w:t>se</w:t>
      </w:r>
      <w:r w:rsidR="002E4D61" w:rsidRPr="001B53A8">
        <w:rPr>
          <w:lang w:val="sr-Latn-BA"/>
        </w:rPr>
        <w:t xml:space="preserve"> </w:t>
      </w:r>
      <w:r w:rsidRPr="001B53A8">
        <w:rPr>
          <w:lang w:val="sr-Latn-BA"/>
        </w:rPr>
        <w:t>obavezuju</w:t>
      </w:r>
      <w:r w:rsidR="002E4D61" w:rsidRPr="001B53A8">
        <w:rPr>
          <w:lang w:val="sr-Latn-BA"/>
        </w:rPr>
        <w:t xml:space="preserve"> </w:t>
      </w:r>
      <w:r w:rsidRPr="001B53A8">
        <w:rPr>
          <w:lang w:val="sr-Latn-BA"/>
        </w:rPr>
        <w:t>na</w:t>
      </w:r>
      <w:r w:rsidR="002E4D61" w:rsidRPr="001B53A8">
        <w:rPr>
          <w:lang w:val="sr-Latn-BA"/>
        </w:rPr>
        <w:t xml:space="preserve"> </w:t>
      </w:r>
      <w:r w:rsidRPr="001B53A8">
        <w:rPr>
          <w:lang w:val="sr-Latn-BA"/>
        </w:rPr>
        <w:t>uspostavlјanje</w:t>
      </w:r>
      <w:r w:rsidR="002E4D61" w:rsidRPr="001B53A8">
        <w:rPr>
          <w:lang w:val="sr-Latn-BA"/>
        </w:rPr>
        <w:t xml:space="preserve"> </w:t>
      </w:r>
      <w:r w:rsidRPr="001B53A8">
        <w:rPr>
          <w:lang w:val="sr-Latn-BA"/>
        </w:rPr>
        <w:t>odgovarajućih</w:t>
      </w:r>
      <w:r w:rsidR="002E4D61" w:rsidRPr="001B53A8">
        <w:rPr>
          <w:lang w:val="sr-Latn-BA"/>
        </w:rPr>
        <w:t xml:space="preserve"> </w:t>
      </w:r>
      <w:r w:rsidRPr="001B53A8">
        <w:rPr>
          <w:lang w:val="sr-Latn-BA"/>
        </w:rPr>
        <w:t>zaštitnih</w:t>
      </w:r>
      <w:r w:rsidR="002E4D61" w:rsidRPr="001B53A8">
        <w:rPr>
          <w:lang w:val="sr-Latn-BA"/>
        </w:rPr>
        <w:t xml:space="preserve"> </w:t>
      </w:r>
      <w:r w:rsidRPr="001B53A8">
        <w:rPr>
          <w:lang w:val="sr-Latn-BA"/>
        </w:rPr>
        <w:t>mjera</w:t>
      </w:r>
      <w:r w:rsidR="002E4D61" w:rsidRPr="001B53A8">
        <w:rPr>
          <w:lang w:val="sr-Latn-BA"/>
        </w:rPr>
        <w:t xml:space="preserve"> </w:t>
      </w:r>
      <w:r w:rsidRPr="001B53A8">
        <w:rPr>
          <w:lang w:val="sr-Latn-BA"/>
        </w:rPr>
        <w:t>obrade</w:t>
      </w:r>
      <w:r w:rsidR="002E4D61" w:rsidRPr="001B53A8">
        <w:rPr>
          <w:lang w:val="sr-Latn-BA"/>
        </w:rPr>
        <w:t xml:space="preserve"> </w:t>
      </w:r>
      <w:r w:rsidRPr="001B53A8">
        <w:rPr>
          <w:lang w:val="sr-Latn-BA"/>
        </w:rPr>
        <w:t>takvih</w:t>
      </w:r>
      <w:r w:rsidR="002E4D61" w:rsidRPr="001B53A8">
        <w:rPr>
          <w:lang w:val="sr-Latn-BA"/>
        </w:rPr>
        <w:t xml:space="preserve"> </w:t>
      </w:r>
      <w:r w:rsidRPr="001B53A8">
        <w:rPr>
          <w:lang w:val="sr-Latn-BA"/>
        </w:rPr>
        <w:t>ličnih</w:t>
      </w:r>
      <w:r w:rsidR="002E4D61" w:rsidRPr="001B53A8">
        <w:rPr>
          <w:lang w:val="sr-Latn-BA"/>
        </w:rPr>
        <w:t xml:space="preserve"> </w:t>
      </w:r>
      <w:r w:rsidRPr="001B53A8">
        <w:rPr>
          <w:lang w:val="sr-Latn-BA"/>
        </w:rPr>
        <w:t>podataka</w:t>
      </w:r>
      <w:r w:rsidR="002E4D61" w:rsidRPr="001B53A8">
        <w:rPr>
          <w:lang w:val="sr-Latn-BA"/>
        </w:rPr>
        <w:t xml:space="preserve"> </w:t>
      </w:r>
      <w:r w:rsidRPr="001B53A8">
        <w:rPr>
          <w:lang w:val="sr-Latn-BA"/>
        </w:rPr>
        <w:t>prilikom</w:t>
      </w:r>
      <w:r w:rsidR="002E4D61" w:rsidRPr="001B53A8">
        <w:rPr>
          <w:lang w:val="sr-Latn-BA"/>
        </w:rPr>
        <w:t xml:space="preserve"> </w:t>
      </w:r>
      <w:r w:rsidRPr="001B53A8">
        <w:rPr>
          <w:lang w:val="sr-Latn-BA"/>
        </w:rPr>
        <w:t>izvršavanja</w:t>
      </w:r>
      <w:r w:rsidR="002E4D61" w:rsidRPr="001B53A8">
        <w:rPr>
          <w:lang w:val="sr-Latn-BA"/>
        </w:rPr>
        <w:t xml:space="preserve"> </w:t>
      </w:r>
      <w:r w:rsidRPr="001B53A8">
        <w:rPr>
          <w:lang w:val="sr-Latn-BA"/>
        </w:rPr>
        <w:t>svojih</w:t>
      </w:r>
      <w:r w:rsidR="002E4D61" w:rsidRPr="001B53A8">
        <w:rPr>
          <w:lang w:val="sr-Latn-BA"/>
        </w:rPr>
        <w:t xml:space="preserve"> </w:t>
      </w:r>
      <w:r w:rsidRPr="001B53A8">
        <w:rPr>
          <w:lang w:val="sr-Latn-BA"/>
        </w:rPr>
        <w:t>regulatornih</w:t>
      </w:r>
      <w:r w:rsidR="002E4D61" w:rsidRPr="001B53A8">
        <w:rPr>
          <w:lang w:val="sr-Latn-BA"/>
        </w:rPr>
        <w:t xml:space="preserve"> </w:t>
      </w:r>
      <w:r w:rsidRPr="001B53A8">
        <w:rPr>
          <w:lang w:val="sr-Latn-BA"/>
        </w:rPr>
        <w:t>mandata</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odgovornosti</w:t>
      </w:r>
      <w:r w:rsidR="002E4D61" w:rsidRPr="001B53A8">
        <w:rPr>
          <w:lang w:val="sr-Latn-BA"/>
        </w:rPr>
        <w:t xml:space="preserve">. </w:t>
      </w:r>
    </w:p>
    <w:p w14:paraId="136842AC" w14:textId="2057C6EB" w:rsidR="002E4D61" w:rsidRPr="001B53A8" w:rsidRDefault="00003F34" w:rsidP="006B6E0C">
      <w:pPr>
        <w:pStyle w:val="Default"/>
        <w:spacing w:before="120"/>
        <w:ind w:firstLine="567"/>
        <w:jc w:val="both"/>
        <w:rPr>
          <w:lang w:val="sr-Latn-BA"/>
        </w:rPr>
      </w:pPr>
      <w:r w:rsidRPr="001B53A8">
        <w:rPr>
          <w:lang w:val="sr-Latn-BA"/>
        </w:rPr>
        <w:t>Specifična</w:t>
      </w:r>
      <w:r w:rsidR="002E4D61" w:rsidRPr="001B53A8">
        <w:rPr>
          <w:lang w:val="sr-Latn-BA"/>
        </w:rPr>
        <w:t xml:space="preserve"> </w:t>
      </w:r>
      <w:r w:rsidRPr="001B53A8">
        <w:rPr>
          <w:lang w:val="sr-Latn-BA"/>
        </w:rPr>
        <w:t>namjena</w:t>
      </w:r>
      <w:r w:rsidR="002E4D61" w:rsidRPr="001B53A8">
        <w:rPr>
          <w:lang w:val="sr-Latn-BA"/>
        </w:rPr>
        <w:t xml:space="preserve"> </w:t>
      </w:r>
      <w:r w:rsidRPr="001B53A8">
        <w:rPr>
          <w:lang w:val="sr-Latn-BA"/>
        </w:rPr>
        <w:t>ovog</w:t>
      </w:r>
      <w:r w:rsidR="002E4D61" w:rsidRPr="001B53A8">
        <w:rPr>
          <w:lang w:val="sr-Latn-BA"/>
        </w:rPr>
        <w:t xml:space="preserve"> </w:t>
      </w:r>
      <w:r w:rsidRPr="001B53A8">
        <w:rPr>
          <w:lang w:val="sr-Latn-BA"/>
        </w:rPr>
        <w:t>administrativnog</w:t>
      </w:r>
      <w:r w:rsidR="002E4D61" w:rsidRPr="001B53A8">
        <w:rPr>
          <w:lang w:val="sr-Latn-BA"/>
        </w:rPr>
        <w:t xml:space="preserve"> </w:t>
      </w:r>
      <w:r w:rsidRPr="001B53A8">
        <w:rPr>
          <w:lang w:val="sr-Latn-BA"/>
        </w:rPr>
        <w:t>sporazuma</w:t>
      </w:r>
      <w:r w:rsidR="002E4D61" w:rsidRPr="001B53A8">
        <w:rPr>
          <w:lang w:val="sr-Latn-BA"/>
        </w:rPr>
        <w:t xml:space="preserve"> </w:t>
      </w:r>
      <w:r w:rsidRPr="001B53A8">
        <w:rPr>
          <w:lang w:val="sr-Latn-BA"/>
        </w:rPr>
        <w:t>je</w:t>
      </w:r>
      <w:r w:rsidR="002E4D61" w:rsidRPr="001B53A8">
        <w:rPr>
          <w:lang w:val="sr-Latn-BA"/>
        </w:rPr>
        <w:t xml:space="preserve"> </w:t>
      </w:r>
      <w:r w:rsidRPr="001B53A8">
        <w:rPr>
          <w:lang w:val="sr-Latn-BA"/>
        </w:rPr>
        <w:t>da</w:t>
      </w:r>
      <w:r w:rsidR="002E4D61" w:rsidRPr="001B53A8">
        <w:rPr>
          <w:lang w:val="sr-Latn-BA"/>
        </w:rPr>
        <w:t xml:space="preserve"> </w:t>
      </w:r>
      <w:r w:rsidRPr="001B53A8">
        <w:rPr>
          <w:lang w:val="sr-Latn-BA"/>
        </w:rPr>
        <w:t>omogući</w:t>
      </w:r>
      <w:r w:rsidR="002E4D61" w:rsidRPr="001B53A8">
        <w:rPr>
          <w:lang w:val="sr-Latn-BA"/>
        </w:rPr>
        <w:t xml:space="preserve"> </w:t>
      </w:r>
      <w:r w:rsidRPr="001B53A8">
        <w:rPr>
          <w:lang w:val="sr-Latn-BA"/>
        </w:rPr>
        <w:t>zaštitne</w:t>
      </w:r>
      <w:r w:rsidR="002E4D61" w:rsidRPr="001B53A8">
        <w:rPr>
          <w:lang w:val="sr-Latn-BA"/>
        </w:rPr>
        <w:t xml:space="preserve"> </w:t>
      </w:r>
      <w:r w:rsidRPr="001B53A8">
        <w:rPr>
          <w:lang w:val="sr-Latn-BA"/>
        </w:rPr>
        <w:t>mjere</w:t>
      </w:r>
      <w:r w:rsidR="002E4D61" w:rsidRPr="001B53A8">
        <w:rPr>
          <w:lang w:val="sr-Latn-BA"/>
        </w:rPr>
        <w:t xml:space="preserve"> </w:t>
      </w:r>
      <w:r w:rsidRPr="001B53A8">
        <w:rPr>
          <w:lang w:val="sr-Latn-BA"/>
        </w:rPr>
        <w:t>prenosa</w:t>
      </w:r>
      <w:r w:rsidR="002E4D61" w:rsidRPr="001B53A8">
        <w:rPr>
          <w:lang w:val="sr-Latn-BA"/>
        </w:rPr>
        <w:t xml:space="preserve"> </w:t>
      </w:r>
      <w:r w:rsidRPr="001B53A8">
        <w:rPr>
          <w:lang w:val="sr-Latn-BA"/>
        </w:rPr>
        <w:t>ličnih</w:t>
      </w:r>
      <w:r w:rsidR="002E4D61" w:rsidRPr="001B53A8">
        <w:rPr>
          <w:lang w:val="sr-Latn-BA"/>
        </w:rPr>
        <w:t xml:space="preserve"> </w:t>
      </w:r>
      <w:r w:rsidRPr="001B53A8">
        <w:rPr>
          <w:lang w:val="sr-Latn-BA"/>
        </w:rPr>
        <w:t>podataka</w:t>
      </w:r>
      <w:r w:rsidR="002E4D61" w:rsidRPr="001B53A8">
        <w:rPr>
          <w:lang w:val="sr-Latn-BA"/>
        </w:rPr>
        <w:t xml:space="preserve">. </w:t>
      </w:r>
      <w:r w:rsidRPr="001B53A8">
        <w:rPr>
          <w:lang w:val="sr-Latn-BA"/>
        </w:rPr>
        <w:t>Nadležni</w:t>
      </w:r>
      <w:r w:rsidR="002E4D61" w:rsidRPr="001B53A8">
        <w:rPr>
          <w:lang w:val="sr-Latn-BA"/>
        </w:rPr>
        <w:t xml:space="preserve"> </w:t>
      </w:r>
      <w:r w:rsidRPr="001B53A8">
        <w:rPr>
          <w:lang w:val="sr-Latn-BA"/>
        </w:rPr>
        <w:t>organi</w:t>
      </w:r>
      <w:r w:rsidR="002E4D61" w:rsidRPr="001B53A8">
        <w:rPr>
          <w:lang w:val="sr-Latn-BA"/>
        </w:rPr>
        <w:t xml:space="preserve"> </w:t>
      </w:r>
      <w:r w:rsidRPr="001B53A8">
        <w:rPr>
          <w:lang w:val="sr-Latn-BA"/>
        </w:rPr>
        <w:t>imaju</w:t>
      </w:r>
      <w:r w:rsidR="002E4D61" w:rsidRPr="001B53A8">
        <w:rPr>
          <w:lang w:val="sr-Latn-BA"/>
        </w:rPr>
        <w:t xml:space="preserve"> </w:t>
      </w:r>
      <w:r w:rsidRPr="001B53A8">
        <w:rPr>
          <w:lang w:val="sr-Latn-BA"/>
        </w:rPr>
        <w:t>regulatorne</w:t>
      </w:r>
      <w:r w:rsidR="002E4D61" w:rsidRPr="001B53A8">
        <w:rPr>
          <w:lang w:val="sr-Latn-BA"/>
        </w:rPr>
        <w:t xml:space="preserve"> </w:t>
      </w:r>
      <w:r w:rsidRPr="001B53A8">
        <w:rPr>
          <w:lang w:val="sr-Latn-BA"/>
        </w:rPr>
        <w:t>mandate</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odgovornosti</w:t>
      </w:r>
      <w:r w:rsidR="002E4D61" w:rsidRPr="001B53A8">
        <w:rPr>
          <w:lang w:val="sr-Latn-BA"/>
        </w:rPr>
        <w:t xml:space="preserve"> </w:t>
      </w:r>
      <w:r w:rsidRPr="001B53A8">
        <w:rPr>
          <w:lang w:val="sr-Latn-BA"/>
        </w:rPr>
        <w:t>koji</w:t>
      </w:r>
      <w:r w:rsidR="002E4D61" w:rsidRPr="001B53A8">
        <w:rPr>
          <w:lang w:val="sr-Latn-BA"/>
        </w:rPr>
        <w:t xml:space="preserve"> </w:t>
      </w:r>
      <w:r w:rsidRPr="001B53A8">
        <w:rPr>
          <w:lang w:val="sr-Latn-BA"/>
        </w:rPr>
        <w:lastRenderedPageBreak/>
        <w:t>uklјučuju</w:t>
      </w:r>
      <w:r w:rsidR="002E4D61" w:rsidRPr="001B53A8">
        <w:rPr>
          <w:lang w:val="sr-Latn-BA"/>
        </w:rPr>
        <w:t xml:space="preserve"> </w:t>
      </w:r>
      <w:r w:rsidRPr="001B53A8">
        <w:rPr>
          <w:lang w:val="sr-Latn-BA"/>
        </w:rPr>
        <w:t>zaštitu</w:t>
      </w:r>
      <w:r w:rsidR="002E4D61" w:rsidRPr="001B53A8">
        <w:rPr>
          <w:lang w:val="sr-Latn-BA"/>
        </w:rPr>
        <w:t xml:space="preserve"> </w:t>
      </w:r>
      <w:r w:rsidRPr="001B53A8">
        <w:rPr>
          <w:lang w:val="sr-Latn-BA"/>
        </w:rPr>
        <w:t>investitora</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klijenata</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podsticanje</w:t>
      </w:r>
      <w:r w:rsidR="002E4D61" w:rsidRPr="001B53A8">
        <w:rPr>
          <w:lang w:val="sr-Latn-BA"/>
        </w:rPr>
        <w:t xml:space="preserve"> </w:t>
      </w:r>
      <w:r w:rsidRPr="001B53A8">
        <w:rPr>
          <w:lang w:val="sr-Latn-BA"/>
        </w:rPr>
        <w:t>integriteta</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povjerenja</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tržišta</w:t>
      </w:r>
      <w:r w:rsidR="002E4D61" w:rsidRPr="001B53A8">
        <w:rPr>
          <w:lang w:val="sr-Latn-BA"/>
        </w:rPr>
        <w:t xml:space="preserve"> </w:t>
      </w:r>
      <w:r w:rsidRPr="001B53A8">
        <w:rPr>
          <w:lang w:val="sr-Latn-BA"/>
        </w:rPr>
        <w:t>hartija</w:t>
      </w:r>
      <w:r w:rsidR="002E4D61" w:rsidRPr="001B53A8">
        <w:rPr>
          <w:lang w:val="sr-Latn-BA"/>
        </w:rPr>
        <w:t xml:space="preserve"> </w:t>
      </w:r>
      <w:r w:rsidRPr="001B53A8">
        <w:rPr>
          <w:lang w:val="sr-Latn-BA"/>
        </w:rPr>
        <w:t>od</w:t>
      </w:r>
      <w:r w:rsidR="002E4D61" w:rsidRPr="001B53A8">
        <w:rPr>
          <w:lang w:val="sr-Latn-BA"/>
        </w:rPr>
        <w:t xml:space="preserve"> </w:t>
      </w:r>
      <w:r w:rsidRPr="001B53A8">
        <w:rPr>
          <w:lang w:val="sr-Latn-BA"/>
        </w:rPr>
        <w:t>vrijednosti</w:t>
      </w:r>
      <w:r w:rsidR="002E4D61" w:rsidRPr="001B53A8">
        <w:rPr>
          <w:lang w:val="sr-Latn-BA"/>
        </w:rPr>
        <w:t xml:space="preserve"> </w:t>
      </w:r>
      <w:r w:rsidRPr="001B53A8">
        <w:rPr>
          <w:lang w:val="sr-Latn-BA"/>
        </w:rPr>
        <w:t>i</w:t>
      </w:r>
      <w:r w:rsidR="002E4D61" w:rsidRPr="001B53A8">
        <w:rPr>
          <w:lang w:val="sr-Latn-BA"/>
        </w:rPr>
        <w:t>/</w:t>
      </w:r>
      <w:r w:rsidRPr="001B53A8">
        <w:rPr>
          <w:lang w:val="sr-Latn-BA"/>
        </w:rPr>
        <w:t>ili</w:t>
      </w:r>
      <w:r w:rsidR="002E4D61" w:rsidRPr="001B53A8">
        <w:rPr>
          <w:lang w:val="sr-Latn-BA"/>
        </w:rPr>
        <w:t xml:space="preserve"> </w:t>
      </w:r>
      <w:r w:rsidRPr="001B53A8">
        <w:rPr>
          <w:lang w:val="sr-Latn-BA"/>
        </w:rPr>
        <w:t>derivata</w:t>
      </w:r>
      <w:r w:rsidR="002E4D61" w:rsidRPr="001B53A8">
        <w:rPr>
          <w:lang w:val="sr-Latn-BA"/>
        </w:rPr>
        <w:t xml:space="preserve">. </w:t>
      </w:r>
      <w:r w:rsidRPr="001B53A8">
        <w:rPr>
          <w:lang w:val="sr-Latn-BA"/>
        </w:rPr>
        <w:t>Lični</w:t>
      </w:r>
      <w:r w:rsidR="002E4D61" w:rsidRPr="001B53A8">
        <w:rPr>
          <w:lang w:val="sr-Latn-BA"/>
        </w:rPr>
        <w:t xml:space="preserve"> </w:t>
      </w:r>
      <w:r w:rsidRPr="001B53A8">
        <w:rPr>
          <w:lang w:val="sr-Latn-BA"/>
        </w:rPr>
        <w:t>podaci</w:t>
      </w:r>
      <w:r w:rsidR="002E4D61" w:rsidRPr="001B53A8">
        <w:rPr>
          <w:lang w:val="sr-Latn-BA"/>
        </w:rPr>
        <w:t xml:space="preserve"> </w:t>
      </w:r>
      <w:r w:rsidRPr="001B53A8">
        <w:rPr>
          <w:lang w:val="sr-Latn-BA"/>
        </w:rPr>
        <w:t>se</w:t>
      </w:r>
      <w:r w:rsidR="002E4D61" w:rsidRPr="001B53A8">
        <w:rPr>
          <w:lang w:val="sr-Latn-BA"/>
        </w:rPr>
        <w:t xml:space="preserve"> </w:t>
      </w:r>
      <w:r w:rsidRPr="001B53A8">
        <w:rPr>
          <w:lang w:val="sr-Latn-BA"/>
        </w:rPr>
        <w:t>prenose</w:t>
      </w:r>
      <w:r w:rsidR="002E4D61" w:rsidRPr="001B53A8">
        <w:rPr>
          <w:lang w:val="sr-Latn-BA"/>
        </w:rPr>
        <w:t xml:space="preserve"> </w:t>
      </w:r>
      <w:r w:rsidRPr="001B53A8">
        <w:rPr>
          <w:lang w:val="sr-Latn-BA"/>
        </w:rPr>
        <w:t>između</w:t>
      </w:r>
      <w:r w:rsidR="002E4D61" w:rsidRPr="001B53A8">
        <w:rPr>
          <w:lang w:val="sr-Latn-BA"/>
        </w:rPr>
        <w:t xml:space="preserve"> </w:t>
      </w:r>
      <w:r w:rsidRPr="001B53A8">
        <w:rPr>
          <w:lang w:val="sr-Latn-BA"/>
        </w:rPr>
        <w:t>nadležnih</w:t>
      </w:r>
      <w:r w:rsidR="002E4D61" w:rsidRPr="001B53A8">
        <w:rPr>
          <w:lang w:val="sr-Latn-BA"/>
        </w:rPr>
        <w:t xml:space="preserve"> </w:t>
      </w:r>
      <w:r w:rsidRPr="001B53A8">
        <w:rPr>
          <w:lang w:val="sr-Latn-BA"/>
        </w:rPr>
        <w:t>organa</w:t>
      </w:r>
      <w:r w:rsidR="002E4D61" w:rsidRPr="001B53A8">
        <w:rPr>
          <w:lang w:val="sr-Latn-BA"/>
        </w:rPr>
        <w:t xml:space="preserve"> </w:t>
      </w:r>
      <w:r w:rsidRPr="001B53A8">
        <w:rPr>
          <w:lang w:val="sr-Latn-BA"/>
        </w:rPr>
        <w:t>kako</w:t>
      </w:r>
      <w:r w:rsidR="002E4D61" w:rsidRPr="001B53A8">
        <w:rPr>
          <w:lang w:val="sr-Latn-BA"/>
        </w:rPr>
        <w:t xml:space="preserve"> </w:t>
      </w:r>
      <w:r w:rsidRPr="001B53A8">
        <w:rPr>
          <w:lang w:val="sr-Latn-BA"/>
        </w:rPr>
        <w:t>bi</w:t>
      </w:r>
      <w:r w:rsidR="002E4D61" w:rsidRPr="001B53A8">
        <w:rPr>
          <w:lang w:val="sr-Latn-BA"/>
        </w:rPr>
        <w:t xml:space="preserve"> </w:t>
      </w:r>
      <w:r w:rsidRPr="001B53A8">
        <w:rPr>
          <w:lang w:val="sr-Latn-BA"/>
        </w:rPr>
        <w:t>se</w:t>
      </w:r>
      <w:r w:rsidR="002E4D61" w:rsidRPr="001B53A8">
        <w:rPr>
          <w:lang w:val="sr-Latn-BA"/>
        </w:rPr>
        <w:t xml:space="preserve"> </w:t>
      </w:r>
      <w:r w:rsidRPr="001B53A8">
        <w:rPr>
          <w:lang w:val="sr-Latn-BA"/>
        </w:rPr>
        <w:t>podržale</w:t>
      </w:r>
      <w:r w:rsidR="002E4D61" w:rsidRPr="001B53A8">
        <w:rPr>
          <w:lang w:val="sr-Latn-BA"/>
        </w:rPr>
        <w:t xml:space="preserve"> </w:t>
      </w:r>
      <w:r w:rsidRPr="001B53A8">
        <w:rPr>
          <w:lang w:val="sr-Latn-BA"/>
        </w:rPr>
        <w:t>te</w:t>
      </w:r>
      <w:r w:rsidR="002E4D61" w:rsidRPr="001B53A8">
        <w:rPr>
          <w:lang w:val="sr-Latn-BA"/>
        </w:rPr>
        <w:t xml:space="preserve"> </w:t>
      </w:r>
      <w:r w:rsidRPr="001B53A8">
        <w:rPr>
          <w:lang w:val="sr-Latn-BA"/>
        </w:rPr>
        <w:t>odgovornosti</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ne</w:t>
      </w:r>
      <w:r w:rsidR="002E4D61" w:rsidRPr="001B53A8">
        <w:rPr>
          <w:lang w:val="sr-Latn-BA"/>
        </w:rPr>
        <w:t xml:space="preserve"> </w:t>
      </w:r>
      <w:r w:rsidRPr="001B53A8">
        <w:rPr>
          <w:lang w:val="sr-Latn-BA"/>
        </w:rPr>
        <w:t>prenose</w:t>
      </w:r>
      <w:r w:rsidR="002E4D61" w:rsidRPr="001B53A8">
        <w:rPr>
          <w:lang w:val="sr-Latn-BA"/>
        </w:rPr>
        <w:t xml:space="preserve"> </w:t>
      </w:r>
      <w:r w:rsidRPr="001B53A8">
        <w:rPr>
          <w:lang w:val="sr-Latn-BA"/>
        </w:rPr>
        <w:t>se</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druge</w:t>
      </w:r>
      <w:r w:rsidR="002E4D61" w:rsidRPr="001B53A8">
        <w:rPr>
          <w:lang w:val="sr-Latn-BA"/>
        </w:rPr>
        <w:t xml:space="preserve"> </w:t>
      </w:r>
      <w:r w:rsidRPr="001B53A8">
        <w:rPr>
          <w:lang w:val="sr-Latn-BA"/>
        </w:rPr>
        <w:t>svrhe</w:t>
      </w:r>
      <w:r w:rsidR="002E4D61" w:rsidRPr="001B53A8">
        <w:rPr>
          <w:lang w:val="sr-Latn-BA"/>
        </w:rPr>
        <w:t xml:space="preserve"> </w:t>
      </w:r>
      <w:r w:rsidRPr="001B53A8">
        <w:rPr>
          <w:lang w:val="sr-Latn-BA"/>
        </w:rPr>
        <w:t>kao</w:t>
      </w:r>
      <w:r w:rsidR="002E4D61" w:rsidRPr="001B53A8">
        <w:rPr>
          <w:lang w:val="sr-Latn-BA"/>
        </w:rPr>
        <w:t xml:space="preserve"> </w:t>
      </w:r>
      <w:r w:rsidRPr="001B53A8">
        <w:rPr>
          <w:lang w:val="sr-Latn-BA"/>
        </w:rPr>
        <w:t>što</w:t>
      </w:r>
      <w:r w:rsidR="002E4D61" w:rsidRPr="001B53A8">
        <w:rPr>
          <w:lang w:val="sr-Latn-BA"/>
        </w:rPr>
        <w:t xml:space="preserve"> </w:t>
      </w:r>
      <w:r w:rsidRPr="001B53A8">
        <w:rPr>
          <w:lang w:val="sr-Latn-BA"/>
        </w:rPr>
        <w:t>su</w:t>
      </w:r>
      <w:r w:rsidR="002E4D61" w:rsidRPr="001B53A8">
        <w:rPr>
          <w:lang w:val="sr-Latn-BA"/>
        </w:rPr>
        <w:t xml:space="preserve"> </w:t>
      </w:r>
      <w:r w:rsidRPr="001B53A8">
        <w:rPr>
          <w:lang w:val="sr-Latn-BA"/>
        </w:rPr>
        <w:t>marketing</w:t>
      </w:r>
      <w:r w:rsidR="002E4D61" w:rsidRPr="001B53A8">
        <w:rPr>
          <w:lang w:val="sr-Latn-BA"/>
        </w:rPr>
        <w:t xml:space="preserve"> </w:t>
      </w:r>
      <w:r w:rsidRPr="001B53A8">
        <w:rPr>
          <w:lang w:val="sr-Latn-BA"/>
        </w:rPr>
        <w:t>ili</w:t>
      </w:r>
      <w:r w:rsidR="002E4D61" w:rsidRPr="001B53A8">
        <w:rPr>
          <w:lang w:val="sr-Latn-BA"/>
        </w:rPr>
        <w:t xml:space="preserve"> </w:t>
      </w:r>
      <w:r w:rsidRPr="001B53A8">
        <w:rPr>
          <w:lang w:val="sr-Latn-BA"/>
        </w:rPr>
        <w:t>komercijalni</w:t>
      </w:r>
      <w:r w:rsidR="002E4D61" w:rsidRPr="001B53A8">
        <w:rPr>
          <w:lang w:val="sr-Latn-BA"/>
        </w:rPr>
        <w:t xml:space="preserve"> </w:t>
      </w:r>
      <w:r w:rsidRPr="001B53A8">
        <w:rPr>
          <w:lang w:val="sr-Latn-BA"/>
        </w:rPr>
        <w:t>razlozi</w:t>
      </w:r>
      <w:r w:rsidR="002E4D61" w:rsidRPr="001B53A8">
        <w:rPr>
          <w:lang w:val="sr-Latn-BA"/>
        </w:rPr>
        <w:t xml:space="preserve">. </w:t>
      </w:r>
    </w:p>
    <w:p w14:paraId="21D27443" w14:textId="7592BF06" w:rsidR="002E4D61" w:rsidRPr="001B53A8" w:rsidRDefault="00003F34" w:rsidP="006B6E0C">
      <w:pPr>
        <w:pStyle w:val="Default"/>
        <w:spacing w:before="120"/>
        <w:ind w:firstLine="567"/>
        <w:jc w:val="both"/>
        <w:rPr>
          <w:lang w:val="sr-Latn-BA"/>
        </w:rPr>
      </w:pPr>
      <w:r w:rsidRPr="001B53A8">
        <w:rPr>
          <w:lang w:val="sr-Latn-BA"/>
        </w:rPr>
        <w:t>Nadležni</w:t>
      </w:r>
      <w:r w:rsidR="002E4D61" w:rsidRPr="001B53A8">
        <w:rPr>
          <w:lang w:val="sr-Latn-BA"/>
        </w:rPr>
        <w:t xml:space="preserve"> </w:t>
      </w:r>
      <w:r w:rsidRPr="001B53A8">
        <w:rPr>
          <w:lang w:val="sr-Latn-BA"/>
        </w:rPr>
        <w:t>organ</w:t>
      </w:r>
      <w:r w:rsidR="002E4D61" w:rsidRPr="001B53A8">
        <w:rPr>
          <w:lang w:val="sr-Latn-BA"/>
        </w:rPr>
        <w:t xml:space="preserve"> </w:t>
      </w:r>
      <w:r w:rsidRPr="001B53A8">
        <w:rPr>
          <w:lang w:val="sr-Latn-BA"/>
        </w:rPr>
        <w:t>koji</w:t>
      </w:r>
      <w:r w:rsidR="002E4D61" w:rsidRPr="001B53A8">
        <w:rPr>
          <w:lang w:val="sr-Latn-BA"/>
        </w:rPr>
        <w:t xml:space="preserve"> </w:t>
      </w:r>
      <w:r w:rsidRPr="001B53A8">
        <w:rPr>
          <w:lang w:val="sr-Latn-BA"/>
        </w:rPr>
        <w:t>prenosi</w:t>
      </w:r>
      <w:r w:rsidR="002E4D61" w:rsidRPr="001B53A8">
        <w:rPr>
          <w:lang w:val="sr-Latn-BA"/>
        </w:rPr>
        <w:t xml:space="preserve"> </w:t>
      </w:r>
      <w:r w:rsidRPr="001B53A8">
        <w:rPr>
          <w:lang w:val="sr-Latn-BA"/>
        </w:rPr>
        <w:t>podatke</w:t>
      </w:r>
      <w:r w:rsidR="002E4D61" w:rsidRPr="001B53A8">
        <w:rPr>
          <w:lang w:val="sr-Latn-BA"/>
        </w:rPr>
        <w:t xml:space="preserve"> </w:t>
      </w:r>
      <w:r w:rsidRPr="001B53A8">
        <w:rPr>
          <w:lang w:val="sr-Latn-BA"/>
        </w:rPr>
        <w:t>prenosi</w:t>
      </w:r>
      <w:r w:rsidR="002E4D61" w:rsidRPr="001B53A8">
        <w:rPr>
          <w:lang w:val="sr-Latn-BA"/>
        </w:rPr>
        <w:t xml:space="preserve"> </w:t>
      </w:r>
      <w:r w:rsidRPr="001B53A8">
        <w:rPr>
          <w:lang w:val="sr-Latn-BA"/>
        </w:rPr>
        <w:t>lične</w:t>
      </w:r>
      <w:r w:rsidR="002E4D61" w:rsidRPr="001B53A8">
        <w:rPr>
          <w:lang w:val="sr-Latn-BA"/>
        </w:rPr>
        <w:t xml:space="preserve"> </w:t>
      </w:r>
      <w:r w:rsidRPr="001B53A8">
        <w:rPr>
          <w:lang w:val="sr-Latn-BA"/>
        </w:rPr>
        <w:t>podatke</w:t>
      </w:r>
      <w:r w:rsidR="002E4D61" w:rsidRPr="001B53A8">
        <w:rPr>
          <w:lang w:val="sr-Latn-BA"/>
        </w:rPr>
        <w:t xml:space="preserve"> </w:t>
      </w:r>
      <w:r w:rsidRPr="001B53A8">
        <w:rPr>
          <w:lang w:val="sr-Latn-BA"/>
        </w:rPr>
        <w:t>samo</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zakonitu</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preciziranu</w:t>
      </w:r>
      <w:r w:rsidR="002E4D61" w:rsidRPr="001B53A8">
        <w:rPr>
          <w:lang w:val="sr-Latn-BA"/>
        </w:rPr>
        <w:t xml:space="preserve"> </w:t>
      </w:r>
      <w:r w:rsidRPr="001B53A8">
        <w:rPr>
          <w:lang w:val="sr-Latn-BA"/>
        </w:rPr>
        <w:t>svrhu</w:t>
      </w:r>
      <w:r w:rsidR="002E4D61" w:rsidRPr="001B53A8">
        <w:rPr>
          <w:lang w:val="sr-Latn-BA"/>
        </w:rPr>
        <w:t xml:space="preserve"> </w:t>
      </w:r>
      <w:r w:rsidRPr="001B53A8">
        <w:rPr>
          <w:lang w:val="sr-Latn-BA"/>
        </w:rPr>
        <w:t>pružanja</w:t>
      </w:r>
      <w:r w:rsidR="002E4D61" w:rsidRPr="001B53A8">
        <w:rPr>
          <w:lang w:val="sr-Latn-BA"/>
        </w:rPr>
        <w:t xml:space="preserve"> </w:t>
      </w:r>
      <w:r w:rsidRPr="001B53A8">
        <w:rPr>
          <w:lang w:val="sr-Latn-BA"/>
        </w:rPr>
        <w:t>pomoći</w:t>
      </w:r>
      <w:r w:rsidR="002E4D61" w:rsidRPr="001B53A8">
        <w:rPr>
          <w:lang w:val="sr-Latn-BA"/>
        </w:rPr>
        <w:t xml:space="preserve"> </w:t>
      </w:r>
      <w:r w:rsidRPr="001B53A8">
        <w:rPr>
          <w:lang w:val="sr-Latn-BA"/>
        </w:rPr>
        <w:t>nadležnom</w:t>
      </w:r>
      <w:r w:rsidR="002E4D61" w:rsidRPr="001B53A8">
        <w:rPr>
          <w:lang w:val="sr-Latn-BA"/>
        </w:rPr>
        <w:t xml:space="preserve"> </w:t>
      </w:r>
      <w:r w:rsidRPr="001B53A8">
        <w:rPr>
          <w:lang w:val="sr-Latn-BA"/>
        </w:rPr>
        <w:t>organu</w:t>
      </w:r>
      <w:r w:rsidR="002E4D61" w:rsidRPr="001B53A8">
        <w:rPr>
          <w:lang w:val="sr-Latn-BA"/>
        </w:rPr>
        <w:t xml:space="preserve"> </w:t>
      </w:r>
      <w:r w:rsidRPr="001B53A8">
        <w:rPr>
          <w:lang w:val="sr-Latn-BA"/>
        </w:rPr>
        <w:t>koji</w:t>
      </w:r>
      <w:r w:rsidR="002E4D61" w:rsidRPr="001B53A8">
        <w:rPr>
          <w:lang w:val="sr-Latn-BA"/>
        </w:rPr>
        <w:t xml:space="preserve"> </w:t>
      </w:r>
      <w:r w:rsidRPr="001B53A8">
        <w:rPr>
          <w:lang w:val="sr-Latn-BA"/>
        </w:rPr>
        <w:t>prima</w:t>
      </w:r>
      <w:r w:rsidR="002E4D61" w:rsidRPr="001B53A8">
        <w:rPr>
          <w:lang w:val="sr-Latn-BA"/>
        </w:rPr>
        <w:t xml:space="preserve"> </w:t>
      </w:r>
      <w:r w:rsidRPr="001B53A8">
        <w:rPr>
          <w:lang w:val="sr-Latn-BA"/>
        </w:rPr>
        <w:t>podatke</w:t>
      </w:r>
      <w:r w:rsidR="002E4D61" w:rsidRPr="001B53A8">
        <w:rPr>
          <w:lang w:val="sr-Latn-BA"/>
        </w:rPr>
        <w:t xml:space="preserve">, </w:t>
      </w:r>
      <w:r w:rsidRPr="001B53A8">
        <w:rPr>
          <w:lang w:val="sr-Latn-BA"/>
        </w:rPr>
        <w:t>kako</w:t>
      </w:r>
      <w:r w:rsidR="002E4D61" w:rsidRPr="001B53A8">
        <w:rPr>
          <w:lang w:val="sr-Latn-BA"/>
        </w:rPr>
        <w:t xml:space="preserve"> </w:t>
      </w:r>
      <w:r w:rsidRPr="001B53A8">
        <w:rPr>
          <w:lang w:val="sr-Latn-BA"/>
        </w:rPr>
        <w:t>bi</w:t>
      </w:r>
      <w:r w:rsidR="002E4D61" w:rsidRPr="001B53A8">
        <w:rPr>
          <w:lang w:val="sr-Latn-BA"/>
        </w:rPr>
        <w:t xml:space="preserve"> </w:t>
      </w:r>
      <w:r w:rsidRPr="001B53A8">
        <w:rPr>
          <w:lang w:val="sr-Latn-BA"/>
        </w:rPr>
        <w:t>isti</w:t>
      </w:r>
      <w:r w:rsidR="002E4D61" w:rsidRPr="001B53A8">
        <w:rPr>
          <w:lang w:val="sr-Latn-BA"/>
        </w:rPr>
        <w:t xml:space="preserve"> </w:t>
      </w:r>
      <w:r w:rsidRPr="001B53A8">
        <w:rPr>
          <w:lang w:val="sr-Latn-BA"/>
        </w:rPr>
        <w:t>ostvario</w:t>
      </w:r>
      <w:r w:rsidR="002E4D61" w:rsidRPr="001B53A8">
        <w:rPr>
          <w:lang w:val="sr-Latn-BA"/>
        </w:rPr>
        <w:t xml:space="preserve"> </w:t>
      </w:r>
      <w:r w:rsidRPr="001B53A8">
        <w:rPr>
          <w:lang w:val="sr-Latn-BA"/>
        </w:rPr>
        <w:t>svoj</w:t>
      </w:r>
      <w:r w:rsidR="002E4D61" w:rsidRPr="001B53A8">
        <w:rPr>
          <w:lang w:val="sr-Latn-BA"/>
        </w:rPr>
        <w:t xml:space="preserve"> </w:t>
      </w:r>
      <w:r w:rsidRPr="001B53A8">
        <w:rPr>
          <w:lang w:val="sr-Latn-BA"/>
        </w:rPr>
        <w:t>regulatorni</w:t>
      </w:r>
      <w:r w:rsidR="002E4D61" w:rsidRPr="001B53A8">
        <w:rPr>
          <w:lang w:val="sr-Latn-BA"/>
        </w:rPr>
        <w:t xml:space="preserve"> </w:t>
      </w:r>
      <w:r w:rsidRPr="001B53A8">
        <w:rPr>
          <w:lang w:val="sr-Latn-BA"/>
        </w:rPr>
        <w:t>mandat</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odgovornosti</w:t>
      </w:r>
      <w:r w:rsidR="002E4D61" w:rsidRPr="001B53A8">
        <w:rPr>
          <w:lang w:val="sr-Latn-BA"/>
        </w:rPr>
        <w:t xml:space="preserve">, </w:t>
      </w:r>
      <w:r w:rsidRPr="001B53A8">
        <w:rPr>
          <w:lang w:val="sr-Latn-BA"/>
        </w:rPr>
        <w:t>koje</w:t>
      </w:r>
      <w:r w:rsidR="002E4D61" w:rsidRPr="001B53A8">
        <w:rPr>
          <w:lang w:val="sr-Latn-BA"/>
        </w:rPr>
        <w:t xml:space="preserve"> </w:t>
      </w:r>
      <w:r w:rsidRPr="001B53A8">
        <w:rPr>
          <w:lang w:val="sr-Latn-BA"/>
        </w:rPr>
        <w:t>uklјučuju</w:t>
      </w:r>
      <w:r w:rsidR="002E4D61" w:rsidRPr="001B53A8">
        <w:rPr>
          <w:lang w:val="sr-Latn-BA"/>
        </w:rPr>
        <w:t xml:space="preserve"> </w:t>
      </w:r>
      <w:r w:rsidRPr="001B53A8">
        <w:rPr>
          <w:lang w:val="sr-Latn-BA"/>
        </w:rPr>
        <w:t>regulisanje</w:t>
      </w:r>
      <w:r w:rsidR="002E4D61" w:rsidRPr="001B53A8">
        <w:rPr>
          <w:lang w:val="sr-Latn-BA"/>
        </w:rPr>
        <w:t xml:space="preserve">, </w:t>
      </w:r>
      <w:r w:rsidRPr="001B53A8">
        <w:rPr>
          <w:lang w:val="sr-Latn-BA"/>
        </w:rPr>
        <w:t>upravlјanje</w:t>
      </w:r>
      <w:r w:rsidR="002E4D61" w:rsidRPr="001B53A8">
        <w:rPr>
          <w:lang w:val="sr-Latn-BA"/>
        </w:rPr>
        <w:t xml:space="preserve">, </w:t>
      </w:r>
      <w:r w:rsidRPr="001B53A8">
        <w:rPr>
          <w:lang w:val="sr-Latn-BA"/>
        </w:rPr>
        <w:t>nadziranje</w:t>
      </w:r>
      <w:r w:rsidR="002E4D61" w:rsidRPr="001B53A8">
        <w:rPr>
          <w:lang w:val="sr-Latn-BA"/>
        </w:rPr>
        <w:t xml:space="preserve">, </w:t>
      </w:r>
      <w:r w:rsidRPr="001B53A8">
        <w:rPr>
          <w:lang w:val="sr-Latn-BA"/>
        </w:rPr>
        <w:t>izvršavanje</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obezbjeđivanje</w:t>
      </w:r>
      <w:r w:rsidR="002E4D61" w:rsidRPr="001B53A8">
        <w:rPr>
          <w:lang w:val="sr-Latn-BA"/>
        </w:rPr>
        <w:t xml:space="preserve"> </w:t>
      </w:r>
      <w:r w:rsidRPr="001B53A8">
        <w:rPr>
          <w:lang w:val="sr-Latn-BA"/>
        </w:rPr>
        <w:t>usklađenosti</w:t>
      </w:r>
      <w:r w:rsidR="002E4D61" w:rsidRPr="001B53A8">
        <w:rPr>
          <w:lang w:val="sr-Latn-BA"/>
        </w:rPr>
        <w:t xml:space="preserve"> </w:t>
      </w:r>
      <w:r w:rsidRPr="001B53A8">
        <w:rPr>
          <w:lang w:val="sr-Latn-BA"/>
        </w:rPr>
        <w:t>sa</w:t>
      </w:r>
      <w:r w:rsidR="002E4D61" w:rsidRPr="001B53A8">
        <w:rPr>
          <w:lang w:val="sr-Latn-BA"/>
        </w:rPr>
        <w:t xml:space="preserve"> </w:t>
      </w:r>
      <w:r w:rsidRPr="001B53A8">
        <w:rPr>
          <w:lang w:val="sr-Latn-BA"/>
        </w:rPr>
        <w:t>zakonima</w:t>
      </w:r>
      <w:r w:rsidR="002E4D61" w:rsidRPr="001B53A8">
        <w:rPr>
          <w:lang w:val="sr-Latn-BA"/>
        </w:rPr>
        <w:t xml:space="preserve"> </w:t>
      </w:r>
      <w:r w:rsidRPr="001B53A8">
        <w:rPr>
          <w:lang w:val="sr-Latn-BA"/>
        </w:rPr>
        <w:t>koji</w:t>
      </w:r>
      <w:r w:rsidR="002E4D61" w:rsidRPr="001B53A8">
        <w:rPr>
          <w:lang w:val="sr-Latn-BA"/>
        </w:rPr>
        <w:t xml:space="preserve"> </w:t>
      </w:r>
      <w:r w:rsidRPr="001B53A8">
        <w:rPr>
          <w:lang w:val="sr-Latn-BA"/>
        </w:rPr>
        <w:t>regulišu</w:t>
      </w:r>
      <w:r w:rsidR="002E4D61" w:rsidRPr="001B53A8">
        <w:rPr>
          <w:lang w:val="sr-Latn-BA"/>
        </w:rPr>
        <w:t xml:space="preserve"> </w:t>
      </w:r>
      <w:r w:rsidRPr="001B53A8">
        <w:rPr>
          <w:lang w:val="sr-Latn-BA"/>
        </w:rPr>
        <w:t>hartije</w:t>
      </w:r>
      <w:r w:rsidR="002E4D61" w:rsidRPr="001B53A8">
        <w:rPr>
          <w:lang w:val="sr-Latn-BA"/>
        </w:rPr>
        <w:t xml:space="preserve"> </w:t>
      </w:r>
      <w:r w:rsidRPr="001B53A8">
        <w:rPr>
          <w:lang w:val="sr-Latn-BA"/>
        </w:rPr>
        <w:t>od</w:t>
      </w:r>
      <w:r w:rsidR="002E4D61" w:rsidRPr="001B53A8">
        <w:rPr>
          <w:lang w:val="sr-Latn-BA"/>
        </w:rPr>
        <w:t xml:space="preserve"> </w:t>
      </w:r>
      <w:r w:rsidRPr="001B53A8">
        <w:rPr>
          <w:lang w:val="sr-Latn-BA"/>
        </w:rPr>
        <w:t>vrijednosti</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derivate</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njihovoj</w:t>
      </w:r>
      <w:r w:rsidR="002E4D61" w:rsidRPr="001B53A8">
        <w:rPr>
          <w:lang w:val="sr-Latn-BA"/>
        </w:rPr>
        <w:t xml:space="preserve"> </w:t>
      </w:r>
      <w:r w:rsidRPr="001B53A8">
        <w:rPr>
          <w:lang w:val="sr-Latn-BA"/>
        </w:rPr>
        <w:t>jurisdikciji</w:t>
      </w:r>
      <w:r w:rsidR="002E4D61" w:rsidRPr="001B53A8">
        <w:rPr>
          <w:lang w:val="sr-Latn-BA"/>
        </w:rPr>
        <w:t xml:space="preserve">. </w:t>
      </w:r>
      <w:r w:rsidRPr="001B53A8">
        <w:rPr>
          <w:lang w:val="sr-Latn-BA"/>
        </w:rPr>
        <w:t>Nadležni</w:t>
      </w:r>
      <w:r w:rsidR="002E4D61" w:rsidRPr="001B53A8">
        <w:rPr>
          <w:lang w:val="sr-Latn-BA"/>
        </w:rPr>
        <w:t xml:space="preserve"> </w:t>
      </w:r>
      <w:r w:rsidRPr="001B53A8">
        <w:rPr>
          <w:lang w:val="sr-Latn-BA"/>
        </w:rPr>
        <w:t>organ</w:t>
      </w:r>
      <w:r w:rsidR="002E4D61" w:rsidRPr="001B53A8">
        <w:rPr>
          <w:lang w:val="sr-Latn-BA"/>
        </w:rPr>
        <w:t xml:space="preserve"> </w:t>
      </w:r>
      <w:r w:rsidRPr="001B53A8">
        <w:rPr>
          <w:lang w:val="sr-Latn-BA"/>
        </w:rPr>
        <w:t>koji</w:t>
      </w:r>
      <w:r w:rsidR="002E4D61" w:rsidRPr="001B53A8">
        <w:rPr>
          <w:lang w:val="sr-Latn-BA"/>
        </w:rPr>
        <w:t xml:space="preserve"> </w:t>
      </w:r>
      <w:r w:rsidRPr="001B53A8">
        <w:rPr>
          <w:lang w:val="sr-Latn-BA"/>
        </w:rPr>
        <w:t>prima</w:t>
      </w:r>
      <w:r w:rsidR="002E4D61" w:rsidRPr="001B53A8">
        <w:rPr>
          <w:lang w:val="sr-Latn-BA"/>
        </w:rPr>
        <w:t xml:space="preserve"> </w:t>
      </w:r>
      <w:r w:rsidRPr="001B53A8">
        <w:rPr>
          <w:lang w:val="sr-Latn-BA"/>
        </w:rPr>
        <w:t>podatke</w:t>
      </w:r>
      <w:r w:rsidR="002E4D61" w:rsidRPr="001B53A8">
        <w:rPr>
          <w:lang w:val="sr-Latn-BA"/>
        </w:rPr>
        <w:t xml:space="preserve"> </w:t>
      </w:r>
      <w:r w:rsidRPr="001B53A8">
        <w:rPr>
          <w:lang w:val="sr-Latn-BA"/>
        </w:rPr>
        <w:t>neće</w:t>
      </w:r>
      <w:r w:rsidR="002E4D61" w:rsidRPr="001B53A8">
        <w:rPr>
          <w:lang w:val="sr-Latn-BA"/>
        </w:rPr>
        <w:t xml:space="preserve"> </w:t>
      </w:r>
      <w:r w:rsidRPr="001B53A8">
        <w:rPr>
          <w:lang w:val="sr-Latn-BA"/>
        </w:rPr>
        <w:t>dalјe</w:t>
      </w:r>
      <w:r w:rsidR="002E4D61" w:rsidRPr="001B53A8">
        <w:rPr>
          <w:lang w:val="sr-Latn-BA"/>
        </w:rPr>
        <w:t xml:space="preserve"> </w:t>
      </w:r>
      <w:r w:rsidRPr="001B53A8">
        <w:rPr>
          <w:lang w:val="sr-Latn-BA"/>
        </w:rPr>
        <w:t>obrađivati</w:t>
      </w:r>
      <w:r w:rsidR="002E4D61" w:rsidRPr="001B53A8">
        <w:rPr>
          <w:lang w:val="sr-Latn-BA"/>
        </w:rPr>
        <w:t xml:space="preserve"> </w:t>
      </w:r>
      <w:r w:rsidRPr="001B53A8">
        <w:rPr>
          <w:lang w:val="sr-Latn-BA"/>
        </w:rPr>
        <w:t>lične</w:t>
      </w:r>
      <w:r w:rsidR="002E4D61" w:rsidRPr="001B53A8">
        <w:rPr>
          <w:lang w:val="sr-Latn-BA"/>
        </w:rPr>
        <w:t xml:space="preserve"> </w:t>
      </w:r>
      <w:r w:rsidRPr="001B53A8">
        <w:rPr>
          <w:lang w:val="sr-Latn-BA"/>
        </w:rPr>
        <w:t>podatke</w:t>
      </w:r>
      <w:r w:rsidR="002E4D61" w:rsidRPr="001B53A8">
        <w:rPr>
          <w:lang w:val="sr-Latn-BA"/>
        </w:rPr>
        <w:t xml:space="preserve"> </w:t>
      </w:r>
      <w:r w:rsidRPr="001B53A8">
        <w:rPr>
          <w:lang w:val="sr-Latn-BA"/>
        </w:rPr>
        <w:t>na</w:t>
      </w:r>
      <w:r w:rsidR="002E4D61" w:rsidRPr="001B53A8">
        <w:rPr>
          <w:lang w:val="sr-Latn-BA"/>
        </w:rPr>
        <w:t xml:space="preserve"> </w:t>
      </w:r>
      <w:r w:rsidRPr="001B53A8">
        <w:rPr>
          <w:lang w:val="sr-Latn-BA"/>
        </w:rPr>
        <w:t>način</w:t>
      </w:r>
      <w:r w:rsidR="002E4D61" w:rsidRPr="001B53A8">
        <w:rPr>
          <w:lang w:val="sr-Latn-BA"/>
        </w:rPr>
        <w:t xml:space="preserve"> </w:t>
      </w:r>
      <w:r w:rsidRPr="001B53A8">
        <w:rPr>
          <w:lang w:val="sr-Latn-BA"/>
        </w:rPr>
        <w:t>koji</w:t>
      </w:r>
      <w:r w:rsidR="002E4D61" w:rsidRPr="001B53A8">
        <w:rPr>
          <w:lang w:val="sr-Latn-BA"/>
        </w:rPr>
        <w:t xml:space="preserve"> </w:t>
      </w:r>
      <w:r w:rsidRPr="001B53A8">
        <w:rPr>
          <w:lang w:val="sr-Latn-BA"/>
        </w:rPr>
        <w:t>nije</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skladu</w:t>
      </w:r>
      <w:r w:rsidR="002E4D61" w:rsidRPr="001B53A8">
        <w:rPr>
          <w:lang w:val="sr-Latn-BA"/>
        </w:rPr>
        <w:t xml:space="preserve"> </w:t>
      </w:r>
      <w:r w:rsidRPr="001B53A8">
        <w:rPr>
          <w:lang w:val="sr-Latn-BA"/>
        </w:rPr>
        <w:t>sa</w:t>
      </w:r>
      <w:r w:rsidR="002E4D61" w:rsidRPr="001B53A8">
        <w:rPr>
          <w:lang w:val="sr-Latn-BA"/>
        </w:rPr>
        <w:t xml:space="preserve"> </w:t>
      </w:r>
      <w:r w:rsidRPr="001B53A8">
        <w:rPr>
          <w:lang w:val="sr-Latn-BA"/>
        </w:rPr>
        <w:t>ovom</w:t>
      </w:r>
      <w:r w:rsidR="002E4D61" w:rsidRPr="001B53A8">
        <w:rPr>
          <w:lang w:val="sr-Latn-BA"/>
        </w:rPr>
        <w:t xml:space="preserve"> </w:t>
      </w:r>
      <w:r w:rsidRPr="001B53A8">
        <w:rPr>
          <w:lang w:val="sr-Latn-BA"/>
        </w:rPr>
        <w:t>svrhom</w:t>
      </w:r>
      <w:r w:rsidR="002E4D61" w:rsidRPr="001B53A8">
        <w:rPr>
          <w:lang w:val="sr-Latn-BA"/>
        </w:rPr>
        <w:t xml:space="preserve">, </w:t>
      </w:r>
      <w:r w:rsidRPr="001B53A8">
        <w:rPr>
          <w:lang w:val="sr-Latn-BA"/>
        </w:rPr>
        <w:t>niti</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svrhu</w:t>
      </w:r>
      <w:r w:rsidR="002E4D61" w:rsidRPr="001B53A8">
        <w:rPr>
          <w:lang w:val="sr-Latn-BA"/>
        </w:rPr>
        <w:t xml:space="preserve"> </w:t>
      </w:r>
      <w:r w:rsidRPr="001B53A8">
        <w:rPr>
          <w:lang w:val="sr-Latn-BA"/>
        </w:rPr>
        <w:t>koja</w:t>
      </w:r>
      <w:r w:rsidR="002E4D61" w:rsidRPr="001B53A8">
        <w:rPr>
          <w:lang w:val="sr-Latn-BA"/>
        </w:rPr>
        <w:t xml:space="preserve"> </w:t>
      </w:r>
      <w:r w:rsidRPr="001B53A8">
        <w:rPr>
          <w:lang w:val="sr-Latn-BA"/>
        </w:rPr>
        <w:t>može</w:t>
      </w:r>
      <w:r w:rsidR="002E4D61" w:rsidRPr="001B53A8">
        <w:rPr>
          <w:lang w:val="sr-Latn-BA"/>
        </w:rPr>
        <w:t xml:space="preserve"> </w:t>
      </w:r>
      <w:r w:rsidRPr="001B53A8">
        <w:rPr>
          <w:lang w:val="sr-Latn-BA"/>
        </w:rPr>
        <w:t>biti</w:t>
      </w:r>
      <w:r w:rsidR="002E4D61" w:rsidRPr="001B53A8">
        <w:rPr>
          <w:lang w:val="sr-Latn-BA"/>
        </w:rPr>
        <w:t xml:space="preserve"> </w:t>
      </w:r>
      <w:r w:rsidRPr="001B53A8">
        <w:rPr>
          <w:lang w:val="sr-Latn-BA"/>
        </w:rPr>
        <w:t>navedena</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bilo</w:t>
      </w:r>
      <w:r w:rsidR="002E4D61" w:rsidRPr="001B53A8">
        <w:rPr>
          <w:lang w:val="sr-Latn-BA"/>
        </w:rPr>
        <w:t xml:space="preserve"> </w:t>
      </w:r>
      <w:r w:rsidRPr="001B53A8">
        <w:rPr>
          <w:lang w:val="sr-Latn-BA"/>
        </w:rPr>
        <w:t>kojem</w:t>
      </w:r>
      <w:r w:rsidR="002E4D61" w:rsidRPr="001B53A8">
        <w:rPr>
          <w:lang w:val="sr-Latn-BA"/>
        </w:rPr>
        <w:t xml:space="preserve"> </w:t>
      </w:r>
      <w:r w:rsidRPr="001B53A8">
        <w:rPr>
          <w:lang w:val="sr-Latn-BA"/>
        </w:rPr>
        <w:t>zahtjevu</w:t>
      </w:r>
      <w:r w:rsidR="002E4D61" w:rsidRPr="001B53A8">
        <w:rPr>
          <w:lang w:val="sr-Latn-BA"/>
        </w:rPr>
        <w:t xml:space="preserve"> </w:t>
      </w:r>
      <w:r w:rsidRPr="001B53A8">
        <w:rPr>
          <w:lang w:val="sr-Latn-BA"/>
        </w:rPr>
        <w:t>za</w:t>
      </w:r>
      <w:r w:rsidR="002E4D61" w:rsidRPr="001B53A8">
        <w:rPr>
          <w:lang w:val="sr-Latn-BA"/>
        </w:rPr>
        <w:t xml:space="preserve"> </w:t>
      </w:r>
      <w:r w:rsidRPr="001B53A8">
        <w:rPr>
          <w:lang w:val="sr-Latn-BA"/>
        </w:rPr>
        <w:t>informacijom</w:t>
      </w:r>
      <w:r w:rsidR="002E4D61" w:rsidRPr="001B53A8">
        <w:rPr>
          <w:lang w:val="sr-Latn-BA"/>
        </w:rPr>
        <w:t>.</w:t>
      </w:r>
    </w:p>
    <w:p w14:paraId="21C2F586" w14:textId="3ABAFE72" w:rsidR="002E4D61" w:rsidRPr="001B53A8" w:rsidRDefault="00003F34" w:rsidP="006B6E0C">
      <w:pPr>
        <w:pStyle w:val="Default"/>
        <w:spacing w:before="120"/>
        <w:ind w:firstLine="567"/>
        <w:jc w:val="both"/>
        <w:rPr>
          <w:lang w:val="sr-Latn-BA"/>
        </w:rPr>
      </w:pPr>
      <w:r w:rsidRPr="001B53A8">
        <w:rPr>
          <w:lang w:val="sr-Latn-BA"/>
        </w:rPr>
        <w:t>Nazivi</w:t>
      </w:r>
      <w:r w:rsidR="002E4D61" w:rsidRPr="001B53A8">
        <w:rPr>
          <w:lang w:val="sr-Latn-BA"/>
        </w:rPr>
        <w:t xml:space="preserve"> </w:t>
      </w:r>
      <w:r w:rsidRPr="001B53A8">
        <w:rPr>
          <w:lang w:val="sr-Latn-BA"/>
        </w:rPr>
        <w:t>potpisnica</w:t>
      </w:r>
      <w:r w:rsidR="002E4D61" w:rsidRPr="001B53A8">
        <w:rPr>
          <w:lang w:val="sr-Latn-BA"/>
        </w:rPr>
        <w:t xml:space="preserve"> </w:t>
      </w:r>
      <w:r w:rsidRPr="001B53A8">
        <w:rPr>
          <w:lang w:val="sr-Latn-BA"/>
        </w:rPr>
        <w:t>Administrativnog</w:t>
      </w:r>
      <w:r w:rsidR="002E4D61" w:rsidRPr="001B53A8">
        <w:rPr>
          <w:lang w:val="sr-Latn-BA"/>
        </w:rPr>
        <w:t xml:space="preserve"> </w:t>
      </w:r>
      <w:r w:rsidRPr="001B53A8">
        <w:rPr>
          <w:lang w:val="sr-Latn-BA"/>
        </w:rPr>
        <w:t>sporazuma</w:t>
      </w:r>
      <w:r w:rsidR="002E4D61" w:rsidRPr="001B53A8">
        <w:rPr>
          <w:lang w:val="sr-Latn-BA"/>
        </w:rPr>
        <w:t xml:space="preserve"> </w:t>
      </w:r>
      <w:r w:rsidRPr="001B53A8">
        <w:rPr>
          <w:lang w:val="sr-Latn-BA"/>
        </w:rPr>
        <w:t>objavlјeni</w:t>
      </w:r>
      <w:r w:rsidR="002E4D61" w:rsidRPr="001B53A8">
        <w:rPr>
          <w:lang w:val="sr-Latn-BA"/>
        </w:rPr>
        <w:t xml:space="preserve"> </w:t>
      </w:r>
      <w:r w:rsidRPr="001B53A8">
        <w:rPr>
          <w:lang w:val="sr-Latn-BA"/>
        </w:rPr>
        <w:t>su</w:t>
      </w:r>
      <w:r w:rsidR="002E4D61" w:rsidRPr="001B53A8">
        <w:rPr>
          <w:lang w:val="sr-Latn-BA"/>
        </w:rPr>
        <w:t xml:space="preserve"> </w:t>
      </w:r>
      <w:r w:rsidRPr="001B53A8">
        <w:rPr>
          <w:lang w:val="sr-Latn-BA"/>
        </w:rPr>
        <w:t>na</w:t>
      </w:r>
      <w:r w:rsidR="002E4D61" w:rsidRPr="001B53A8">
        <w:rPr>
          <w:lang w:val="sr-Latn-BA"/>
        </w:rPr>
        <w:t xml:space="preserve"> </w:t>
      </w:r>
      <w:r w:rsidRPr="001B53A8">
        <w:rPr>
          <w:lang w:val="sr-Latn-BA"/>
        </w:rPr>
        <w:t>internet</w:t>
      </w:r>
      <w:r w:rsidR="002E4D61" w:rsidRPr="001B53A8">
        <w:rPr>
          <w:lang w:val="sr-Latn-BA"/>
        </w:rPr>
        <w:t xml:space="preserve"> </w:t>
      </w:r>
      <w:r w:rsidRPr="001B53A8">
        <w:rPr>
          <w:lang w:val="sr-Latn-BA"/>
        </w:rPr>
        <w:t>stranici</w:t>
      </w:r>
      <w:r w:rsidR="002E4D61" w:rsidRPr="001B53A8">
        <w:rPr>
          <w:lang w:val="sr-Latn-BA"/>
        </w:rPr>
        <w:t xml:space="preserve"> IOSCO.</w:t>
      </w:r>
    </w:p>
    <w:p w14:paraId="4F51DE96" w14:textId="36C3B051" w:rsidR="002E4D61" w:rsidRPr="001B53A8" w:rsidRDefault="00003F34" w:rsidP="006B6E0C">
      <w:pPr>
        <w:pStyle w:val="Heading4"/>
        <w:spacing w:line="240" w:lineRule="auto"/>
        <w:ind w:left="851" w:hanging="851"/>
        <w:rPr>
          <w:rFonts w:ascii="Times New Roman" w:hAnsi="Times New Roman" w:cs="Times New Roman"/>
          <w:lang w:val="sr-Latn-BA"/>
        </w:rPr>
      </w:pPr>
      <w:r w:rsidRPr="001B53A8">
        <w:rPr>
          <w:rFonts w:ascii="Times New Roman" w:hAnsi="Times New Roman" w:cs="Times New Roman"/>
          <w:lang w:val="sr-Latn-BA"/>
        </w:rPr>
        <w:t>Međunarodni</w:t>
      </w:r>
      <w:r w:rsidR="0075782C" w:rsidRPr="001B53A8">
        <w:rPr>
          <w:rFonts w:ascii="Times New Roman" w:hAnsi="Times New Roman" w:cs="Times New Roman"/>
          <w:lang w:val="sr-Latn-BA"/>
        </w:rPr>
        <w:t xml:space="preserve"> </w:t>
      </w:r>
      <w:r w:rsidRPr="001B53A8">
        <w:rPr>
          <w:rFonts w:ascii="Times New Roman" w:hAnsi="Times New Roman" w:cs="Times New Roman"/>
          <w:lang w:val="sr-Latn-BA"/>
        </w:rPr>
        <w:t>memorandum</w:t>
      </w:r>
      <w:r w:rsidR="0075782C" w:rsidRPr="001B53A8">
        <w:rPr>
          <w:rFonts w:ascii="Times New Roman" w:hAnsi="Times New Roman" w:cs="Times New Roman"/>
          <w:lang w:val="sr-Latn-BA"/>
        </w:rPr>
        <w:t xml:space="preserve"> </w:t>
      </w:r>
      <w:r w:rsidRPr="001B53A8">
        <w:rPr>
          <w:rFonts w:ascii="Times New Roman" w:hAnsi="Times New Roman" w:cs="Times New Roman"/>
          <w:lang w:val="sr-Latn-BA"/>
        </w:rPr>
        <w:t>o</w:t>
      </w:r>
      <w:r w:rsidR="0075782C" w:rsidRPr="001B53A8">
        <w:rPr>
          <w:rFonts w:ascii="Times New Roman" w:hAnsi="Times New Roman" w:cs="Times New Roman"/>
          <w:lang w:val="sr-Latn-BA"/>
        </w:rPr>
        <w:t xml:space="preserve"> </w:t>
      </w:r>
      <w:r w:rsidRPr="001B53A8">
        <w:rPr>
          <w:rFonts w:ascii="Times New Roman" w:hAnsi="Times New Roman" w:cs="Times New Roman"/>
          <w:lang w:val="sr-Latn-BA"/>
        </w:rPr>
        <w:t>razumijevanju</w:t>
      </w:r>
      <w:r w:rsidR="0075782C" w:rsidRPr="001B53A8">
        <w:rPr>
          <w:rFonts w:ascii="Times New Roman" w:hAnsi="Times New Roman" w:cs="Times New Roman"/>
          <w:lang w:val="sr-Latn-BA"/>
        </w:rPr>
        <w:t xml:space="preserve"> - IOSCO </w:t>
      </w:r>
      <w:r w:rsidR="002E4D61" w:rsidRPr="001B53A8">
        <w:rPr>
          <w:rFonts w:ascii="Times New Roman" w:hAnsi="Times New Roman" w:cs="Times New Roman"/>
          <w:lang w:val="sr-Latn-BA"/>
        </w:rPr>
        <w:t>MMoU</w:t>
      </w:r>
    </w:p>
    <w:p w14:paraId="12D4F038" w14:textId="14600B97" w:rsidR="002E4D61" w:rsidRPr="001B53A8" w:rsidRDefault="002E4D61" w:rsidP="006B6E0C">
      <w:pPr>
        <w:pStyle w:val="Default"/>
        <w:spacing w:before="120"/>
        <w:ind w:firstLine="567"/>
        <w:jc w:val="both"/>
        <w:rPr>
          <w:lang w:val="sr-Latn-BA"/>
        </w:rPr>
      </w:pPr>
      <w:r w:rsidRPr="001B53A8">
        <w:rPr>
          <w:lang w:val="sr-Latn-BA"/>
        </w:rPr>
        <w:t>IOSCO MMoU (</w:t>
      </w:r>
      <w:r w:rsidR="00003F34" w:rsidRPr="001B53A8">
        <w:rPr>
          <w:lang w:val="sr-Latn-BA"/>
        </w:rPr>
        <w:t>čiji</w:t>
      </w:r>
      <w:r w:rsidRPr="001B53A8">
        <w:rPr>
          <w:lang w:val="sr-Latn-BA"/>
        </w:rPr>
        <w:t xml:space="preserve"> </w:t>
      </w:r>
      <w:r w:rsidR="00003F34" w:rsidRPr="001B53A8">
        <w:rPr>
          <w:lang w:val="sr-Latn-BA"/>
        </w:rPr>
        <w:t>je</w:t>
      </w:r>
      <w:r w:rsidRPr="001B53A8">
        <w:rPr>
          <w:lang w:val="sr-Latn-BA"/>
        </w:rPr>
        <w:t xml:space="preserve"> </w:t>
      </w:r>
      <w:r w:rsidR="00003F34" w:rsidRPr="001B53A8">
        <w:rPr>
          <w:lang w:val="sr-Latn-BA"/>
        </w:rPr>
        <w:t>Komisija</w:t>
      </w:r>
      <w:r w:rsidRPr="001B53A8">
        <w:rPr>
          <w:lang w:val="sr-Latn-BA"/>
        </w:rPr>
        <w:t xml:space="preserve"> </w:t>
      </w:r>
      <w:r w:rsidR="00003F34" w:rsidRPr="001B53A8">
        <w:rPr>
          <w:lang w:val="sr-Latn-BA"/>
        </w:rPr>
        <w:t>potpisnik</w:t>
      </w:r>
      <w:r w:rsidRPr="001B53A8">
        <w:rPr>
          <w:lang w:val="sr-Latn-BA"/>
        </w:rPr>
        <w:t xml:space="preserve"> </w:t>
      </w:r>
      <w:r w:rsidR="00003F34" w:rsidRPr="001B53A8">
        <w:rPr>
          <w:lang w:val="sr-Latn-BA"/>
        </w:rPr>
        <w:t>od</w:t>
      </w:r>
      <w:r w:rsidRPr="001B53A8">
        <w:rPr>
          <w:lang w:val="sr-Latn-BA"/>
        </w:rPr>
        <w:t xml:space="preserve"> </w:t>
      </w:r>
      <w:r w:rsidR="00003F34" w:rsidRPr="001B53A8">
        <w:rPr>
          <w:lang w:val="sr-Latn-BA"/>
        </w:rPr>
        <w:t>oktobra</w:t>
      </w:r>
      <w:r w:rsidRPr="001B53A8">
        <w:rPr>
          <w:lang w:val="sr-Latn-BA"/>
        </w:rPr>
        <w:t xml:space="preserve"> 2009. </w:t>
      </w:r>
      <w:r w:rsidR="00003F34" w:rsidRPr="001B53A8">
        <w:rPr>
          <w:lang w:val="sr-Latn-BA"/>
        </w:rPr>
        <w:t>godine</w:t>
      </w:r>
      <w:r w:rsidRPr="001B53A8">
        <w:rPr>
          <w:lang w:val="sr-Latn-BA"/>
        </w:rPr>
        <w:t xml:space="preserve">, </w:t>
      </w:r>
      <w:r w:rsidR="00003F34" w:rsidRPr="001B53A8">
        <w:rPr>
          <w:lang w:val="sr-Latn-BA"/>
        </w:rPr>
        <w:t>kao</w:t>
      </w:r>
      <w:r w:rsidRPr="001B53A8">
        <w:rPr>
          <w:lang w:val="sr-Latn-BA"/>
        </w:rPr>
        <w:t xml:space="preserve"> </w:t>
      </w:r>
      <w:r w:rsidR="00003F34" w:rsidRPr="001B53A8">
        <w:rPr>
          <w:lang w:val="sr-Latn-BA"/>
        </w:rPr>
        <w:t>jedan</w:t>
      </w:r>
      <w:r w:rsidRPr="001B53A8">
        <w:rPr>
          <w:lang w:val="sr-Latn-BA"/>
        </w:rPr>
        <w:t xml:space="preserve"> </w:t>
      </w:r>
      <w:r w:rsidR="00003F34" w:rsidRPr="001B53A8">
        <w:rPr>
          <w:lang w:val="sr-Latn-BA"/>
        </w:rPr>
        <w:t>od</w:t>
      </w:r>
      <w:r w:rsidRPr="001B53A8">
        <w:rPr>
          <w:lang w:val="sr-Latn-BA"/>
        </w:rPr>
        <w:t xml:space="preserve"> 124 </w:t>
      </w:r>
      <w:r w:rsidR="00003F34" w:rsidRPr="001B53A8">
        <w:rPr>
          <w:lang w:val="sr-Latn-BA"/>
        </w:rPr>
        <w:t>regulatora</w:t>
      </w:r>
      <w:r w:rsidRPr="001B53A8">
        <w:rPr>
          <w:lang w:val="sr-Latn-BA"/>
        </w:rPr>
        <w:t xml:space="preserve"> </w:t>
      </w:r>
      <w:r w:rsidR="00003F34" w:rsidRPr="001B53A8">
        <w:rPr>
          <w:lang w:val="sr-Latn-BA"/>
        </w:rPr>
        <w:t>tržišta</w:t>
      </w:r>
      <w:r w:rsidRPr="001B53A8">
        <w:rPr>
          <w:lang w:val="sr-Latn-BA"/>
        </w:rPr>
        <w:t xml:space="preserve"> </w:t>
      </w:r>
      <w:r w:rsidR="00003F34" w:rsidRPr="001B53A8">
        <w:rPr>
          <w:lang w:val="sr-Latn-BA"/>
        </w:rPr>
        <w:t>hartija</w:t>
      </w:r>
      <w:r w:rsidRPr="001B53A8">
        <w:rPr>
          <w:lang w:val="sr-Latn-BA"/>
        </w:rPr>
        <w:t xml:space="preserve"> </w:t>
      </w:r>
      <w:r w:rsidR="00003F34" w:rsidRPr="001B53A8">
        <w:rPr>
          <w:lang w:val="sr-Latn-BA"/>
        </w:rPr>
        <w:t>od</w:t>
      </w:r>
      <w:r w:rsidRPr="001B53A8">
        <w:rPr>
          <w:lang w:val="sr-Latn-BA"/>
        </w:rPr>
        <w:t xml:space="preserve"> </w:t>
      </w:r>
      <w:r w:rsidR="00003F34" w:rsidRPr="001B53A8">
        <w:rPr>
          <w:lang w:val="sr-Latn-BA"/>
        </w:rPr>
        <w:t>vrijednosti</w:t>
      </w:r>
      <w:r w:rsidRPr="001B53A8">
        <w:rPr>
          <w:lang w:val="sr-Latn-BA"/>
        </w:rPr>
        <w:t xml:space="preserve"> </w:t>
      </w:r>
      <w:r w:rsidR="00003F34" w:rsidRPr="001B53A8">
        <w:rPr>
          <w:lang w:val="sr-Latn-BA"/>
        </w:rPr>
        <w:t>u</w:t>
      </w:r>
      <w:r w:rsidRPr="001B53A8">
        <w:rPr>
          <w:lang w:val="sr-Latn-BA"/>
        </w:rPr>
        <w:t xml:space="preserve"> </w:t>
      </w:r>
      <w:r w:rsidR="00003F34" w:rsidRPr="001B53A8">
        <w:rPr>
          <w:lang w:val="sr-Latn-BA"/>
        </w:rPr>
        <w:t>svijetu</w:t>
      </w:r>
      <w:r w:rsidRPr="001B53A8">
        <w:rPr>
          <w:lang w:val="sr-Latn-BA"/>
        </w:rPr>
        <w:t xml:space="preserve">) </w:t>
      </w:r>
      <w:r w:rsidR="00003F34" w:rsidRPr="001B53A8">
        <w:rPr>
          <w:lang w:val="sr-Latn-BA"/>
        </w:rPr>
        <w:t>je</w:t>
      </w:r>
      <w:r w:rsidRPr="001B53A8">
        <w:rPr>
          <w:lang w:val="sr-Latn-BA"/>
        </w:rPr>
        <w:t xml:space="preserve"> </w:t>
      </w:r>
      <w:r w:rsidR="00003F34" w:rsidRPr="001B53A8">
        <w:rPr>
          <w:lang w:val="sr-Latn-BA"/>
        </w:rPr>
        <w:t>obezbijedio</w:t>
      </w:r>
      <w:r w:rsidRPr="001B53A8">
        <w:rPr>
          <w:lang w:val="sr-Latn-BA"/>
        </w:rPr>
        <w:t xml:space="preserve"> </w:t>
      </w:r>
      <w:r w:rsidR="00003F34" w:rsidRPr="001B53A8">
        <w:rPr>
          <w:lang w:val="sr-Latn-BA"/>
        </w:rPr>
        <w:t>regulatorima</w:t>
      </w:r>
      <w:r w:rsidRPr="001B53A8">
        <w:rPr>
          <w:lang w:val="sr-Latn-BA"/>
        </w:rPr>
        <w:t xml:space="preserve"> </w:t>
      </w:r>
      <w:r w:rsidR="00003F34" w:rsidRPr="001B53A8">
        <w:rPr>
          <w:lang w:val="sr-Latn-BA"/>
        </w:rPr>
        <w:t>tržišta</w:t>
      </w:r>
      <w:r w:rsidRPr="001B53A8">
        <w:rPr>
          <w:lang w:val="sr-Latn-BA"/>
        </w:rPr>
        <w:t xml:space="preserve"> </w:t>
      </w:r>
      <w:r w:rsidR="00003F34" w:rsidRPr="001B53A8">
        <w:rPr>
          <w:lang w:val="sr-Latn-BA"/>
        </w:rPr>
        <w:t>hartija</w:t>
      </w:r>
      <w:r w:rsidRPr="001B53A8">
        <w:rPr>
          <w:lang w:val="sr-Latn-BA"/>
        </w:rPr>
        <w:t xml:space="preserve"> </w:t>
      </w:r>
      <w:r w:rsidR="00003F34" w:rsidRPr="001B53A8">
        <w:rPr>
          <w:lang w:val="sr-Latn-BA"/>
        </w:rPr>
        <w:t>od</w:t>
      </w:r>
      <w:r w:rsidRPr="001B53A8">
        <w:rPr>
          <w:lang w:val="sr-Latn-BA"/>
        </w:rPr>
        <w:t xml:space="preserve"> </w:t>
      </w:r>
      <w:r w:rsidR="00003F34" w:rsidRPr="001B53A8">
        <w:rPr>
          <w:lang w:val="sr-Latn-BA"/>
        </w:rPr>
        <w:t>vrijednosti</w:t>
      </w:r>
      <w:r w:rsidRPr="001B53A8">
        <w:rPr>
          <w:lang w:val="sr-Latn-BA"/>
        </w:rPr>
        <w:t xml:space="preserve"> </w:t>
      </w:r>
      <w:r w:rsidR="00003F34" w:rsidRPr="001B53A8">
        <w:rPr>
          <w:lang w:val="sr-Latn-BA"/>
        </w:rPr>
        <w:t>važno</w:t>
      </w:r>
      <w:r w:rsidRPr="001B53A8">
        <w:rPr>
          <w:lang w:val="sr-Latn-BA"/>
        </w:rPr>
        <w:t xml:space="preserve"> </w:t>
      </w:r>
      <w:r w:rsidR="00003F34" w:rsidRPr="001B53A8">
        <w:rPr>
          <w:lang w:val="sr-Latn-BA"/>
        </w:rPr>
        <w:t>sredstvo</w:t>
      </w:r>
      <w:r w:rsidRPr="001B53A8">
        <w:rPr>
          <w:lang w:val="sr-Latn-BA"/>
        </w:rPr>
        <w:t xml:space="preserve"> </w:t>
      </w:r>
      <w:r w:rsidR="00003F34" w:rsidRPr="001B53A8">
        <w:rPr>
          <w:lang w:val="sr-Latn-BA"/>
        </w:rPr>
        <w:t>za</w:t>
      </w:r>
      <w:r w:rsidRPr="001B53A8">
        <w:rPr>
          <w:lang w:val="sr-Latn-BA"/>
        </w:rPr>
        <w:t xml:space="preserve"> </w:t>
      </w:r>
      <w:r w:rsidR="00003F34" w:rsidRPr="001B53A8">
        <w:rPr>
          <w:lang w:val="sr-Latn-BA"/>
        </w:rPr>
        <w:t>borbu</w:t>
      </w:r>
      <w:r w:rsidRPr="001B53A8">
        <w:rPr>
          <w:lang w:val="sr-Latn-BA"/>
        </w:rPr>
        <w:t xml:space="preserve"> </w:t>
      </w:r>
      <w:r w:rsidR="00003F34" w:rsidRPr="001B53A8">
        <w:rPr>
          <w:lang w:val="sr-Latn-BA"/>
        </w:rPr>
        <w:t>protiv</w:t>
      </w:r>
      <w:r w:rsidRPr="001B53A8">
        <w:rPr>
          <w:lang w:val="sr-Latn-BA"/>
        </w:rPr>
        <w:t xml:space="preserve"> </w:t>
      </w:r>
      <w:r w:rsidR="00003F34" w:rsidRPr="001B53A8">
        <w:rPr>
          <w:lang w:val="sr-Latn-BA"/>
        </w:rPr>
        <w:t>prekogranične</w:t>
      </w:r>
      <w:r w:rsidRPr="001B53A8">
        <w:rPr>
          <w:lang w:val="sr-Latn-BA"/>
        </w:rPr>
        <w:t xml:space="preserve"> </w:t>
      </w:r>
      <w:r w:rsidR="00003F34" w:rsidRPr="001B53A8">
        <w:rPr>
          <w:lang w:val="sr-Latn-BA"/>
        </w:rPr>
        <w:t>prevare</w:t>
      </w:r>
      <w:r w:rsidRPr="001B53A8">
        <w:rPr>
          <w:lang w:val="sr-Latn-BA"/>
        </w:rPr>
        <w:t xml:space="preserve"> </w:t>
      </w:r>
      <w:r w:rsidR="00003F34" w:rsidRPr="001B53A8">
        <w:rPr>
          <w:lang w:val="sr-Latn-BA"/>
        </w:rPr>
        <w:t>i</w:t>
      </w:r>
      <w:r w:rsidRPr="001B53A8">
        <w:rPr>
          <w:lang w:val="sr-Latn-BA"/>
        </w:rPr>
        <w:t xml:space="preserve"> </w:t>
      </w:r>
      <w:r w:rsidR="00003F34" w:rsidRPr="001B53A8">
        <w:rPr>
          <w:lang w:val="sr-Latn-BA"/>
        </w:rPr>
        <w:t>zloupotrebe</w:t>
      </w:r>
      <w:r w:rsidRPr="001B53A8">
        <w:rPr>
          <w:lang w:val="sr-Latn-BA"/>
        </w:rPr>
        <w:t xml:space="preserve"> </w:t>
      </w:r>
      <w:r w:rsidR="00003F34" w:rsidRPr="001B53A8">
        <w:rPr>
          <w:lang w:val="sr-Latn-BA"/>
        </w:rPr>
        <w:t>tržišta</w:t>
      </w:r>
      <w:r w:rsidRPr="001B53A8">
        <w:rPr>
          <w:lang w:val="sr-Latn-BA"/>
        </w:rPr>
        <w:t xml:space="preserve">. </w:t>
      </w:r>
      <w:r w:rsidR="00003F34" w:rsidRPr="001B53A8">
        <w:rPr>
          <w:lang w:val="sr-Latn-BA"/>
        </w:rPr>
        <w:t>Ovaj</w:t>
      </w:r>
      <w:r w:rsidRPr="001B53A8">
        <w:rPr>
          <w:lang w:val="sr-Latn-BA"/>
        </w:rPr>
        <w:t xml:space="preserve"> </w:t>
      </w:r>
      <w:r w:rsidR="00003F34" w:rsidRPr="001B53A8">
        <w:rPr>
          <w:lang w:val="sr-Latn-BA"/>
        </w:rPr>
        <w:t>dokument</w:t>
      </w:r>
      <w:r w:rsidRPr="001B53A8">
        <w:rPr>
          <w:lang w:val="sr-Latn-BA"/>
        </w:rPr>
        <w:t xml:space="preserve"> </w:t>
      </w:r>
      <w:r w:rsidR="00003F34" w:rsidRPr="001B53A8">
        <w:rPr>
          <w:lang w:val="sr-Latn-BA"/>
        </w:rPr>
        <w:t>je</w:t>
      </w:r>
      <w:r w:rsidRPr="001B53A8">
        <w:rPr>
          <w:lang w:val="sr-Latn-BA"/>
        </w:rPr>
        <w:t xml:space="preserve"> </w:t>
      </w:r>
      <w:r w:rsidR="00003F34" w:rsidRPr="001B53A8">
        <w:rPr>
          <w:lang w:val="sr-Latn-BA"/>
        </w:rPr>
        <w:t>široko</w:t>
      </w:r>
      <w:r w:rsidRPr="001B53A8">
        <w:rPr>
          <w:lang w:val="sr-Latn-BA"/>
        </w:rPr>
        <w:t xml:space="preserve"> </w:t>
      </w:r>
      <w:r w:rsidR="00003F34" w:rsidRPr="001B53A8">
        <w:rPr>
          <w:lang w:val="sr-Latn-BA"/>
        </w:rPr>
        <w:t>podržan</w:t>
      </w:r>
      <w:r w:rsidRPr="001B53A8">
        <w:rPr>
          <w:lang w:val="sr-Latn-BA"/>
        </w:rPr>
        <w:t xml:space="preserve"> </w:t>
      </w:r>
      <w:r w:rsidR="00003F34" w:rsidRPr="001B53A8">
        <w:rPr>
          <w:lang w:val="sr-Latn-BA"/>
        </w:rPr>
        <w:t>i</w:t>
      </w:r>
      <w:r w:rsidRPr="001B53A8">
        <w:rPr>
          <w:lang w:val="sr-Latn-BA"/>
        </w:rPr>
        <w:t xml:space="preserve"> </w:t>
      </w:r>
      <w:r w:rsidR="00003F34" w:rsidRPr="001B53A8">
        <w:rPr>
          <w:lang w:val="sr-Latn-BA"/>
        </w:rPr>
        <w:t>međunarodno</w:t>
      </w:r>
      <w:r w:rsidRPr="001B53A8">
        <w:rPr>
          <w:lang w:val="sr-Latn-BA"/>
        </w:rPr>
        <w:t xml:space="preserve"> </w:t>
      </w:r>
      <w:r w:rsidR="00003F34" w:rsidRPr="001B53A8">
        <w:rPr>
          <w:lang w:val="sr-Latn-BA"/>
        </w:rPr>
        <w:t>priznat</w:t>
      </w:r>
      <w:r w:rsidRPr="001B53A8">
        <w:rPr>
          <w:lang w:val="sr-Latn-BA"/>
        </w:rPr>
        <w:t xml:space="preserve">, </w:t>
      </w:r>
      <w:r w:rsidR="00003F34" w:rsidRPr="001B53A8">
        <w:rPr>
          <w:lang w:val="sr-Latn-BA"/>
        </w:rPr>
        <w:t>uklјučujući</w:t>
      </w:r>
      <w:r w:rsidRPr="001B53A8">
        <w:rPr>
          <w:lang w:val="sr-Latn-BA"/>
        </w:rPr>
        <w:t xml:space="preserve"> </w:t>
      </w:r>
      <w:r w:rsidR="00003F34" w:rsidRPr="001B53A8">
        <w:rPr>
          <w:lang w:val="sr-Latn-BA"/>
        </w:rPr>
        <w:t>i</w:t>
      </w:r>
      <w:r w:rsidRPr="001B53A8">
        <w:rPr>
          <w:lang w:val="sr-Latn-BA"/>
        </w:rPr>
        <w:t xml:space="preserve"> </w:t>
      </w:r>
      <w:r w:rsidR="00003F34" w:rsidRPr="001B53A8">
        <w:rPr>
          <w:lang w:val="sr-Latn-BA"/>
        </w:rPr>
        <w:t>od</w:t>
      </w:r>
      <w:r w:rsidRPr="001B53A8">
        <w:rPr>
          <w:lang w:val="sr-Latn-BA"/>
        </w:rPr>
        <w:t xml:space="preserve"> </w:t>
      </w:r>
      <w:r w:rsidR="00003F34" w:rsidRPr="001B53A8">
        <w:rPr>
          <w:lang w:val="sr-Latn-BA"/>
        </w:rPr>
        <w:t>strane</w:t>
      </w:r>
      <w:r w:rsidRPr="001B53A8">
        <w:rPr>
          <w:lang w:val="sr-Latn-BA"/>
        </w:rPr>
        <w:t xml:space="preserve"> </w:t>
      </w:r>
      <w:r w:rsidR="00003F34" w:rsidRPr="001B53A8">
        <w:rPr>
          <w:lang w:val="sr-Latn-BA"/>
        </w:rPr>
        <w:t>G</w:t>
      </w:r>
      <w:r w:rsidRPr="001B53A8">
        <w:rPr>
          <w:lang w:val="sr-Latn-BA"/>
        </w:rPr>
        <w:t>20.</w:t>
      </w:r>
    </w:p>
    <w:p w14:paraId="08DDB724" w14:textId="375C3D32" w:rsidR="00B85F96" w:rsidRPr="001B53A8" w:rsidRDefault="00003F34" w:rsidP="002C66E2">
      <w:pPr>
        <w:pStyle w:val="Default"/>
        <w:spacing w:before="120"/>
        <w:ind w:firstLine="567"/>
        <w:jc w:val="both"/>
        <w:rPr>
          <w:lang w:val="sr-Latn-BA"/>
        </w:rPr>
      </w:pPr>
      <w:r w:rsidRPr="001B53A8">
        <w:rPr>
          <w:lang w:val="sr-Latn-BA"/>
        </w:rPr>
        <w:t>Jačanje</w:t>
      </w:r>
      <w:r w:rsidR="002E4D61" w:rsidRPr="001B53A8">
        <w:rPr>
          <w:lang w:val="sr-Latn-BA"/>
        </w:rPr>
        <w:t xml:space="preserve"> </w:t>
      </w:r>
      <w:r w:rsidRPr="001B53A8">
        <w:rPr>
          <w:lang w:val="sr-Latn-BA"/>
        </w:rPr>
        <w:t>saradnje</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provođenju</w:t>
      </w:r>
      <w:r w:rsidR="002E4D61" w:rsidRPr="001B53A8">
        <w:rPr>
          <w:lang w:val="sr-Latn-BA"/>
        </w:rPr>
        <w:t xml:space="preserve"> </w:t>
      </w:r>
      <w:r w:rsidRPr="001B53A8">
        <w:rPr>
          <w:lang w:val="sr-Latn-BA"/>
        </w:rPr>
        <w:t>zakonskih</w:t>
      </w:r>
      <w:r w:rsidR="002E4D61" w:rsidRPr="001B53A8">
        <w:rPr>
          <w:lang w:val="sr-Latn-BA"/>
        </w:rPr>
        <w:t xml:space="preserve"> </w:t>
      </w:r>
      <w:r w:rsidRPr="001B53A8">
        <w:rPr>
          <w:lang w:val="sr-Latn-BA"/>
        </w:rPr>
        <w:t>propisa</w:t>
      </w:r>
      <w:r w:rsidR="002E4D61" w:rsidRPr="001B53A8">
        <w:rPr>
          <w:lang w:val="sr-Latn-BA"/>
        </w:rPr>
        <w:t xml:space="preserve"> </w:t>
      </w:r>
      <w:r w:rsidRPr="001B53A8">
        <w:rPr>
          <w:lang w:val="sr-Latn-BA"/>
        </w:rPr>
        <w:t>vezanih</w:t>
      </w:r>
      <w:r w:rsidR="002E4D61" w:rsidRPr="001B53A8">
        <w:rPr>
          <w:lang w:val="sr-Latn-BA"/>
        </w:rPr>
        <w:t xml:space="preserve"> </w:t>
      </w:r>
      <w:r w:rsidRPr="001B53A8">
        <w:rPr>
          <w:lang w:val="sr-Latn-BA"/>
        </w:rPr>
        <w:t>za</w:t>
      </w:r>
      <w:r w:rsidR="002E4D61" w:rsidRPr="001B53A8">
        <w:rPr>
          <w:lang w:val="sr-Latn-BA"/>
        </w:rPr>
        <w:t xml:space="preserve"> </w:t>
      </w:r>
      <w:r w:rsidRPr="001B53A8">
        <w:rPr>
          <w:lang w:val="sr-Latn-BA"/>
        </w:rPr>
        <w:t>tržište</w:t>
      </w:r>
      <w:r w:rsidR="002E4D61" w:rsidRPr="001B53A8">
        <w:rPr>
          <w:lang w:val="sr-Latn-BA"/>
        </w:rPr>
        <w:t xml:space="preserve"> </w:t>
      </w:r>
      <w:r w:rsidRPr="001B53A8">
        <w:rPr>
          <w:lang w:val="sr-Latn-BA"/>
        </w:rPr>
        <w:t>kapitala</w:t>
      </w:r>
      <w:r w:rsidR="002E4D61" w:rsidRPr="001B53A8">
        <w:rPr>
          <w:lang w:val="sr-Latn-BA"/>
        </w:rPr>
        <w:t xml:space="preserve">, </w:t>
      </w:r>
      <w:r w:rsidRPr="001B53A8">
        <w:rPr>
          <w:lang w:val="sr-Latn-BA"/>
        </w:rPr>
        <w:t>je</w:t>
      </w:r>
      <w:r w:rsidR="002E4D61" w:rsidRPr="001B53A8">
        <w:rPr>
          <w:lang w:val="sr-Latn-BA"/>
        </w:rPr>
        <w:t xml:space="preserve"> </w:t>
      </w:r>
      <w:r w:rsidRPr="001B53A8">
        <w:rPr>
          <w:lang w:val="sr-Latn-BA"/>
        </w:rPr>
        <w:t>kritična</w:t>
      </w:r>
      <w:r w:rsidR="002E4D61" w:rsidRPr="001B53A8">
        <w:rPr>
          <w:lang w:val="sr-Latn-BA"/>
        </w:rPr>
        <w:t xml:space="preserve"> </w:t>
      </w:r>
      <w:r w:rsidRPr="001B53A8">
        <w:rPr>
          <w:lang w:val="sr-Latn-BA"/>
        </w:rPr>
        <w:t>tačka</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borbi</w:t>
      </w:r>
      <w:r w:rsidR="002E4D61" w:rsidRPr="001B53A8">
        <w:rPr>
          <w:lang w:val="sr-Latn-BA"/>
        </w:rPr>
        <w:t xml:space="preserve"> </w:t>
      </w:r>
      <w:r w:rsidRPr="001B53A8">
        <w:rPr>
          <w:lang w:val="sr-Latn-BA"/>
        </w:rPr>
        <w:t>protiv</w:t>
      </w:r>
      <w:r w:rsidR="002E4D61" w:rsidRPr="001B53A8">
        <w:rPr>
          <w:lang w:val="sr-Latn-BA"/>
        </w:rPr>
        <w:t xml:space="preserve"> </w:t>
      </w:r>
      <w:r w:rsidRPr="001B53A8">
        <w:rPr>
          <w:lang w:val="sr-Latn-BA"/>
        </w:rPr>
        <w:t>finansijskog</w:t>
      </w:r>
      <w:r w:rsidR="002E4D61" w:rsidRPr="001B53A8">
        <w:rPr>
          <w:lang w:val="sr-Latn-BA"/>
        </w:rPr>
        <w:t xml:space="preserve"> </w:t>
      </w:r>
      <w:r w:rsidRPr="001B53A8">
        <w:rPr>
          <w:lang w:val="sr-Latn-BA"/>
        </w:rPr>
        <w:t>kriminala</w:t>
      </w:r>
      <w:r w:rsidR="002E4D61" w:rsidRPr="001B53A8">
        <w:rPr>
          <w:lang w:val="sr-Latn-BA"/>
        </w:rPr>
        <w:t xml:space="preserve"> </w:t>
      </w:r>
      <w:r w:rsidRPr="001B53A8">
        <w:rPr>
          <w:lang w:val="sr-Latn-BA"/>
        </w:rPr>
        <w:t>koji</w:t>
      </w:r>
      <w:r w:rsidR="002E4D61" w:rsidRPr="001B53A8">
        <w:rPr>
          <w:lang w:val="sr-Latn-BA"/>
        </w:rPr>
        <w:t xml:space="preserve"> </w:t>
      </w:r>
      <w:r w:rsidRPr="001B53A8">
        <w:rPr>
          <w:lang w:val="sr-Latn-BA"/>
        </w:rPr>
        <w:t>ne</w:t>
      </w:r>
      <w:r w:rsidR="002E4D61" w:rsidRPr="001B53A8">
        <w:rPr>
          <w:lang w:val="sr-Latn-BA"/>
        </w:rPr>
        <w:t xml:space="preserve"> </w:t>
      </w:r>
      <w:r w:rsidRPr="001B53A8">
        <w:rPr>
          <w:lang w:val="sr-Latn-BA"/>
        </w:rPr>
        <w:t>poznaje</w:t>
      </w:r>
      <w:r w:rsidR="002E4D61" w:rsidRPr="001B53A8">
        <w:rPr>
          <w:lang w:val="sr-Latn-BA"/>
        </w:rPr>
        <w:t xml:space="preserve"> </w:t>
      </w:r>
      <w:r w:rsidRPr="001B53A8">
        <w:rPr>
          <w:lang w:val="sr-Latn-BA"/>
        </w:rPr>
        <w:t>granice</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globalnom</w:t>
      </w:r>
      <w:r w:rsidR="002E4D61" w:rsidRPr="001B53A8">
        <w:rPr>
          <w:lang w:val="sr-Latn-BA"/>
        </w:rPr>
        <w:t xml:space="preserve"> </w:t>
      </w:r>
      <w:r w:rsidRPr="001B53A8">
        <w:rPr>
          <w:lang w:val="sr-Latn-BA"/>
        </w:rPr>
        <w:t>finansijskom</w:t>
      </w:r>
      <w:r w:rsidR="002E4D61" w:rsidRPr="001B53A8">
        <w:rPr>
          <w:lang w:val="sr-Latn-BA"/>
        </w:rPr>
        <w:t xml:space="preserve"> </w:t>
      </w:r>
      <w:r w:rsidRPr="001B53A8">
        <w:rPr>
          <w:lang w:val="sr-Latn-BA"/>
        </w:rPr>
        <w:t>okruženju</w:t>
      </w:r>
      <w:r w:rsidR="002E4D61" w:rsidRPr="001B53A8">
        <w:rPr>
          <w:lang w:val="sr-Latn-BA"/>
        </w:rPr>
        <w:t xml:space="preserve">, </w:t>
      </w:r>
      <w:r w:rsidRPr="001B53A8">
        <w:rPr>
          <w:lang w:val="sr-Latn-BA"/>
        </w:rPr>
        <w:t>učešće</w:t>
      </w:r>
      <w:r w:rsidR="002E4D61" w:rsidRPr="001B53A8">
        <w:rPr>
          <w:lang w:val="sr-Latn-BA"/>
        </w:rPr>
        <w:t xml:space="preserve"> </w:t>
      </w:r>
      <w:r w:rsidRPr="001B53A8">
        <w:rPr>
          <w:lang w:val="sr-Latn-BA"/>
        </w:rPr>
        <w:t>svake</w:t>
      </w:r>
      <w:r w:rsidR="002E4D61" w:rsidRPr="001B53A8">
        <w:rPr>
          <w:lang w:val="sr-Latn-BA"/>
        </w:rPr>
        <w:t xml:space="preserve"> </w:t>
      </w:r>
      <w:r w:rsidRPr="001B53A8">
        <w:rPr>
          <w:lang w:val="sr-Latn-BA"/>
        </w:rPr>
        <w:t>komisije</w:t>
      </w:r>
      <w:r w:rsidR="002E4D61" w:rsidRPr="001B53A8">
        <w:rPr>
          <w:lang w:val="sr-Latn-BA"/>
        </w:rPr>
        <w:t xml:space="preserve"> </w:t>
      </w:r>
      <w:r w:rsidRPr="001B53A8">
        <w:rPr>
          <w:lang w:val="sr-Latn-BA"/>
        </w:rPr>
        <w:t>za</w:t>
      </w:r>
      <w:r w:rsidR="002E4D61" w:rsidRPr="001B53A8">
        <w:rPr>
          <w:lang w:val="sr-Latn-BA"/>
        </w:rPr>
        <w:t xml:space="preserve"> </w:t>
      </w:r>
      <w:r w:rsidRPr="001B53A8">
        <w:rPr>
          <w:lang w:val="sr-Latn-BA"/>
        </w:rPr>
        <w:t>hartije</w:t>
      </w:r>
      <w:r w:rsidR="002E4D61" w:rsidRPr="001B53A8">
        <w:rPr>
          <w:lang w:val="sr-Latn-BA"/>
        </w:rPr>
        <w:t xml:space="preserve"> </w:t>
      </w:r>
      <w:r w:rsidRPr="001B53A8">
        <w:rPr>
          <w:lang w:val="sr-Latn-BA"/>
        </w:rPr>
        <w:t>od</w:t>
      </w:r>
      <w:r w:rsidR="002E4D61" w:rsidRPr="001B53A8">
        <w:rPr>
          <w:lang w:val="sr-Latn-BA"/>
        </w:rPr>
        <w:t xml:space="preserve"> </w:t>
      </w:r>
      <w:r w:rsidRPr="001B53A8">
        <w:rPr>
          <w:lang w:val="sr-Latn-BA"/>
        </w:rPr>
        <w:t>vrijednosti</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ovoj</w:t>
      </w:r>
      <w:r w:rsidR="002E4D61" w:rsidRPr="001B53A8">
        <w:rPr>
          <w:lang w:val="sr-Latn-BA"/>
        </w:rPr>
        <w:t xml:space="preserve"> </w:t>
      </w:r>
      <w:r w:rsidRPr="001B53A8">
        <w:rPr>
          <w:lang w:val="sr-Latn-BA"/>
        </w:rPr>
        <w:t>mreži</w:t>
      </w:r>
      <w:r w:rsidR="002E4D61" w:rsidRPr="001B53A8">
        <w:rPr>
          <w:lang w:val="sr-Latn-BA"/>
        </w:rPr>
        <w:t xml:space="preserve"> </w:t>
      </w:r>
      <w:r w:rsidRPr="001B53A8">
        <w:rPr>
          <w:lang w:val="sr-Latn-BA"/>
        </w:rPr>
        <w:t>je</w:t>
      </w:r>
      <w:r w:rsidR="002E4D61" w:rsidRPr="001B53A8">
        <w:rPr>
          <w:lang w:val="sr-Latn-BA"/>
        </w:rPr>
        <w:t xml:space="preserve"> </w:t>
      </w:r>
      <w:r w:rsidRPr="001B53A8">
        <w:rPr>
          <w:lang w:val="sr-Latn-BA"/>
        </w:rPr>
        <w:t>od</w:t>
      </w:r>
      <w:r w:rsidR="002E4D61" w:rsidRPr="001B53A8">
        <w:rPr>
          <w:lang w:val="sr-Latn-BA"/>
        </w:rPr>
        <w:t xml:space="preserve"> </w:t>
      </w:r>
      <w:r w:rsidRPr="001B53A8">
        <w:rPr>
          <w:lang w:val="sr-Latn-BA"/>
        </w:rPr>
        <w:t>vitalnog</w:t>
      </w:r>
      <w:r w:rsidR="002E4D61" w:rsidRPr="001B53A8">
        <w:rPr>
          <w:lang w:val="sr-Latn-BA"/>
        </w:rPr>
        <w:t xml:space="preserve"> </w:t>
      </w:r>
      <w:r w:rsidRPr="001B53A8">
        <w:rPr>
          <w:lang w:val="sr-Latn-BA"/>
        </w:rPr>
        <w:t>značaja</w:t>
      </w:r>
      <w:r w:rsidR="002E4D61" w:rsidRPr="001B53A8">
        <w:rPr>
          <w:lang w:val="sr-Latn-BA"/>
        </w:rPr>
        <w:t xml:space="preserve"> </w:t>
      </w:r>
      <w:r w:rsidRPr="001B53A8">
        <w:rPr>
          <w:lang w:val="sr-Latn-BA"/>
        </w:rPr>
        <w:t>da</w:t>
      </w:r>
      <w:r w:rsidR="002E4D61" w:rsidRPr="001B53A8">
        <w:rPr>
          <w:lang w:val="sr-Latn-BA"/>
        </w:rPr>
        <w:t xml:space="preserve"> </w:t>
      </w:r>
      <w:r w:rsidRPr="001B53A8">
        <w:rPr>
          <w:lang w:val="sr-Latn-BA"/>
        </w:rPr>
        <w:t>bi</w:t>
      </w:r>
      <w:r w:rsidR="002E4D61" w:rsidRPr="001B53A8">
        <w:rPr>
          <w:lang w:val="sr-Latn-BA"/>
        </w:rPr>
        <w:t xml:space="preserve"> </w:t>
      </w:r>
      <w:r w:rsidRPr="001B53A8">
        <w:rPr>
          <w:lang w:val="sr-Latn-BA"/>
        </w:rPr>
        <w:t>se</w:t>
      </w:r>
      <w:r w:rsidR="002E4D61" w:rsidRPr="001B53A8">
        <w:rPr>
          <w:lang w:val="sr-Latn-BA"/>
        </w:rPr>
        <w:t xml:space="preserve"> </w:t>
      </w:r>
      <w:r w:rsidRPr="001B53A8">
        <w:rPr>
          <w:lang w:val="sr-Latn-BA"/>
        </w:rPr>
        <w:t>na</w:t>
      </w:r>
      <w:r w:rsidR="002E4D61" w:rsidRPr="001B53A8">
        <w:rPr>
          <w:lang w:val="sr-Latn-BA"/>
        </w:rPr>
        <w:t xml:space="preserve"> </w:t>
      </w:r>
      <w:r w:rsidRPr="001B53A8">
        <w:rPr>
          <w:lang w:val="sr-Latn-BA"/>
        </w:rPr>
        <w:t>efektan</w:t>
      </w:r>
      <w:r w:rsidR="002E4D61" w:rsidRPr="001B53A8">
        <w:rPr>
          <w:lang w:val="sr-Latn-BA"/>
        </w:rPr>
        <w:t xml:space="preserve"> </w:t>
      </w:r>
      <w:r w:rsidRPr="001B53A8">
        <w:rPr>
          <w:lang w:val="sr-Latn-BA"/>
        </w:rPr>
        <w:t>način</w:t>
      </w:r>
      <w:r w:rsidR="002E4D61" w:rsidRPr="001B53A8">
        <w:rPr>
          <w:lang w:val="sr-Latn-BA"/>
        </w:rPr>
        <w:t xml:space="preserve"> </w:t>
      </w:r>
      <w:r w:rsidRPr="001B53A8">
        <w:rPr>
          <w:lang w:val="sr-Latn-BA"/>
        </w:rPr>
        <w:t>borili</w:t>
      </w:r>
      <w:r w:rsidR="002E4D61" w:rsidRPr="001B53A8">
        <w:rPr>
          <w:lang w:val="sr-Latn-BA"/>
        </w:rPr>
        <w:t xml:space="preserve"> </w:t>
      </w:r>
      <w:r w:rsidRPr="001B53A8">
        <w:rPr>
          <w:lang w:val="sr-Latn-BA"/>
        </w:rPr>
        <w:t>protiv</w:t>
      </w:r>
      <w:r w:rsidR="002E4D61" w:rsidRPr="001B53A8">
        <w:rPr>
          <w:lang w:val="sr-Latn-BA"/>
        </w:rPr>
        <w:t xml:space="preserve"> </w:t>
      </w:r>
      <w:r w:rsidRPr="001B53A8">
        <w:rPr>
          <w:lang w:val="sr-Latn-BA"/>
        </w:rPr>
        <w:t>kršenja</w:t>
      </w:r>
      <w:r w:rsidR="002E4D61" w:rsidRPr="001B53A8">
        <w:rPr>
          <w:lang w:val="sr-Latn-BA"/>
        </w:rPr>
        <w:t xml:space="preserve"> </w:t>
      </w:r>
      <w:r w:rsidRPr="001B53A8">
        <w:rPr>
          <w:lang w:val="sr-Latn-BA"/>
        </w:rPr>
        <w:t>zakonskih</w:t>
      </w:r>
      <w:r w:rsidR="002E4D61" w:rsidRPr="001B53A8">
        <w:rPr>
          <w:lang w:val="sr-Latn-BA"/>
        </w:rPr>
        <w:t xml:space="preserve"> </w:t>
      </w:r>
      <w:r w:rsidRPr="001B53A8">
        <w:rPr>
          <w:lang w:val="sr-Latn-BA"/>
        </w:rPr>
        <w:t>propisa</w:t>
      </w:r>
      <w:r w:rsidR="002E4D61" w:rsidRPr="001B53A8">
        <w:rPr>
          <w:lang w:val="sr-Latn-BA"/>
        </w:rPr>
        <w:t xml:space="preserve"> </w:t>
      </w:r>
      <w:r w:rsidRPr="001B53A8">
        <w:rPr>
          <w:lang w:val="sr-Latn-BA"/>
        </w:rPr>
        <w:t>vezanih</w:t>
      </w:r>
      <w:r w:rsidR="002E4D61" w:rsidRPr="001B53A8">
        <w:rPr>
          <w:lang w:val="sr-Latn-BA"/>
        </w:rPr>
        <w:t xml:space="preserve"> </w:t>
      </w:r>
      <w:r w:rsidRPr="001B53A8">
        <w:rPr>
          <w:lang w:val="sr-Latn-BA"/>
        </w:rPr>
        <w:t>za</w:t>
      </w:r>
      <w:r w:rsidR="002E4D61" w:rsidRPr="001B53A8">
        <w:rPr>
          <w:lang w:val="sr-Latn-BA"/>
        </w:rPr>
        <w:t xml:space="preserve"> </w:t>
      </w:r>
      <w:r w:rsidRPr="001B53A8">
        <w:rPr>
          <w:lang w:val="sr-Latn-BA"/>
        </w:rPr>
        <w:t>transakcije</w:t>
      </w:r>
      <w:r w:rsidR="002E4D61" w:rsidRPr="001B53A8">
        <w:rPr>
          <w:lang w:val="sr-Latn-BA"/>
        </w:rPr>
        <w:t xml:space="preserve"> </w:t>
      </w:r>
      <w:r w:rsidRPr="001B53A8">
        <w:rPr>
          <w:lang w:val="sr-Latn-BA"/>
        </w:rPr>
        <w:t>hartijama</w:t>
      </w:r>
      <w:r w:rsidR="002E4D61" w:rsidRPr="001B53A8">
        <w:rPr>
          <w:lang w:val="sr-Latn-BA"/>
        </w:rPr>
        <w:t xml:space="preserve"> </w:t>
      </w:r>
      <w:r w:rsidRPr="001B53A8">
        <w:rPr>
          <w:lang w:val="sr-Latn-BA"/>
        </w:rPr>
        <w:t>od</w:t>
      </w:r>
      <w:r w:rsidR="002E4D61" w:rsidRPr="001B53A8">
        <w:rPr>
          <w:lang w:val="sr-Latn-BA"/>
        </w:rPr>
        <w:t xml:space="preserve"> </w:t>
      </w:r>
      <w:r w:rsidRPr="001B53A8">
        <w:rPr>
          <w:lang w:val="sr-Latn-BA"/>
        </w:rPr>
        <w:t>vrijednosti</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cijelom</w:t>
      </w:r>
      <w:r w:rsidR="002E4D61" w:rsidRPr="001B53A8">
        <w:rPr>
          <w:lang w:val="sr-Latn-BA"/>
        </w:rPr>
        <w:t xml:space="preserve"> </w:t>
      </w:r>
      <w:r w:rsidRPr="001B53A8">
        <w:rPr>
          <w:lang w:val="sr-Latn-BA"/>
        </w:rPr>
        <w:t>svijetu</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protiv</w:t>
      </w:r>
      <w:r w:rsidR="002E4D61" w:rsidRPr="001B53A8">
        <w:rPr>
          <w:lang w:val="sr-Latn-BA"/>
        </w:rPr>
        <w:t xml:space="preserve"> </w:t>
      </w:r>
      <w:r w:rsidRPr="001B53A8">
        <w:rPr>
          <w:lang w:val="sr-Latn-BA"/>
        </w:rPr>
        <w:t>prevara</w:t>
      </w:r>
      <w:r w:rsidR="002E4D61" w:rsidRPr="001B53A8">
        <w:rPr>
          <w:lang w:val="sr-Latn-BA"/>
        </w:rPr>
        <w:t xml:space="preserve"> </w:t>
      </w:r>
      <w:r w:rsidRPr="001B53A8">
        <w:rPr>
          <w:lang w:val="sr-Latn-BA"/>
        </w:rPr>
        <w:t>vezanih</w:t>
      </w:r>
      <w:r w:rsidR="002E4D61" w:rsidRPr="001B53A8">
        <w:rPr>
          <w:lang w:val="sr-Latn-BA"/>
        </w:rPr>
        <w:t xml:space="preserve"> </w:t>
      </w:r>
      <w:r w:rsidRPr="001B53A8">
        <w:rPr>
          <w:lang w:val="sr-Latn-BA"/>
        </w:rPr>
        <w:t>za</w:t>
      </w:r>
      <w:r w:rsidR="002E4D61" w:rsidRPr="001B53A8">
        <w:rPr>
          <w:lang w:val="sr-Latn-BA"/>
        </w:rPr>
        <w:t xml:space="preserve"> </w:t>
      </w:r>
      <w:r w:rsidRPr="001B53A8">
        <w:rPr>
          <w:lang w:val="sr-Latn-BA"/>
        </w:rPr>
        <w:t>tržište</w:t>
      </w:r>
      <w:r w:rsidR="002E4D61" w:rsidRPr="001B53A8">
        <w:rPr>
          <w:lang w:val="sr-Latn-BA"/>
        </w:rPr>
        <w:t xml:space="preserve"> </w:t>
      </w:r>
      <w:r w:rsidRPr="001B53A8">
        <w:rPr>
          <w:lang w:val="sr-Latn-BA"/>
        </w:rPr>
        <w:t>hartija</w:t>
      </w:r>
      <w:r w:rsidR="002E4D61" w:rsidRPr="001B53A8">
        <w:rPr>
          <w:lang w:val="sr-Latn-BA"/>
        </w:rPr>
        <w:t xml:space="preserve"> </w:t>
      </w:r>
      <w:r w:rsidRPr="001B53A8">
        <w:rPr>
          <w:lang w:val="sr-Latn-BA"/>
        </w:rPr>
        <w:t>od</w:t>
      </w:r>
      <w:r w:rsidR="002E4D61" w:rsidRPr="001B53A8">
        <w:rPr>
          <w:lang w:val="sr-Latn-BA"/>
        </w:rPr>
        <w:t xml:space="preserve"> </w:t>
      </w:r>
      <w:r w:rsidRPr="001B53A8">
        <w:rPr>
          <w:lang w:val="sr-Latn-BA"/>
        </w:rPr>
        <w:t>vrijednosti</w:t>
      </w:r>
      <w:r w:rsidR="002E4D61" w:rsidRPr="001B53A8">
        <w:rPr>
          <w:lang w:val="sr-Latn-BA"/>
        </w:rPr>
        <w:t>.</w:t>
      </w:r>
      <w:r w:rsidR="00B85F96" w:rsidRPr="001B53A8">
        <w:rPr>
          <w:lang w:val="sr-Latn-BA" w:eastAsia="en-GB"/>
        </w:rPr>
        <w:t xml:space="preserve"> </w:t>
      </w:r>
    </w:p>
    <w:p w14:paraId="4136D954" w14:textId="0DB061FB" w:rsidR="002E4D61" w:rsidRPr="001B53A8" w:rsidRDefault="00003F34" w:rsidP="006B6E0C">
      <w:pPr>
        <w:pStyle w:val="Heading4"/>
        <w:spacing w:line="240" w:lineRule="auto"/>
        <w:ind w:left="851" w:hanging="851"/>
        <w:rPr>
          <w:rFonts w:ascii="Times New Roman" w:hAnsi="Times New Roman" w:cs="Times New Roman"/>
          <w:lang w:val="sr-Latn-BA"/>
        </w:rPr>
      </w:pPr>
      <w:r w:rsidRPr="001B53A8">
        <w:rPr>
          <w:rFonts w:ascii="Times New Roman" w:hAnsi="Times New Roman" w:cs="Times New Roman"/>
          <w:lang w:val="sr-Latn-BA"/>
        </w:rPr>
        <w:t>Unaprijeđeni</w:t>
      </w:r>
      <w:r w:rsidR="0075782C" w:rsidRPr="001B53A8">
        <w:rPr>
          <w:rFonts w:ascii="Times New Roman" w:hAnsi="Times New Roman" w:cs="Times New Roman"/>
          <w:lang w:val="sr-Latn-BA"/>
        </w:rPr>
        <w:t xml:space="preserve"> </w:t>
      </w:r>
      <w:r w:rsidRPr="001B53A8">
        <w:rPr>
          <w:rFonts w:ascii="Times New Roman" w:hAnsi="Times New Roman" w:cs="Times New Roman"/>
          <w:lang w:val="sr-Latn-BA"/>
        </w:rPr>
        <w:t>međunarodni</w:t>
      </w:r>
      <w:r w:rsidR="0075782C" w:rsidRPr="001B53A8">
        <w:rPr>
          <w:rFonts w:ascii="Times New Roman" w:hAnsi="Times New Roman" w:cs="Times New Roman"/>
          <w:lang w:val="sr-Latn-BA"/>
        </w:rPr>
        <w:t xml:space="preserve"> </w:t>
      </w:r>
      <w:r w:rsidRPr="001B53A8">
        <w:rPr>
          <w:rFonts w:ascii="Times New Roman" w:hAnsi="Times New Roman" w:cs="Times New Roman"/>
          <w:lang w:val="sr-Latn-BA"/>
        </w:rPr>
        <w:t>memorandum</w:t>
      </w:r>
      <w:r w:rsidR="0075782C" w:rsidRPr="001B53A8">
        <w:rPr>
          <w:rFonts w:ascii="Times New Roman" w:hAnsi="Times New Roman" w:cs="Times New Roman"/>
          <w:lang w:val="sr-Latn-BA"/>
        </w:rPr>
        <w:t xml:space="preserve"> </w:t>
      </w:r>
      <w:r w:rsidRPr="001B53A8">
        <w:rPr>
          <w:rFonts w:ascii="Times New Roman" w:hAnsi="Times New Roman" w:cs="Times New Roman"/>
          <w:lang w:val="sr-Latn-BA"/>
        </w:rPr>
        <w:t>o</w:t>
      </w:r>
      <w:r w:rsidR="0075782C" w:rsidRPr="001B53A8">
        <w:rPr>
          <w:rFonts w:ascii="Times New Roman" w:hAnsi="Times New Roman" w:cs="Times New Roman"/>
          <w:lang w:val="sr-Latn-BA"/>
        </w:rPr>
        <w:t xml:space="preserve"> </w:t>
      </w:r>
      <w:r w:rsidRPr="001B53A8">
        <w:rPr>
          <w:rFonts w:ascii="Times New Roman" w:hAnsi="Times New Roman" w:cs="Times New Roman"/>
          <w:lang w:val="sr-Latn-BA"/>
        </w:rPr>
        <w:t>razumijevanju</w:t>
      </w:r>
      <w:r w:rsidR="0075782C" w:rsidRPr="001B53A8">
        <w:rPr>
          <w:rFonts w:ascii="Times New Roman" w:hAnsi="Times New Roman" w:cs="Times New Roman"/>
          <w:lang w:val="sr-Latn-BA"/>
        </w:rPr>
        <w:t xml:space="preserve"> - IOSCO </w:t>
      </w:r>
      <w:r w:rsidR="002E4D61" w:rsidRPr="001B53A8">
        <w:rPr>
          <w:rFonts w:ascii="Times New Roman" w:hAnsi="Times New Roman" w:cs="Times New Roman"/>
          <w:lang w:val="sr-Latn-BA"/>
        </w:rPr>
        <w:t>EMMoU</w:t>
      </w:r>
    </w:p>
    <w:p w14:paraId="703C35B1" w14:textId="58707812" w:rsidR="002E4D61" w:rsidRPr="001B53A8" w:rsidRDefault="00003F34" w:rsidP="006B6E0C">
      <w:pPr>
        <w:pStyle w:val="Default"/>
        <w:spacing w:before="120"/>
        <w:ind w:firstLine="567"/>
        <w:jc w:val="both"/>
        <w:rPr>
          <w:lang w:val="sr-Latn-BA"/>
        </w:rPr>
      </w:pPr>
      <w:r w:rsidRPr="001B53A8">
        <w:rPr>
          <w:lang w:val="sr-Latn-BA"/>
        </w:rPr>
        <w:t>U</w:t>
      </w:r>
      <w:r w:rsidR="002E4D61" w:rsidRPr="001B53A8">
        <w:rPr>
          <w:lang w:val="sr-Latn-BA"/>
        </w:rPr>
        <w:t xml:space="preserve"> </w:t>
      </w:r>
      <w:r w:rsidRPr="001B53A8">
        <w:rPr>
          <w:lang w:val="sr-Latn-BA"/>
        </w:rPr>
        <w:t>poslјednjih</w:t>
      </w:r>
      <w:r w:rsidR="002E4D61" w:rsidRPr="001B53A8">
        <w:rPr>
          <w:lang w:val="sr-Latn-BA"/>
        </w:rPr>
        <w:t xml:space="preserve"> </w:t>
      </w:r>
      <w:r w:rsidRPr="001B53A8">
        <w:rPr>
          <w:lang w:val="sr-Latn-BA"/>
        </w:rPr>
        <w:t>nekoliko</w:t>
      </w:r>
      <w:r w:rsidR="002E4D61" w:rsidRPr="001B53A8">
        <w:rPr>
          <w:lang w:val="sr-Latn-BA"/>
        </w:rPr>
        <w:t xml:space="preserve"> </w:t>
      </w:r>
      <w:r w:rsidRPr="001B53A8">
        <w:rPr>
          <w:lang w:val="sr-Latn-BA"/>
        </w:rPr>
        <w:t>godina</w:t>
      </w:r>
      <w:r w:rsidR="002E4D61" w:rsidRPr="001B53A8">
        <w:rPr>
          <w:lang w:val="sr-Latn-BA"/>
        </w:rPr>
        <w:t xml:space="preserve"> </w:t>
      </w:r>
      <w:r w:rsidRPr="001B53A8">
        <w:rPr>
          <w:lang w:val="sr-Latn-BA"/>
        </w:rPr>
        <w:t>tržišta</w:t>
      </w:r>
      <w:r w:rsidR="002E4D61" w:rsidRPr="001B53A8">
        <w:rPr>
          <w:lang w:val="sr-Latn-BA"/>
        </w:rPr>
        <w:t xml:space="preserve"> </w:t>
      </w:r>
      <w:r w:rsidRPr="001B53A8">
        <w:rPr>
          <w:lang w:val="sr-Latn-BA"/>
        </w:rPr>
        <w:t>kapitala</w:t>
      </w:r>
      <w:r w:rsidR="002E4D61" w:rsidRPr="001B53A8">
        <w:rPr>
          <w:lang w:val="sr-Latn-BA"/>
        </w:rPr>
        <w:t xml:space="preserve"> </w:t>
      </w:r>
      <w:r w:rsidRPr="001B53A8">
        <w:rPr>
          <w:lang w:val="sr-Latn-BA"/>
        </w:rPr>
        <w:t>su</w:t>
      </w:r>
      <w:r w:rsidR="002E4D61" w:rsidRPr="001B53A8">
        <w:rPr>
          <w:lang w:val="sr-Latn-BA"/>
        </w:rPr>
        <w:t xml:space="preserve"> </w:t>
      </w:r>
      <w:r w:rsidRPr="001B53A8">
        <w:rPr>
          <w:lang w:val="sr-Latn-BA"/>
        </w:rPr>
        <w:t>prošla</w:t>
      </w:r>
      <w:r w:rsidR="002E4D61" w:rsidRPr="001B53A8">
        <w:rPr>
          <w:lang w:val="sr-Latn-BA"/>
        </w:rPr>
        <w:t xml:space="preserve"> </w:t>
      </w:r>
      <w:r w:rsidRPr="001B53A8">
        <w:rPr>
          <w:lang w:val="sr-Latn-BA"/>
        </w:rPr>
        <w:t>kroz</w:t>
      </w:r>
      <w:r w:rsidR="002E4D61" w:rsidRPr="001B53A8">
        <w:rPr>
          <w:lang w:val="sr-Latn-BA"/>
        </w:rPr>
        <w:t xml:space="preserve"> </w:t>
      </w:r>
      <w:r w:rsidRPr="001B53A8">
        <w:rPr>
          <w:lang w:val="sr-Latn-BA"/>
        </w:rPr>
        <w:t>suštinske</w:t>
      </w:r>
      <w:r w:rsidR="002E4D61" w:rsidRPr="001B53A8">
        <w:rPr>
          <w:lang w:val="sr-Latn-BA"/>
        </w:rPr>
        <w:t xml:space="preserve"> </w:t>
      </w:r>
      <w:r w:rsidRPr="001B53A8">
        <w:rPr>
          <w:lang w:val="sr-Latn-BA"/>
        </w:rPr>
        <w:t>promjene</w:t>
      </w:r>
      <w:r w:rsidR="002E4D61" w:rsidRPr="001B53A8">
        <w:rPr>
          <w:lang w:val="sr-Latn-BA"/>
        </w:rPr>
        <w:t xml:space="preserve"> </w:t>
      </w:r>
      <w:r w:rsidRPr="001B53A8">
        <w:rPr>
          <w:lang w:val="sr-Latn-BA"/>
        </w:rPr>
        <w:t>vođene</w:t>
      </w:r>
      <w:r w:rsidR="002E4D61" w:rsidRPr="001B53A8">
        <w:rPr>
          <w:lang w:val="sr-Latn-BA"/>
        </w:rPr>
        <w:t xml:space="preserve"> </w:t>
      </w:r>
      <w:r w:rsidRPr="001B53A8">
        <w:rPr>
          <w:lang w:val="sr-Latn-BA"/>
        </w:rPr>
        <w:t>napretkom</w:t>
      </w:r>
      <w:r w:rsidR="002E4D61" w:rsidRPr="001B53A8">
        <w:rPr>
          <w:lang w:val="sr-Latn-BA"/>
        </w:rPr>
        <w:t xml:space="preserve"> </w:t>
      </w:r>
      <w:r w:rsidRPr="001B53A8">
        <w:rPr>
          <w:lang w:val="sr-Latn-BA"/>
        </w:rPr>
        <w:t>tehnologije</w:t>
      </w:r>
      <w:r w:rsidR="002E4D61" w:rsidRPr="001B53A8">
        <w:rPr>
          <w:lang w:val="sr-Latn-BA"/>
        </w:rPr>
        <w:t xml:space="preserve">. </w:t>
      </w:r>
      <w:r w:rsidRPr="001B53A8">
        <w:rPr>
          <w:lang w:val="sr-Latn-BA"/>
        </w:rPr>
        <w:t>Te</w:t>
      </w:r>
      <w:r w:rsidR="002E4D61" w:rsidRPr="001B53A8">
        <w:rPr>
          <w:lang w:val="sr-Latn-BA"/>
        </w:rPr>
        <w:t xml:space="preserve"> </w:t>
      </w:r>
      <w:r w:rsidRPr="001B53A8">
        <w:rPr>
          <w:lang w:val="sr-Latn-BA"/>
        </w:rPr>
        <w:t>promjene</w:t>
      </w:r>
      <w:r w:rsidR="002E4D61" w:rsidRPr="001B53A8">
        <w:rPr>
          <w:lang w:val="sr-Latn-BA"/>
        </w:rPr>
        <w:t xml:space="preserve"> </w:t>
      </w:r>
      <w:r w:rsidRPr="001B53A8">
        <w:rPr>
          <w:lang w:val="sr-Latn-BA"/>
        </w:rPr>
        <w:t>istovremeno</w:t>
      </w:r>
      <w:r w:rsidR="002E4D61" w:rsidRPr="001B53A8">
        <w:rPr>
          <w:lang w:val="sr-Latn-BA"/>
        </w:rPr>
        <w:t xml:space="preserve"> </w:t>
      </w:r>
      <w:r w:rsidRPr="001B53A8">
        <w:rPr>
          <w:lang w:val="sr-Latn-BA"/>
        </w:rPr>
        <w:t>predstavlјaju</w:t>
      </w:r>
      <w:r w:rsidR="002E4D61" w:rsidRPr="001B53A8">
        <w:rPr>
          <w:lang w:val="sr-Latn-BA"/>
        </w:rPr>
        <w:t xml:space="preserve"> </w:t>
      </w:r>
      <w:r w:rsidRPr="001B53A8">
        <w:rPr>
          <w:lang w:val="sr-Latn-BA"/>
        </w:rPr>
        <w:t>nove</w:t>
      </w:r>
      <w:r w:rsidR="002E4D61" w:rsidRPr="001B53A8">
        <w:rPr>
          <w:lang w:val="sr-Latn-BA"/>
        </w:rPr>
        <w:t xml:space="preserve"> </w:t>
      </w:r>
      <w:r w:rsidRPr="001B53A8">
        <w:rPr>
          <w:lang w:val="sr-Latn-BA"/>
        </w:rPr>
        <w:t>izazove</w:t>
      </w:r>
      <w:r w:rsidR="002E4D61" w:rsidRPr="001B53A8">
        <w:rPr>
          <w:lang w:val="sr-Latn-BA"/>
        </w:rPr>
        <w:t xml:space="preserve"> </w:t>
      </w:r>
      <w:r w:rsidRPr="001B53A8">
        <w:rPr>
          <w:lang w:val="sr-Latn-BA"/>
        </w:rPr>
        <w:t>za</w:t>
      </w:r>
      <w:r w:rsidR="002E4D61" w:rsidRPr="001B53A8">
        <w:rPr>
          <w:lang w:val="sr-Latn-BA"/>
        </w:rPr>
        <w:t xml:space="preserve"> </w:t>
      </w:r>
      <w:r w:rsidRPr="001B53A8">
        <w:rPr>
          <w:lang w:val="sr-Latn-BA"/>
        </w:rPr>
        <w:t>regulatore</w:t>
      </w:r>
      <w:r w:rsidR="002E4D61" w:rsidRPr="001B53A8">
        <w:rPr>
          <w:lang w:val="sr-Latn-BA"/>
        </w:rPr>
        <w:t xml:space="preserve">, </w:t>
      </w:r>
      <w:r w:rsidRPr="001B53A8">
        <w:rPr>
          <w:lang w:val="sr-Latn-BA"/>
        </w:rPr>
        <w:t>što</w:t>
      </w:r>
      <w:r w:rsidR="002E4D61" w:rsidRPr="001B53A8">
        <w:rPr>
          <w:lang w:val="sr-Latn-BA"/>
        </w:rPr>
        <w:t xml:space="preserve"> </w:t>
      </w:r>
      <w:r w:rsidRPr="001B53A8">
        <w:rPr>
          <w:lang w:val="sr-Latn-BA"/>
        </w:rPr>
        <w:t>je</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razlog</w:t>
      </w:r>
      <w:r w:rsidR="002E4D61" w:rsidRPr="001B53A8">
        <w:rPr>
          <w:lang w:val="sr-Latn-BA"/>
        </w:rPr>
        <w:t xml:space="preserve"> </w:t>
      </w:r>
      <w:r w:rsidRPr="001B53A8">
        <w:rPr>
          <w:lang w:val="sr-Latn-BA"/>
        </w:rPr>
        <w:t>za</w:t>
      </w:r>
      <w:r w:rsidR="002E4D61" w:rsidRPr="001B53A8">
        <w:rPr>
          <w:lang w:val="sr-Latn-BA"/>
        </w:rPr>
        <w:t xml:space="preserve"> </w:t>
      </w:r>
      <w:r w:rsidRPr="001B53A8">
        <w:rPr>
          <w:lang w:val="sr-Latn-BA"/>
        </w:rPr>
        <w:t>ideju</w:t>
      </w:r>
      <w:r w:rsidR="002E4D61" w:rsidRPr="001B53A8">
        <w:rPr>
          <w:lang w:val="sr-Latn-BA"/>
        </w:rPr>
        <w:t xml:space="preserve"> </w:t>
      </w:r>
      <w:r w:rsidRPr="001B53A8">
        <w:rPr>
          <w:lang w:val="sr-Latn-BA"/>
        </w:rPr>
        <w:t>o</w:t>
      </w:r>
      <w:r w:rsidR="002E4D61" w:rsidRPr="001B53A8">
        <w:rPr>
          <w:lang w:val="sr-Latn-BA"/>
        </w:rPr>
        <w:t xml:space="preserve"> </w:t>
      </w:r>
      <w:r w:rsidRPr="001B53A8">
        <w:rPr>
          <w:lang w:val="sr-Latn-BA"/>
        </w:rPr>
        <w:t>novom</w:t>
      </w:r>
      <w:r w:rsidR="002E4D61" w:rsidRPr="001B53A8">
        <w:rPr>
          <w:lang w:val="sr-Latn-BA"/>
        </w:rPr>
        <w:t xml:space="preserve"> </w:t>
      </w:r>
      <w:r w:rsidRPr="001B53A8">
        <w:rPr>
          <w:lang w:val="sr-Latn-BA"/>
        </w:rPr>
        <w:t>Unaprijeđenom</w:t>
      </w:r>
      <w:r w:rsidR="002E4D61" w:rsidRPr="001B53A8">
        <w:rPr>
          <w:lang w:val="sr-Latn-BA"/>
        </w:rPr>
        <w:t xml:space="preserve"> </w:t>
      </w:r>
      <w:r w:rsidRPr="001B53A8">
        <w:rPr>
          <w:lang w:val="sr-Latn-BA"/>
        </w:rPr>
        <w:t>međunarodnom</w:t>
      </w:r>
      <w:r w:rsidR="002E4D61" w:rsidRPr="001B53A8">
        <w:rPr>
          <w:lang w:val="sr-Latn-BA"/>
        </w:rPr>
        <w:t xml:space="preserve"> </w:t>
      </w:r>
      <w:r w:rsidRPr="001B53A8">
        <w:rPr>
          <w:lang w:val="sr-Latn-BA"/>
        </w:rPr>
        <w:t>memorandumu</w:t>
      </w:r>
      <w:r w:rsidR="002E4D61" w:rsidRPr="001B53A8">
        <w:rPr>
          <w:lang w:val="sr-Latn-BA"/>
        </w:rPr>
        <w:t xml:space="preserve"> </w:t>
      </w:r>
      <w:r w:rsidRPr="001B53A8">
        <w:rPr>
          <w:lang w:val="sr-Latn-BA"/>
        </w:rPr>
        <w:t>o</w:t>
      </w:r>
      <w:r w:rsidR="002E4D61" w:rsidRPr="001B53A8">
        <w:rPr>
          <w:lang w:val="sr-Latn-BA"/>
        </w:rPr>
        <w:t xml:space="preserve"> </w:t>
      </w:r>
      <w:r w:rsidRPr="001B53A8">
        <w:rPr>
          <w:lang w:val="sr-Latn-BA"/>
        </w:rPr>
        <w:t>razumijevanju</w:t>
      </w:r>
      <w:r w:rsidR="002E4D61" w:rsidRPr="001B53A8">
        <w:rPr>
          <w:lang w:val="sr-Latn-BA"/>
        </w:rPr>
        <w:t xml:space="preserve"> (IOSCO EMMoU). </w:t>
      </w:r>
      <w:r w:rsidRPr="001B53A8">
        <w:rPr>
          <w:lang w:val="sr-Latn-BA"/>
        </w:rPr>
        <w:t>Cilј</w:t>
      </w:r>
      <w:r w:rsidR="002E4D61" w:rsidRPr="001B53A8">
        <w:rPr>
          <w:lang w:val="sr-Latn-BA"/>
        </w:rPr>
        <w:t xml:space="preserve"> </w:t>
      </w:r>
      <w:r w:rsidRPr="001B53A8">
        <w:rPr>
          <w:lang w:val="sr-Latn-BA"/>
        </w:rPr>
        <w:t>unapređenja</w:t>
      </w:r>
      <w:r w:rsidR="002E4D61" w:rsidRPr="001B53A8">
        <w:rPr>
          <w:lang w:val="sr-Latn-BA"/>
        </w:rPr>
        <w:t xml:space="preserve"> MMoU </w:t>
      </w:r>
      <w:r w:rsidRPr="001B53A8">
        <w:rPr>
          <w:lang w:val="sr-Latn-BA"/>
        </w:rPr>
        <w:t>je</w:t>
      </w:r>
      <w:r w:rsidR="002E4D61" w:rsidRPr="001B53A8">
        <w:rPr>
          <w:lang w:val="sr-Latn-BA"/>
        </w:rPr>
        <w:t xml:space="preserve"> </w:t>
      </w:r>
      <w:r w:rsidRPr="001B53A8">
        <w:rPr>
          <w:lang w:val="sr-Latn-BA"/>
        </w:rPr>
        <w:t>da</w:t>
      </w:r>
      <w:r w:rsidR="002E4D61" w:rsidRPr="001B53A8">
        <w:rPr>
          <w:lang w:val="sr-Latn-BA"/>
        </w:rPr>
        <w:t xml:space="preserve"> </w:t>
      </w:r>
      <w:r w:rsidRPr="001B53A8">
        <w:rPr>
          <w:lang w:val="sr-Latn-BA"/>
        </w:rPr>
        <w:t>se</w:t>
      </w:r>
      <w:r w:rsidR="002E4D61" w:rsidRPr="001B53A8">
        <w:rPr>
          <w:lang w:val="sr-Latn-BA"/>
        </w:rPr>
        <w:t xml:space="preserve"> </w:t>
      </w:r>
      <w:r w:rsidRPr="001B53A8">
        <w:rPr>
          <w:lang w:val="sr-Latn-BA"/>
        </w:rPr>
        <w:t>poveća</w:t>
      </w:r>
      <w:r w:rsidR="002E4D61" w:rsidRPr="001B53A8">
        <w:rPr>
          <w:lang w:val="sr-Latn-BA"/>
        </w:rPr>
        <w:t xml:space="preserve"> </w:t>
      </w:r>
      <w:r w:rsidRPr="001B53A8">
        <w:rPr>
          <w:lang w:val="sr-Latn-BA"/>
        </w:rPr>
        <w:t>nadležnost</w:t>
      </w:r>
      <w:r w:rsidR="002E4D61" w:rsidRPr="001B53A8">
        <w:rPr>
          <w:lang w:val="sr-Latn-BA"/>
        </w:rPr>
        <w:t xml:space="preserve"> </w:t>
      </w:r>
      <w:r w:rsidRPr="001B53A8">
        <w:rPr>
          <w:lang w:val="sr-Latn-BA"/>
        </w:rPr>
        <w:t>koju</w:t>
      </w:r>
      <w:r w:rsidR="002E4D61" w:rsidRPr="001B53A8">
        <w:rPr>
          <w:lang w:val="sr-Latn-BA"/>
        </w:rPr>
        <w:t xml:space="preserve"> </w:t>
      </w:r>
      <w:r w:rsidRPr="001B53A8">
        <w:rPr>
          <w:lang w:val="sr-Latn-BA"/>
        </w:rPr>
        <w:t>već</w:t>
      </w:r>
      <w:r w:rsidR="002E4D61" w:rsidRPr="001B53A8">
        <w:rPr>
          <w:lang w:val="sr-Latn-BA"/>
        </w:rPr>
        <w:t xml:space="preserve"> </w:t>
      </w:r>
      <w:r w:rsidRPr="001B53A8">
        <w:rPr>
          <w:lang w:val="sr-Latn-BA"/>
        </w:rPr>
        <w:t>daje</w:t>
      </w:r>
      <w:r w:rsidR="002E4D61" w:rsidRPr="001B53A8">
        <w:rPr>
          <w:lang w:val="sr-Latn-BA"/>
        </w:rPr>
        <w:t xml:space="preserve"> MMoU, </w:t>
      </w:r>
      <w:r w:rsidRPr="001B53A8">
        <w:rPr>
          <w:lang w:val="sr-Latn-BA"/>
        </w:rPr>
        <w:t>kako</w:t>
      </w:r>
      <w:r w:rsidR="002E4D61" w:rsidRPr="001B53A8">
        <w:rPr>
          <w:lang w:val="sr-Latn-BA"/>
        </w:rPr>
        <w:t xml:space="preserve"> </w:t>
      </w:r>
      <w:r w:rsidRPr="001B53A8">
        <w:rPr>
          <w:lang w:val="sr-Latn-BA"/>
        </w:rPr>
        <w:t>bi</w:t>
      </w:r>
      <w:r w:rsidR="002E4D61" w:rsidRPr="001B53A8">
        <w:rPr>
          <w:lang w:val="sr-Latn-BA"/>
        </w:rPr>
        <w:t xml:space="preserve"> </w:t>
      </w:r>
      <w:r w:rsidRPr="001B53A8">
        <w:rPr>
          <w:lang w:val="sr-Latn-BA"/>
        </w:rPr>
        <w:t>se</w:t>
      </w:r>
      <w:r w:rsidR="002E4D61" w:rsidRPr="001B53A8">
        <w:rPr>
          <w:lang w:val="sr-Latn-BA"/>
        </w:rPr>
        <w:t xml:space="preserve"> </w:t>
      </w:r>
      <w:r w:rsidRPr="001B53A8">
        <w:rPr>
          <w:lang w:val="sr-Latn-BA"/>
        </w:rPr>
        <w:t>obuhvatile</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promjene</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finansijskoj</w:t>
      </w:r>
      <w:r w:rsidR="002E4D61" w:rsidRPr="001B53A8">
        <w:rPr>
          <w:lang w:val="sr-Latn-BA"/>
        </w:rPr>
        <w:t xml:space="preserve"> </w:t>
      </w:r>
      <w:r w:rsidRPr="001B53A8">
        <w:rPr>
          <w:lang w:val="sr-Latn-BA"/>
        </w:rPr>
        <w:t>industriji</w:t>
      </w:r>
      <w:r w:rsidR="002E4D61" w:rsidRPr="001B53A8">
        <w:rPr>
          <w:lang w:val="sr-Latn-BA"/>
        </w:rPr>
        <w:t xml:space="preserve"> </w:t>
      </w:r>
      <w:r w:rsidRPr="001B53A8">
        <w:rPr>
          <w:lang w:val="sr-Latn-BA"/>
        </w:rPr>
        <w:t>koje</w:t>
      </w:r>
      <w:r w:rsidR="002E4D61" w:rsidRPr="001B53A8">
        <w:rPr>
          <w:lang w:val="sr-Latn-BA"/>
        </w:rPr>
        <w:t xml:space="preserve"> </w:t>
      </w:r>
      <w:r w:rsidRPr="001B53A8">
        <w:rPr>
          <w:lang w:val="sr-Latn-BA"/>
        </w:rPr>
        <w:t>su</w:t>
      </w:r>
      <w:r w:rsidR="002E4D61" w:rsidRPr="001B53A8">
        <w:rPr>
          <w:lang w:val="sr-Latn-BA"/>
        </w:rPr>
        <w:t xml:space="preserve"> </w:t>
      </w:r>
      <w:r w:rsidRPr="001B53A8">
        <w:rPr>
          <w:lang w:val="sr-Latn-BA"/>
        </w:rPr>
        <w:t>nastale</w:t>
      </w:r>
      <w:r w:rsidR="002E4D61" w:rsidRPr="001B53A8">
        <w:rPr>
          <w:lang w:val="sr-Latn-BA"/>
        </w:rPr>
        <w:t xml:space="preserve"> </w:t>
      </w:r>
      <w:r w:rsidRPr="001B53A8">
        <w:rPr>
          <w:lang w:val="sr-Latn-BA"/>
        </w:rPr>
        <w:t>nakon</w:t>
      </w:r>
      <w:r w:rsidR="002E4D61" w:rsidRPr="001B53A8">
        <w:rPr>
          <w:lang w:val="sr-Latn-BA"/>
        </w:rPr>
        <w:t xml:space="preserve"> </w:t>
      </w:r>
      <w:r w:rsidRPr="001B53A8">
        <w:rPr>
          <w:lang w:val="sr-Latn-BA"/>
        </w:rPr>
        <w:t>što</w:t>
      </w:r>
      <w:r w:rsidR="002E4D61" w:rsidRPr="001B53A8">
        <w:rPr>
          <w:lang w:val="sr-Latn-BA"/>
        </w:rPr>
        <w:t xml:space="preserve"> </w:t>
      </w:r>
      <w:r w:rsidRPr="001B53A8">
        <w:rPr>
          <w:lang w:val="sr-Latn-BA"/>
        </w:rPr>
        <w:t>je</w:t>
      </w:r>
      <w:r w:rsidR="002E4D61" w:rsidRPr="001B53A8">
        <w:rPr>
          <w:lang w:val="sr-Latn-BA"/>
        </w:rPr>
        <w:t xml:space="preserve"> </w:t>
      </w:r>
      <w:r w:rsidRPr="001B53A8">
        <w:rPr>
          <w:lang w:val="sr-Latn-BA"/>
        </w:rPr>
        <w:t>uspostavlјen</w:t>
      </w:r>
      <w:r w:rsidR="002E4D61" w:rsidRPr="001B53A8">
        <w:rPr>
          <w:lang w:val="sr-Latn-BA"/>
        </w:rPr>
        <w:t xml:space="preserve"> MMoU. </w:t>
      </w:r>
    </w:p>
    <w:p w14:paraId="50E4C0C2" w14:textId="6BC93BEE" w:rsidR="002E4D61" w:rsidRPr="001B53A8" w:rsidRDefault="00003F34" w:rsidP="006B6E0C">
      <w:pPr>
        <w:pStyle w:val="Default"/>
        <w:spacing w:before="120"/>
        <w:ind w:firstLine="567"/>
        <w:jc w:val="both"/>
        <w:rPr>
          <w:lang w:val="sr-Latn-BA"/>
        </w:rPr>
      </w:pPr>
      <w:r w:rsidRPr="001B53A8">
        <w:rPr>
          <w:lang w:val="sr-Latn-BA"/>
        </w:rPr>
        <w:t>Za</w:t>
      </w:r>
      <w:r w:rsidR="002E4D61" w:rsidRPr="001B53A8">
        <w:rPr>
          <w:lang w:val="sr-Latn-BA"/>
        </w:rPr>
        <w:t xml:space="preserve"> IOSCO </w:t>
      </w:r>
      <w:r w:rsidRPr="001B53A8">
        <w:rPr>
          <w:lang w:val="sr-Latn-BA"/>
        </w:rPr>
        <w:t>je</w:t>
      </w:r>
      <w:r w:rsidR="002E4D61" w:rsidRPr="001B53A8">
        <w:rPr>
          <w:lang w:val="sr-Latn-BA"/>
        </w:rPr>
        <w:t xml:space="preserve"> </w:t>
      </w:r>
      <w:r w:rsidRPr="001B53A8">
        <w:rPr>
          <w:lang w:val="sr-Latn-BA"/>
        </w:rPr>
        <w:t>od</w:t>
      </w:r>
      <w:r w:rsidR="002E4D61" w:rsidRPr="001B53A8">
        <w:rPr>
          <w:lang w:val="sr-Latn-BA"/>
        </w:rPr>
        <w:t xml:space="preserve"> </w:t>
      </w:r>
      <w:r w:rsidRPr="001B53A8">
        <w:rPr>
          <w:lang w:val="sr-Latn-BA"/>
        </w:rPr>
        <w:t>klјučne</w:t>
      </w:r>
      <w:r w:rsidR="002E4D61" w:rsidRPr="001B53A8">
        <w:rPr>
          <w:lang w:val="sr-Latn-BA"/>
        </w:rPr>
        <w:t xml:space="preserve"> </w:t>
      </w:r>
      <w:r w:rsidRPr="001B53A8">
        <w:rPr>
          <w:lang w:val="sr-Latn-BA"/>
        </w:rPr>
        <w:t>važnosti</w:t>
      </w:r>
      <w:r w:rsidR="002E4D61" w:rsidRPr="001B53A8">
        <w:rPr>
          <w:lang w:val="sr-Latn-BA"/>
        </w:rPr>
        <w:t xml:space="preserve"> </w:t>
      </w:r>
      <w:r w:rsidRPr="001B53A8">
        <w:rPr>
          <w:lang w:val="sr-Latn-BA"/>
        </w:rPr>
        <w:t>da</w:t>
      </w:r>
      <w:r w:rsidR="002E4D61" w:rsidRPr="001B53A8">
        <w:rPr>
          <w:lang w:val="sr-Latn-BA"/>
        </w:rPr>
        <w:t xml:space="preserve"> </w:t>
      </w:r>
      <w:r w:rsidRPr="001B53A8">
        <w:rPr>
          <w:lang w:val="sr-Latn-BA"/>
        </w:rPr>
        <w:t>njeguje</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štiti</w:t>
      </w:r>
      <w:r w:rsidR="002E4D61" w:rsidRPr="001B53A8">
        <w:rPr>
          <w:lang w:val="sr-Latn-BA"/>
        </w:rPr>
        <w:t xml:space="preserve"> </w:t>
      </w:r>
      <w:r w:rsidRPr="001B53A8">
        <w:rPr>
          <w:lang w:val="sr-Latn-BA"/>
        </w:rPr>
        <w:t>međunarodnu</w:t>
      </w:r>
      <w:r w:rsidR="002E4D61" w:rsidRPr="001B53A8">
        <w:rPr>
          <w:lang w:val="sr-Latn-BA"/>
        </w:rPr>
        <w:t xml:space="preserve"> </w:t>
      </w:r>
      <w:r w:rsidRPr="001B53A8">
        <w:rPr>
          <w:lang w:val="sr-Latn-BA"/>
        </w:rPr>
        <w:t>saradnju</w:t>
      </w:r>
      <w:r w:rsidR="002E4D61" w:rsidRPr="001B53A8">
        <w:rPr>
          <w:lang w:val="sr-Latn-BA"/>
        </w:rPr>
        <w:t xml:space="preserve"> </w:t>
      </w:r>
      <w:r w:rsidRPr="001B53A8">
        <w:rPr>
          <w:lang w:val="sr-Latn-BA"/>
        </w:rPr>
        <w:t>tako</w:t>
      </w:r>
      <w:r w:rsidR="002E4D61" w:rsidRPr="001B53A8">
        <w:rPr>
          <w:lang w:val="sr-Latn-BA"/>
        </w:rPr>
        <w:t xml:space="preserve"> </w:t>
      </w:r>
      <w:r w:rsidRPr="001B53A8">
        <w:rPr>
          <w:lang w:val="sr-Latn-BA"/>
        </w:rPr>
        <w:t>što</w:t>
      </w:r>
      <w:r w:rsidR="002E4D61" w:rsidRPr="001B53A8">
        <w:rPr>
          <w:lang w:val="sr-Latn-BA"/>
        </w:rPr>
        <w:t xml:space="preserve"> </w:t>
      </w:r>
      <w:r w:rsidRPr="001B53A8">
        <w:rPr>
          <w:lang w:val="sr-Latn-BA"/>
        </w:rPr>
        <w:t>će</w:t>
      </w:r>
      <w:r w:rsidR="002E4D61" w:rsidRPr="001B53A8">
        <w:rPr>
          <w:lang w:val="sr-Latn-BA"/>
        </w:rPr>
        <w:t xml:space="preserve"> </w:t>
      </w:r>
      <w:r w:rsidRPr="001B53A8">
        <w:rPr>
          <w:lang w:val="sr-Latn-BA"/>
        </w:rPr>
        <w:t>osigurati</w:t>
      </w:r>
      <w:r w:rsidR="002E4D61" w:rsidRPr="001B53A8">
        <w:rPr>
          <w:lang w:val="sr-Latn-BA"/>
        </w:rPr>
        <w:t xml:space="preserve"> </w:t>
      </w:r>
      <w:r w:rsidRPr="001B53A8">
        <w:rPr>
          <w:lang w:val="sr-Latn-BA"/>
        </w:rPr>
        <w:t>da</w:t>
      </w:r>
      <w:r w:rsidR="002E4D61" w:rsidRPr="001B53A8">
        <w:rPr>
          <w:lang w:val="sr-Latn-BA"/>
        </w:rPr>
        <w:t xml:space="preserve"> </w:t>
      </w:r>
      <w:r w:rsidRPr="001B53A8">
        <w:rPr>
          <w:lang w:val="sr-Latn-BA"/>
        </w:rPr>
        <w:t>međunarodni</w:t>
      </w:r>
      <w:r w:rsidR="002E4D61" w:rsidRPr="001B53A8">
        <w:rPr>
          <w:lang w:val="sr-Latn-BA"/>
        </w:rPr>
        <w:t xml:space="preserve"> </w:t>
      </w:r>
      <w:r w:rsidRPr="001B53A8">
        <w:rPr>
          <w:lang w:val="sr-Latn-BA"/>
        </w:rPr>
        <w:t>standardi</w:t>
      </w:r>
      <w:r w:rsidR="002E4D61" w:rsidRPr="001B53A8">
        <w:rPr>
          <w:lang w:val="sr-Latn-BA"/>
        </w:rPr>
        <w:t xml:space="preserve"> </w:t>
      </w:r>
      <w:r w:rsidRPr="001B53A8">
        <w:rPr>
          <w:lang w:val="sr-Latn-BA"/>
        </w:rPr>
        <w:t>saradnje</w:t>
      </w:r>
      <w:r w:rsidR="002E4D61" w:rsidRPr="001B53A8">
        <w:rPr>
          <w:lang w:val="sr-Latn-BA"/>
        </w:rPr>
        <w:t xml:space="preserve"> </w:t>
      </w:r>
      <w:r w:rsidRPr="001B53A8">
        <w:rPr>
          <w:lang w:val="sr-Latn-BA"/>
        </w:rPr>
        <w:t>budu</w:t>
      </w:r>
      <w:r w:rsidR="002E4D61" w:rsidRPr="001B53A8">
        <w:rPr>
          <w:lang w:val="sr-Latn-BA"/>
        </w:rPr>
        <w:t xml:space="preserve"> </w:t>
      </w:r>
      <w:r w:rsidRPr="001B53A8">
        <w:rPr>
          <w:lang w:val="sr-Latn-BA"/>
        </w:rPr>
        <w:t>stalno</w:t>
      </w:r>
      <w:r w:rsidR="002E4D61" w:rsidRPr="001B53A8">
        <w:rPr>
          <w:lang w:val="sr-Latn-BA"/>
        </w:rPr>
        <w:t xml:space="preserve"> </w:t>
      </w:r>
      <w:r w:rsidRPr="001B53A8">
        <w:rPr>
          <w:lang w:val="sr-Latn-BA"/>
        </w:rPr>
        <w:t>aktuelni</w:t>
      </w:r>
      <w:r w:rsidR="002E4D61" w:rsidRPr="001B53A8">
        <w:rPr>
          <w:lang w:val="sr-Latn-BA"/>
        </w:rPr>
        <w:t xml:space="preserve">. IOSCO EMMoU </w:t>
      </w:r>
      <w:r w:rsidRPr="001B53A8">
        <w:rPr>
          <w:lang w:val="sr-Latn-BA"/>
        </w:rPr>
        <w:t>je</w:t>
      </w:r>
      <w:r w:rsidR="002E4D61" w:rsidRPr="001B53A8">
        <w:rPr>
          <w:lang w:val="sr-Latn-BA"/>
        </w:rPr>
        <w:t xml:space="preserve"> </w:t>
      </w:r>
      <w:r w:rsidRPr="001B53A8">
        <w:rPr>
          <w:lang w:val="sr-Latn-BA"/>
        </w:rPr>
        <w:t>kreiran</w:t>
      </w:r>
      <w:r w:rsidR="002E4D61" w:rsidRPr="001B53A8">
        <w:rPr>
          <w:lang w:val="sr-Latn-BA"/>
        </w:rPr>
        <w:t xml:space="preserve"> </w:t>
      </w:r>
      <w:r w:rsidRPr="001B53A8">
        <w:rPr>
          <w:lang w:val="sr-Latn-BA"/>
        </w:rPr>
        <w:t>kao</w:t>
      </w:r>
      <w:r w:rsidR="002E4D61" w:rsidRPr="001B53A8">
        <w:rPr>
          <w:lang w:val="sr-Latn-BA"/>
        </w:rPr>
        <w:t xml:space="preserve"> </w:t>
      </w:r>
      <w:r w:rsidRPr="001B53A8">
        <w:rPr>
          <w:lang w:val="sr-Latn-BA"/>
        </w:rPr>
        <w:t>standard</w:t>
      </w:r>
      <w:r w:rsidR="002E4D61" w:rsidRPr="001B53A8">
        <w:rPr>
          <w:lang w:val="sr-Latn-BA"/>
        </w:rPr>
        <w:t xml:space="preserve"> </w:t>
      </w:r>
      <w:r w:rsidRPr="001B53A8">
        <w:rPr>
          <w:lang w:val="sr-Latn-BA"/>
        </w:rPr>
        <w:t>koji</w:t>
      </w:r>
      <w:r w:rsidR="002E4D61" w:rsidRPr="001B53A8">
        <w:rPr>
          <w:lang w:val="sr-Latn-BA"/>
        </w:rPr>
        <w:t xml:space="preserve"> </w:t>
      </w:r>
      <w:r w:rsidRPr="001B53A8">
        <w:rPr>
          <w:lang w:val="sr-Latn-BA"/>
        </w:rPr>
        <w:t>posebno</w:t>
      </w:r>
      <w:r w:rsidR="002E4D61" w:rsidRPr="001B53A8">
        <w:rPr>
          <w:lang w:val="sr-Latn-BA"/>
        </w:rPr>
        <w:t xml:space="preserve"> </w:t>
      </w:r>
      <w:r w:rsidRPr="001B53A8">
        <w:rPr>
          <w:lang w:val="sr-Latn-BA"/>
        </w:rPr>
        <w:t>obuhvata</w:t>
      </w:r>
      <w:r w:rsidR="002E4D61" w:rsidRPr="001B53A8">
        <w:rPr>
          <w:lang w:val="sr-Latn-BA"/>
        </w:rPr>
        <w:t xml:space="preserve"> </w:t>
      </w:r>
      <w:r w:rsidRPr="001B53A8">
        <w:rPr>
          <w:lang w:val="sr-Latn-BA"/>
        </w:rPr>
        <w:t>dodatne</w:t>
      </w:r>
      <w:r w:rsidR="002E4D61" w:rsidRPr="001B53A8">
        <w:rPr>
          <w:lang w:val="sr-Latn-BA"/>
        </w:rPr>
        <w:t xml:space="preserve"> </w:t>
      </w:r>
      <w:r w:rsidRPr="001B53A8">
        <w:rPr>
          <w:lang w:val="sr-Latn-BA"/>
        </w:rPr>
        <w:t>klјučne</w:t>
      </w:r>
      <w:r w:rsidR="002E4D61" w:rsidRPr="001B53A8">
        <w:rPr>
          <w:lang w:val="sr-Latn-BA"/>
        </w:rPr>
        <w:t xml:space="preserve"> </w:t>
      </w:r>
      <w:r w:rsidRPr="001B53A8">
        <w:rPr>
          <w:lang w:val="sr-Latn-BA"/>
        </w:rPr>
        <w:t>nadležnosti</w:t>
      </w:r>
      <w:r w:rsidR="002E4D61" w:rsidRPr="001B53A8">
        <w:rPr>
          <w:lang w:val="sr-Latn-BA"/>
        </w:rPr>
        <w:t xml:space="preserve"> </w:t>
      </w:r>
      <w:r w:rsidRPr="001B53A8">
        <w:rPr>
          <w:lang w:val="sr-Latn-BA"/>
        </w:rPr>
        <w:t>koje</w:t>
      </w:r>
      <w:r w:rsidR="002E4D61" w:rsidRPr="001B53A8">
        <w:rPr>
          <w:lang w:val="sr-Latn-BA"/>
        </w:rPr>
        <w:t xml:space="preserve"> </w:t>
      </w:r>
      <w:r w:rsidRPr="001B53A8">
        <w:rPr>
          <w:lang w:val="sr-Latn-BA"/>
        </w:rPr>
        <w:t>pomažu</w:t>
      </w:r>
      <w:r w:rsidR="002E4D61" w:rsidRPr="001B53A8">
        <w:rPr>
          <w:lang w:val="sr-Latn-BA"/>
        </w:rPr>
        <w:t xml:space="preserve"> </w:t>
      </w:r>
      <w:r w:rsidRPr="001B53A8">
        <w:rPr>
          <w:lang w:val="sr-Latn-BA"/>
        </w:rPr>
        <w:t>regulatorima</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svakodnevnim</w:t>
      </w:r>
      <w:r w:rsidR="002E4D61" w:rsidRPr="001B53A8">
        <w:rPr>
          <w:lang w:val="sr-Latn-BA"/>
        </w:rPr>
        <w:t xml:space="preserve"> </w:t>
      </w:r>
      <w:r w:rsidRPr="001B53A8">
        <w:rPr>
          <w:lang w:val="sr-Latn-BA"/>
        </w:rPr>
        <w:t>aktivnostima</w:t>
      </w:r>
      <w:r w:rsidR="002E4D61" w:rsidRPr="001B53A8">
        <w:rPr>
          <w:lang w:val="sr-Latn-BA"/>
        </w:rPr>
        <w:t xml:space="preserve">, </w:t>
      </w:r>
      <w:r w:rsidRPr="001B53A8">
        <w:rPr>
          <w:lang w:val="sr-Latn-BA"/>
        </w:rPr>
        <w:t>a</w:t>
      </w:r>
      <w:r w:rsidR="002E4D61" w:rsidRPr="001B53A8">
        <w:rPr>
          <w:lang w:val="sr-Latn-BA"/>
        </w:rPr>
        <w:t xml:space="preserve"> </w:t>
      </w:r>
      <w:r w:rsidRPr="001B53A8">
        <w:rPr>
          <w:lang w:val="sr-Latn-BA"/>
        </w:rPr>
        <w:t>koji</w:t>
      </w:r>
      <w:r w:rsidR="002E4D61" w:rsidRPr="001B53A8">
        <w:rPr>
          <w:lang w:val="sr-Latn-BA"/>
        </w:rPr>
        <w:t xml:space="preserve"> </w:t>
      </w:r>
      <w:r w:rsidRPr="001B53A8">
        <w:rPr>
          <w:lang w:val="sr-Latn-BA"/>
        </w:rPr>
        <w:t>prihvata</w:t>
      </w:r>
      <w:r w:rsidR="002E4D61" w:rsidRPr="001B53A8">
        <w:rPr>
          <w:lang w:val="sr-Latn-BA"/>
        </w:rPr>
        <w:t xml:space="preserve"> </w:t>
      </w:r>
      <w:r w:rsidRPr="001B53A8">
        <w:rPr>
          <w:lang w:val="sr-Latn-BA"/>
        </w:rPr>
        <w:t>nove</w:t>
      </w:r>
      <w:r w:rsidR="002E4D61" w:rsidRPr="001B53A8">
        <w:rPr>
          <w:lang w:val="sr-Latn-BA"/>
        </w:rPr>
        <w:t xml:space="preserve"> </w:t>
      </w:r>
      <w:r w:rsidRPr="001B53A8">
        <w:rPr>
          <w:lang w:val="sr-Latn-BA"/>
        </w:rPr>
        <w:t>izazove</w:t>
      </w:r>
      <w:r w:rsidR="002E4D61" w:rsidRPr="001B53A8">
        <w:rPr>
          <w:lang w:val="sr-Latn-BA"/>
        </w:rPr>
        <w:t xml:space="preserve"> </w:t>
      </w:r>
      <w:r w:rsidRPr="001B53A8">
        <w:rPr>
          <w:lang w:val="sr-Latn-BA"/>
        </w:rPr>
        <w:t>kreirane</w:t>
      </w:r>
      <w:r w:rsidR="002E4D61" w:rsidRPr="001B53A8">
        <w:rPr>
          <w:lang w:val="sr-Latn-BA"/>
        </w:rPr>
        <w:t xml:space="preserve"> </w:t>
      </w:r>
      <w:r w:rsidRPr="001B53A8">
        <w:rPr>
          <w:lang w:val="sr-Latn-BA"/>
        </w:rPr>
        <w:t>tehnološkim</w:t>
      </w:r>
      <w:r w:rsidR="002E4D61" w:rsidRPr="001B53A8">
        <w:rPr>
          <w:lang w:val="sr-Latn-BA"/>
        </w:rPr>
        <w:t xml:space="preserve"> </w:t>
      </w:r>
      <w:r w:rsidRPr="001B53A8">
        <w:rPr>
          <w:lang w:val="sr-Latn-BA"/>
        </w:rPr>
        <w:t>napretkom</w:t>
      </w:r>
      <w:r w:rsidR="002E4D61" w:rsidRPr="001B53A8">
        <w:rPr>
          <w:lang w:val="sr-Latn-BA"/>
        </w:rPr>
        <w:t xml:space="preserve">. </w:t>
      </w:r>
      <w:r w:rsidRPr="001B53A8">
        <w:rPr>
          <w:lang w:val="sr-Latn-BA"/>
        </w:rPr>
        <w:t>Time</w:t>
      </w:r>
      <w:r w:rsidR="002E4D61" w:rsidRPr="001B53A8">
        <w:rPr>
          <w:lang w:val="sr-Latn-BA"/>
        </w:rPr>
        <w:t xml:space="preserve"> </w:t>
      </w:r>
      <w:r w:rsidRPr="001B53A8">
        <w:rPr>
          <w:lang w:val="sr-Latn-BA"/>
        </w:rPr>
        <w:t>se</w:t>
      </w:r>
      <w:r w:rsidR="002E4D61" w:rsidRPr="001B53A8">
        <w:rPr>
          <w:lang w:val="sr-Latn-BA"/>
        </w:rPr>
        <w:t xml:space="preserve"> </w:t>
      </w:r>
      <w:r w:rsidRPr="001B53A8">
        <w:rPr>
          <w:lang w:val="sr-Latn-BA"/>
        </w:rPr>
        <w:t>regulatorima</w:t>
      </w:r>
      <w:r w:rsidR="002E4D61" w:rsidRPr="001B53A8">
        <w:rPr>
          <w:lang w:val="sr-Latn-BA"/>
        </w:rPr>
        <w:t xml:space="preserve"> </w:t>
      </w:r>
      <w:r w:rsidRPr="001B53A8">
        <w:rPr>
          <w:lang w:val="sr-Latn-BA"/>
        </w:rPr>
        <w:t>obezbjeđuju</w:t>
      </w:r>
      <w:r w:rsidR="002E4D61" w:rsidRPr="001B53A8">
        <w:rPr>
          <w:lang w:val="sr-Latn-BA"/>
        </w:rPr>
        <w:t xml:space="preserve"> </w:t>
      </w:r>
      <w:r w:rsidRPr="001B53A8">
        <w:rPr>
          <w:lang w:val="sr-Latn-BA"/>
        </w:rPr>
        <w:t>efikasno</w:t>
      </w:r>
      <w:r w:rsidR="002E4D61" w:rsidRPr="001B53A8">
        <w:rPr>
          <w:lang w:val="sr-Latn-BA"/>
        </w:rPr>
        <w:t xml:space="preserve"> </w:t>
      </w:r>
      <w:r w:rsidRPr="001B53A8">
        <w:rPr>
          <w:lang w:val="sr-Latn-BA"/>
        </w:rPr>
        <w:t>sprovođenje</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međunarodna</w:t>
      </w:r>
      <w:r w:rsidR="002E4D61" w:rsidRPr="001B53A8">
        <w:rPr>
          <w:lang w:val="sr-Latn-BA"/>
        </w:rPr>
        <w:t xml:space="preserve"> </w:t>
      </w:r>
      <w:r w:rsidRPr="001B53A8">
        <w:rPr>
          <w:lang w:val="sr-Latn-BA"/>
        </w:rPr>
        <w:t>saradnja</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regulisanju</w:t>
      </w:r>
      <w:r w:rsidR="002E4D61" w:rsidRPr="001B53A8">
        <w:rPr>
          <w:lang w:val="sr-Latn-BA"/>
        </w:rPr>
        <w:t xml:space="preserve"> </w:t>
      </w:r>
      <w:r w:rsidRPr="001B53A8">
        <w:rPr>
          <w:lang w:val="sr-Latn-BA"/>
        </w:rPr>
        <w:t>tržišta</w:t>
      </w:r>
      <w:r w:rsidR="002E4D61" w:rsidRPr="001B53A8">
        <w:rPr>
          <w:lang w:val="sr-Latn-BA"/>
        </w:rPr>
        <w:t xml:space="preserve"> </w:t>
      </w:r>
      <w:r w:rsidRPr="001B53A8">
        <w:rPr>
          <w:lang w:val="sr-Latn-BA"/>
        </w:rPr>
        <w:t>hartija</w:t>
      </w:r>
      <w:r w:rsidR="002E4D61" w:rsidRPr="001B53A8">
        <w:rPr>
          <w:lang w:val="sr-Latn-BA"/>
        </w:rPr>
        <w:t xml:space="preserve"> </w:t>
      </w:r>
      <w:r w:rsidRPr="001B53A8">
        <w:rPr>
          <w:lang w:val="sr-Latn-BA"/>
        </w:rPr>
        <w:t>od</w:t>
      </w:r>
      <w:r w:rsidR="002E4D61" w:rsidRPr="001B53A8">
        <w:rPr>
          <w:lang w:val="sr-Latn-BA"/>
        </w:rPr>
        <w:t xml:space="preserve"> </w:t>
      </w:r>
      <w:r w:rsidRPr="001B53A8">
        <w:rPr>
          <w:lang w:val="sr-Latn-BA"/>
        </w:rPr>
        <w:t>vrijednosti</w:t>
      </w:r>
      <w:r w:rsidR="002E4D61" w:rsidRPr="001B53A8">
        <w:rPr>
          <w:lang w:val="sr-Latn-BA"/>
        </w:rPr>
        <w:t xml:space="preserve">. </w:t>
      </w:r>
      <w:r w:rsidRPr="001B53A8">
        <w:rPr>
          <w:lang w:val="sr-Latn-BA"/>
        </w:rPr>
        <w:t>Sveobuhvatni</w:t>
      </w:r>
      <w:r w:rsidR="002E4D61" w:rsidRPr="001B53A8">
        <w:rPr>
          <w:lang w:val="sr-Latn-BA"/>
        </w:rPr>
        <w:t xml:space="preserve"> </w:t>
      </w:r>
      <w:r w:rsidRPr="001B53A8">
        <w:rPr>
          <w:lang w:val="sr-Latn-BA"/>
        </w:rPr>
        <w:t>cilј</w:t>
      </w:r>
      <w:r w:rsidR="002E4D61" w:rsidRPr="001B53A8">
        <w:rPr>
          <w:lang w:val="sr-Latn-BA"/>
        </w:rPr>
        <w:t xml:space="preserve"> </w:t>
      </w:r>
      <w:r w:rsidRPr="001B53A8">
        <w:rPr>
          <w:lang w:val="sr-Latn-BA"/>
        </w:rPr>
        <w:t>stvaranja</w:t>
      </w:r>
      <w:r w:rsidR="002E4D61" w:rsidRPr="001B53A8">
        <w:rPr>
          <w:lang w:val="sr-Latn-BA"/>
        </w:rPr>
        <w:t xml:space="preserve"> IOSCO MMoU </w:t>
      </w:r>
      <w:r w:rsidRPr="001B53A8">
        <w:rPr>
          <w:lang w:val="sr-Latn-BA"/>
        </w:rPr>
        <w:t>je</w:t>
      </w:r>
      <w:r w:rsidR="002E4D61" w:rsidRPr="001B53A8">
        <w:rPr>
          <w:lang w:val="sr-Latn-BA"/>
        </w:rPr>
        <w:t xml:space="preserve"> </w:t>
      </w:r>
      <w:r w:rsidRPr="001B53A8">
        <w:rPr>
          <w:lang w:val="sr-Latn-BA"/>
        </w:rPr>
        <w:t>podizanje</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pobolјšanje</w:t>
      </w:r>
      <w:r w:rsidR="002E4D61" w:rsidRPr="001B53A8">
        <w:rPr>
          <w:lang w:val="sr-Latn-BA"/>
        </w:rPr>
        <w:t xml:space="preserve"> </w:t>
      </w:r>
      <w:r w:rsidRPr="001B53A8">
        <w:rPr>
          <w:lang w:val="sr-Latn-BA"/>
        </w:rPr>
        <w:t>međunarodnog</w:t>
      </w:r>
      <w:r w:rsidR="002E4D61" w:rsidRPr="001B53A8">
        <w:rPr>
          <w:lang w:val="sr-Latn-BA"/>
        </w:rPr>
        <w:t xml:space="preserve"> </w:t>
      </w:r>
      <w:r w:rsidRPr="001B53A8">
        <w:rPr>
          <w:lang w:val="sr-Latn-BA"/>
        </w:rPr>
        <w:t>regulatornog</w:t>
      </w:r>
      <w:r w:rsidR="002E4D61" w:rsidRPr="001B53A8">
        <w:rPr>
          <w:lang w:val="sr-Latn-BA"/>
        </w:rPr>
        <w:t xml:space="preserve"> </w:t>
      </w:r>
      <w:r w:rsidRPr="001B53A8">
        <w:rPr>
          <w:lang w:val="sr-Latn-BA"/>
        </w:rPr>
        <w:t>standarda</w:t>
      </w:r>
      <w:r w:rsidR="002E4D61" w:rsidRPr="001B53A8">
        <w:rPr>
          <w:lang w:val="sr-Latn-BA"/>
        </w:rPr>
        <w:t>.</w:t>
      </w:r>
    </w:p>
    <w:p w14:paraId="72C3BD3F" w14:textId="75FAC14A" w:rsidR="002E4D61" w:rsidRPr="001B53A8" w:rsidRDefault="00003F34" w:rsidP="006B6E0C">
      <w:pPr>
        <w:pStyle w:val="Default"/>
        <w:spacing w:before="120"/>
        <w:ind w:firstLine="567"/>
        <w:jc w:val="both"/>
        <w:rPr>
          <w:lang w:val="sr-Latn-BA"/>
        </w:rPr>
      </w:pPr>
      <w:r w:rsidRPr="001B53A8">
        <w:rPr>
          <w:lang w:val="sr-Latn-BA"/>
        </w:rPr>
        <w:t>Razlika</w:t>
      </w:r>
      <w:r w:rsidR="002E4D61" w:rsidRPr="001B53A8">
        <w:rPr>
          <w:lang w:val="sr-Latn-BA"/>
        </w:rPr>
        <w:t xml:space="preserve"> </w:t>
      </w:r>
      <w:r w:rsidRPr="001B53A8">
        <w:rPr>
          <w:lang w:val="sr-Latn-BA"/>
        </w:rPr>
        <w:t>između</w:t>
      </w:r>
      <w:r w:rsidR="002E4D61" w:rsidRPr="001B53A8">
        <w:rPr>
          <w:lang w:val="sr-Latn-BA"/>
        </w:rPr>
        <w:t xml:space="preserve"> IOSCO EMMoU </w:t>
      </w:r>
      <w:r w:rsidRPr="001B53A8">
        <w:rPr>
          <w:lang w:val="sr-Latn-BA"/>
        </w:rPr>
        <w:t>i</w:t>
      </w:r>
      <w:r w:rsidR="002E4D61" w:rsidRPr="001B53A8">
        <w:rPr>
          <w:lang w:val="sr-Latn-BA"/>
        </w:rPr>
        <w:t xml:space="preserve"> MMoU </w:t>
      </w:r>
      <w:r w:rsidRPr="001B53A8">
        <w:rPr>
          <w:lang w:val="sr-Latn-BA"/>
        </w:rPr>
        <w:t>je</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obimu</w:t>
      </w:r>
      <w:r w:rsidR="002E4D61" w:rsidRPr="001B53A8">
        <w:rPr>
          <w:lang w:val="sr-Latn-BA"/>
        </w:rPr>
        <w:t xml:space="preserve"> </w:t>
      </w:r>
      <w:r w:rsidRPr="001B53A8">
        <w:rPr>
          <w:lang w:val="sr-Latn-BA"/>
        </w:rPr>
        <w:t>pomoći</w:t>
      </w:r>
      <w:r w:rsidR="002E4D61" w:rsidRPr="001B53A8">
        <w:rPr>
          <w:lang w:val="sr-Latn-BA"/>
        </w:rPr>
        <w:t xml:space="preserve"> </w:t>
      </w:r>
      <w:r w:rsidRPr="001B53A8">
        <w:rPr>
          <w:lang w:val="sr-Latn-BA"/>
        </w:rPr>
        <w:t>koju</w:t>
      </w:r>
      <w:r w:rsidR="002E4D61" w:rsidRPr="001B53A8">
        <w:rPr>
          <w:lang w:val="sr-Latn-BA"/>
        </w:rPr>
        <w:t xml:space="preserve"> </w:t>
      </w:r>
      <w:r w:rsidRPr="001B53A8">
        <w:rPr>
          <w:lang w:val="sr-Latn-BA"/>
        </w:rPr>
        <w:t>pruža</w:t>
      </w:r>
      <w:r w:rsidR="002E4D61" w:rsidRPr="001B53A8">
        <w:rPr>
          <w:lang w:val="sr-Latn-BA"/>
        </w:rPr>
        <w:t xml:space="preserve"> </w:t>
      </w:r>
      <w:r w:rsidRPr="001B53A8">
        <w:rPr>
          <w:lang w:val="sr-Latn-BA"/>
        </w:rPr>
        <w:t>ili</w:t>
      </w:r>
      <w:r w:rsidR="002E4D61" w:rsidRPr="001B53A8">
        <w:rPr>
          <w:lang w:val="sr-Latn-BA"/>
        </w:rPr>
        <w:t xml:space="preserve"> </w:t>
      </w:r>
      <w:r w:rsidRPr="001B53A8">
        <w:rPr>
          <w:lang w:val="sr-Latn-BA"/>
        </w:rPr>
        <w:t>traži</w:t>
      </w:r>
      <w:r w:rsidR="002E4D61" w:rsidRPr="001B53A8">
        <w:rPr>
          <w:lang w:val="sr-Latn-BA"/>
        </w:rPr>
        <w:t xml:space="preserve"> </w:t>
      </w:r>
      <w:r w:rsidRPr="001B53A8">
        <w:rPr>
          <w:lang w:val="sr-Latn-BA"/>
        </w:rPr>
        <w:t>potpisnica</w:t>
      </w:r>
      <w:r w:rsidR="002E4D61" w:rsidRPr="001B53A8">
        <w:rPr>
          <w:lang w:val="sr-Latn-BA"/>
        </w:rPr>
        <w:t xml:space="preserve"> EMMoU, </w:t>
      </w:r>
      <w:r w:rsidRPr="001B53A8">
        <w:rPr>
          <w:lang w:val="sr-Latn-BA"/>
        </w:rPr>
        <w:t>odnosno</w:t>
      </w:r>
      <w:r w:rsidR="002E4D61" w:rsidRPr="001B53A8">
        <w:rPr>
          <w:lang w:val="sr-Latn-BA"/>
        </w:rPr>
        <w:t xml:space="preserve"> </w:t>
      </w:r>
      <w:r w:rsidRPr="001B53A8">
        <w:rPr>
          <w:lang w:val="sr-Latn-BA"/>
        </w:rPr>
        <w:t>vrsti</w:t>
      </w:r>
      <w:r w:rsidR="002E4D61" w:rsidRPr="001B53A8">
        <w:rPr>
          <w:lang w:val="sr-Latn-BA"/>
        </w:rPr>
        <w:t xml:space="preserve"> </w:t>
      </w:r>
      <w:r w:rsidRPr="001B53A8">
        <w:rPr>
          <w:lang w:val="sr-Latn-BA"/>
        </w:rPr>
        <w:t>pomoći</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informacija</w:t>
      </w:r>
      <w:r w:rsidR="002E4D61" w:rsidRPr="001B53A8">
        <w:rPr>
          <w:lang w:val="sr-Latn-BA"/>
        </w:rPr>
        <w:t xml:space="preserve"> </w:t>
      </w:r>
      <w:r w:rsidRPr="001B53A8">
        <w:rPr>
          <w:lang w:val="sr-Latn-BA"/>
        </w:rPr>
        <w:t>koje</w:t>
      </w:r>
      <w:r w:rsidR="002E4D61" w:rsidRPr="001B53A8">
        <w:rPr>
          <w:lang w:val="sr-Latn-BA"/>
        </w:rPr>
        <w:t xml:space="preserve"> </w:t>
      </w:r>
      <w:r w:rsidRPr="001B53A8">
        <w:rPr>
          <w:lang w:val="sr-Latn-BA"/>
        </w:rPr>
        <w:t>se</w:t>
      </w:r>
      <w:r w:rsidR="002E4D61" w:rsidRPr="001B53A8">
        <w:rPr>
          <w:lang w:val="sr-Latn-BA"/>
        </w:rPr>
        <w:t xml:space="preserve"> </w:t>
      </w:r>
      <w:r w:rsidRPr="001B53A8">
        <w:rPr>
          <w:lang w:val="sr-Latn-BA"/>
        </w:rPr>
        <w:t>traže</w:t>
      </w:r>
      <w:r w:rsidR="002E4D61" w:rsidRPr="001B53A8">
        <w:rPr>
          <w:lang w:val="sr-Latn-BA"/>
        </w:rPr>
        <w:t xml:space="preserve">, </w:t>
      </w:r>
      <w:r w:rsidRPr="001B53A8">
        <w:rPr>
          <w:lang w:val="sr-Latn-BA"/>
        </w:rPr>
        <w:t>odnosno</w:t>
      </w:r>
      <w:r w:rsidR="002E4D61" w:rsidRPr="001B53A8">
        <w:rPr>
          <w:lang w:val="sr-Latn-BA"/>
        </w:rPr>
        <w:t xml:space="preserve"> </w:t>
      </w:r>
      <w:r w:rsidRPr="001B53A8">
        <w:rPr>
          <w:lang w:val="sr-Latn-BA"/>
        </w:rPr>
        <w:t>pružaju</w:t>
      </w:r>
      <w:r w:rsidR="002E4D61" w:rsidRPr="001B53A8">
        <w:rPr>
          <w:lang w:val="sr-Latn-BA"/>
        </w:rPr>
        <w:t xml:space="preserve">. </w:t>
      </w:r>
    </w:p>
    <w:p w14:paraId="5A4013DE" w14:textId="3F5ACD4C" w:rsidR="002E4D61" w:rsidRPr="001B53A8" w:rsidRDefault="00003F34" w:rsidP="006B6E0C">
      <w:pPr>
        <w:pStyle w:val="Default"/>
        <w:spacing w:before="120"/>
        <w:ind w:firstLine="567"/>
        <w:jc w:val="both"/>
        <w:rPr>
          <w:lang w:val="sr-Latn-BA"/>
        </w:rPr>
      </w:pPr>
      <w:r w:rsidRPr="001B53A8">
        <w:rPr>
          <w:lang w:val="sr-Latn-BA"/>
        </w:rPr>
        <w:t>U</w:t>
      </w:r>
      <w:r w:rsidR="002E4D61" w:rsidRPr="001B53A8">
        <w:rPr>
          <w:lang w:val="sr-Latn-BA"/>
        </w:rPr>
        <w:t xml:space="preserve"> 2018. </w:t>
      </w:r>
      <w:r w:rsidRPr="001B53A8">
        <w:rPr>
          <w:lang w:val="sr-Latn-BA"/>
        </w:rPr>
        <w:t>godini</w:t>
      </w:r>
      <w:r w:rsidR="002E4D61" w:rsidRPr="001B53A8">
        <w:rPr>
          <w:lang w:val="sr-Latn-BA"/>
        </w:rPr>
        <w:t xml:space="preserve"> </w:t>
      </w:r>
      <w:r w:rsidRPr="001B53A8">
        <w:rPr>
          <w:lang w:val="sr-Latn-BA"/>
        </w:rPr>
        <w:t>Komisija</w:t>
      </w:r>
      <w:r w:rsidR="002E4D61" w:rsidRPr="001B53A8">
        <w:rPr>
          <w:lang w:val="sr-Latn-BA"/>
        </w:rPr>
        <w:t xml:space="preserve"> </w:t>
      </w:r>
      <w:r w:rsidRPr="001B53A8">
        <w:rPr>
          <w:lang w:val="sr-Latn-BA"/>
        </w:rPr>
        <w:t>je</w:t>
      </w:r>
      <w:r w:rsidR="002E4D61" w:rsidRPr="001B53A8">
        <w:rPr>
          <w:lang w:val="sr-Latn-BA"/>
        </w:rPr>
        <w:t xml:space="preserve"> </w:t>
      </w:r>
      <w:r w:rsidRPr="001B53A8">
        <w:rPr>
          <w:lang w:val="sr-Latn-BA"/>
        </w:rPr>
        <w:t>održala</w:t>
      </w:r>
      <w:r w:rsidR="002E4D61" w:rsidRPr="001B53A8">
        <w:rPr>
          <w:lang w:val="sr-Latn-BA"/>
        </w:rPr>
        <w:t xml:space="preserve"> </w:t>
      </w:r>
      <w:r w:rsidRPr="001B53A8">
        <w:rPr>
          <w:lang w:val="sr-Latn-BA"/>
        </w:rPr>
        <w:t>nekoliko</w:t>
      </w:r>
      <w:r w:rsidR="002E4D61" w:rsidRPr="001B53A8">
        <w:rPr>
          <w:lang w:val="sr-Latn-BA"/>
        </w:rPr>
        <w:t xml:space="preserve"> </w:t>
      </w:r>
      <w:r w:rsidRPr="001B53A8">
        <w:rPr>
          <w:lang w:val="sr-Latn-BA"/>
        </w:rPr>
        <w:t>radnih</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konsultativnih</w:t>
      </w:r>
      <w:r w:rsidR="002E4D61" w:rsidRPr="001B53A8">
        <w:rPr>
          <w:lang w:val="sr-Latn-BA"/>
        </w:rPr>
        <w:t xml:space="preserve"> </w:t>
      </w:r>
      <w:r w:rsidRPr="001B53A8">
        <w:rPr>
          <w:lang w:val="sr-Latn-BA"/>
        </w:rPr>
        <w:t>sastanaka</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vezi</w:t>
      </w:r>
      <w:r w:rsidR="002E4D61" w:rsidRPr="001B53A8">
        <w:rPr>
          <w:lang w:val="sr-Latn-BA"/>
        </w:rPr>
        <w:t xml:space="preserve"> </w:t>
      </w:r>
      <w:r w:rsidRPr="001B53A8">
        <w:rPr>
          <w:lang w:val="sr-Latn-BA"/>
        </w:rPr>
        <w:t>s</w:t>
      </w:r>
      <w:r w:rsidR="002E4D61" w:rsidRPr="001B53A8">
        <w:rPr>
          <w:lang w:val="sr-Latn-BA"/>
        </w:rPr>
        <w:t xml:space="preserve"> </w:t>
      </w:r>
      <w:r w:rsidRPr="001B53A8">
        <w:rPr>
          <w:lang w:val="sr-Latn-BA"/>
        </w:rPr>
        <w:t>odlukom</w:t>
      </w:r>
      <w:r w:rsidR="002E4D61" w:rsidRPr="001B53A8">
        <w:rPr>
          <w:lang w:val="sr-Latn-BA"/>
        </w:rPr>
        <w:t xml:space="preserve"> </w:t>
      </w:r>
      <w:r w:rsidRPr="001B53A8">
        <w:rPr>
          <w:lang w:val="sr-Latn-BA"/>
        </w:rPr>
        <w:t>o</w:t>
      </w:r>
      <w:r w:rsidR="002E4D61" w:rsidRPr="001B53A8">
        <w:rPr>
          <w:lang w:val="sr-Latn-BA"/>
        </w:rPr>
        <w:t xml:space="preserve"> </w:t>
      </w:r>
      <w:r w:rsidRPr="001B53A8">
        <w:rPr>
          <w:lang w:val="sr-Latn-BA"/>
        </w:rPr>
        <w:t>sticanju</w:t>
      </w:r>
      <w:r w:rsidR="002E4D61" w:rsidRPr="001B53A8">
        <w:rPr>
          <w:lang w:val="sr-Latn-BA"/>
        </w:rPr>
        <w:t xml:space="preserve"> </w:t>
      </w:r>
      <w:r w:rsidRPr="001B53A8">
        <w:rPr>
          <w:lang w:val="sr-Latn-BA"/>
        </w:rPr>
        <w:t>statusa</w:t>
      </w:r>
      <w:r w:rsidR="002E4D61" w:rsidRPr="001B53A8">
        <w:rPr>
          <w:lang w:val="sr-Latn-BA"/>
        </w:rPr>
        <w:t xml:space="preserve"> </w:t>
      </w:r>
      <w:r w:rsidRPr="001B53A8">
        <w:rPr>
          <w:lang w:val="sr-Latn-BA"/>
        </w:rPr>
        <w:t>potpisnice</w:t>
      </w:r>
      <w:r w:rsidR="002E4D61" w:rsidRPr="001B53A8">
        <w:rPr>
          <w:lang w:val="sr-Latn-BA"/>
        </w:rPr>
        <w:t xml:space="preserve"> EMMoU. </w:t>
      </w:r>
      <w:r w:rsidRPr="001B53A8">
        <w:rPr>
          <w:lang w:val="sr-Latn-BA"/>
        </w:rPr>
        <w:t>Razmatrane</w:t>
      </w:r>
      <w:r w:rsidR="002E4D61" w:rsidRPr="001B53A8">
        <w:rPr>
          <w:lang w:val="sr-Latn-BA"/>
        </w:rPr>
        <w:t xml:space="preserve"> </w:t>
      </w:r>
      <w:r w:rsidRPr="001B53A8">
        <w:rPr>
          <w:lang w:val="sr-Latn-BA"/>
        </w:rPr>
        <w:t>su</w:t>
      </w:r>
      <w:r w:rsidR="002E4D61" w:rsidRPr="001B53A8">
        <w:rPr>
          <w:lang w:val="sr-Latn-BA"/>
        </w:rPr>
        <w:t xml:space="preserve"> </w:t>
      </w:r>
      <w:r w:rsidRPr="001B53A8">
        <w:rPr>
          <w:lang w:val="sr-Latn-BA"/>
        </w:rPr>
        <w:t>mogućnosti</w:t>
      </w:r>
      <w:r w:rsidR="002E4D61" w:rsidRPr="001B53A8">
        <w:rPr>
          <w:lang w:val="sr-Latn-BA"/>
        </w:rPr>
        <w:t xml:space="preserve"> </w:t>
      </w:r>
      <w:r w:rsidRPr="001B53A8">
        <w:rPr>
          <w:lang w:val="sr-Latn-BA"/>
        </w:rPr>
        <w:t>podnošenja</w:t>
      </w:r>
      <w:r w:rsidR="002E4D61" w:rsidRPr="001B53A8">
        <w:rPr>
          <w:lang w:val="sr-Latn-BA"/>
        </w:rPr>
        <w:t xml:space="preserve"> </w:t>
      </w:r>
      <w:r w:rsidRPr="001B53A8">
        <w:rPr>
          <w:lang w:val="sr-Latn-BA"/>
        </w:rPr>
        <w:t>zahtjeva</w:t>
      </w:r>
      <w:r w:rsidR="002E4D61" w:rsidRPr="001B53A8">
        <w:rPr>
          <w:lang w:val="sr-Latn-BA"/>
        </w:rPr>
        <w:t xml:space="preserve"> </w:t>
      </w:r>
      <w:r w:rsidRPr="001B53A8">
        <w:rPr>
          <w:lang w:val="sr-Latn-BA"/>
        </w:rPr>
        <w:t>za</w:t>
      </w:r>
      <w:r w:rsidR="002E4D61" w:rsidRPr="001B53A8">
        <w:rPr>
          <w:lang w:val="sr-Latn-BA"/>
        </w:rPr>
        <w:t xml:space="preserve"> </w:t>
      </w:r>
      <w:r w:rsidRPr="001B53A8">
        <w:rPr>
          <w:lang w:val="sr-Latn-BA"/>
        </w:rPr>
        <w:t>sticanje</w:t>
      </w:r>
      <w:r w:rsidR="002E4D61" w:rsidRPr="001B53A8">
        <w:rPr>
          <w:lang w:val="sr-Latn-BA"/>
        </w:rPr>
        <w:t xml:space="preserve"> </w:t>
      </w:r>
      <w:r w:rsidRPr="001B53A8">
        <w:rPr>
          <w:lang w:val="sr-Latn-BA"/>
        </w:rPr>
        <w:t>statusa</w:t>
      </w:r>
      <w:r w:rsidR="002E4D61" w:rsidRPr="001B53A8">
        <w:rPr>
          <w:lang w:val="sr-Latn-BA"/>
        </w:rPr>
        <w:t xml:space="preserve"> </w:t>
      </w:r>
      <w:r w:rsidRPr="001B53A8">
        <w:rPr>
          <w:lang w:val="sr-Latn-BA"/>
        </w:rPr>
        <w:t>potpisnice</w:t>
      </w:r>
      <w:r w:rsidR="002E4D61" w:rsidRPr="001B53A8">
        <w:rPr>
          <w:lang w:val="sr-Latn-BA"/>
        </w:rPr>
        <w:t xml:space="preserve"> IOSCO EMMoU </w:t>
      </w:r>
      <w:r w:rsidRPr="001B53A8">
        <w:rPr>
          <w:lang w:val="sr-Latn-BA"/>
        </w:rPr>
        <w:t>u</w:t>
      </w:r>
      <w:r w:rsidR="002E4D61" w:rsidRPr="001B53A8">
        <w:rPr>
          <w:lang w:val="sr-Latn-BA"/>
        </w:rPr>
        <w:t xml:space="preserve"> </w:t>
      </w:r>
      <w:r w:rsidRPr="001B53A8">
        <w:rPr>
          <w:lang w:val="sr-Latn-BA"/>
        </w:rPr>
        <w:t>skladu</w:t>
      </w:r>
      <w:r w:rsidR="002E4D61" w:rsidRPr="001B53A8">
        <w:rPr>
          <w:lang w:val="sr-Latn-BA"/>
        </w:rPr>
        <w:t xml:space="preserve"> </w:t>
      </w:r>
      <w:r w:rsidRPr="001B53A8">
        <w:rPr>
          <w:lang w:val="sr-Latn-BA"/>
        </w:rPr>
        <w:t>sa</w:t>
      </w:r>
      <w:r w:rsidR="002E4D61" w:rsidRPr="001B53A8">
        <w:rPr>
          <w:lang w:val="sr-Latn-BA"/>
        </w:rPr>
        <w:t xml:space="preserve"> </w:t>
      </w:r>
      <w:r w:rsidRPr="001B53A8">
        <w:rPr>
          <w:lang w:val="sr-Latn-BA"/>
        </w:rPr>
        <w:t>svim</w:t>
      </w:r>
      <w:r w:rsidR="002E4D61" w:rsidRPr="001B53A8">
        <w:rPr>
          <w:lang w:val="sr-Latn-BA"/>
        </w:rPr>
        <w:t xml:space="preserve"> </w:t>
      </w:r>
      <w:r w:rsidRPr="001B53A8">
        <w:rPr>
          <w:lang w:val="sr-Latn-BA"/>
        </w:rPr>
        <w:t>tzv</w:t>
      </w:r>
      <w:r w:rsidR="002E4D61" w:rsidRPr="001B53A8">
        <w:rPr>
          <w:lang w:val="sr-Latn-BA"/>
        </w:rPr>
        <w:t xml:space="preserve">. ACFIT </w:t>
      </w:r>
      <w:r w:rsidRPr="001B53A8">
        <w:rPr>
          <w:lang w:val="sr-Latn-BA"/>
        </w:rPr>
        <w:t>nadležnostima</w:t>
      </w:r>
      <w:r w:rsidR="002E4D61" w:rsidRPr="001B53A8">
        <w:rPr>
          <w:lang w:val="sr-Latn-BA"/>
        </w:rPr>
        <w:t xml:space="preserve"> </w:t>
      </w:r>
      <w:r w:rsidRPr="001B53A8">
        <w:rPr>
          <w:lang w:val="sr-Latn-BA"/>
        </w:rPr>
        <w:t>ili</w:t>
      </w:r>
      <w:r w:rsidR="002E4D61" w:rsidRPr="001B53A8">
        <w:rPr>
          <w:lang w:val="sr-Latn-BA"/>
        </w:rPr>
        <w:t xml:space="preserve"> </w:t>
      </w:r>
      <w:r w:rsidRPr="001B53A8">
        <w:rPr>
          <w:lang w:val="sr-Latn-BA"/>
        </w:rPr>
        <w:t>sa</w:t>
      </w:r>
      <w:r w:rsidR="002E4D61" w:rsidRPr="001B53A8">
        <w:rPr>
          <w:lang w:val="sr-Latn-BA"/>
        </w:rPr>
        <w:t xml:space="preserve"> </w:t>
      </w:r>
      <w:r w:rsidRPr="001B53A8">
        <w:rPr>
          <w:lang w:val="sr-Latn-BA"/>
        </w:rPr>
        <w:t>dijelom</w:t>
      </w:r>
      <w:r w:rsidR="002E4D61" w:rsidRPr="001B53A8">
        <w:rPr>
          <w:lang w:val="sr-Latn-BA"/>
        </w:rPr>
        <w:t xml:space="preserve"> </w:t>
      </w:r>
      <w:r w:rsidRPr="001B53A8">
        <w:rPr>
          <w:lang w:val="sr-Latn-BA"/>
        </w:rPr>
        <w:t>nadležnosti</w:t>
      </w:r>
      <w:r w:rsidR="002E4D61" w:rsidRPr="001B53A8">
        <w:rPr>
          <w:lang w:val="sr-Latn-BA"/>
        </w:rPr>
        <w:t xml:space="preserve"> </w:t>
      </w:r>
      <w:r w:rsidRPr="001B53A8">
        <w:rPr>
          <w:lang w:val="sr-Latn-BA"/>
        </w:rPr>
        <w:t>odnosno</w:t>
      </w:r>
      <w:r w:rsidR="002E4D61" w:rsidRPr="001B53A8">
        <w:rPr>
          <w:lang w:val="sr-Latn-BA"/>
        </w:rPr>
        <w:t xml:space="preserve"> </w:t>
      </w:r>
      <w:r w:rsidRPr="001B53A8">
        <w:rPr>
          <w:lang w:val="sr-Latn-BA"/>
        </w:rPr>
        <w:t>tzv</w:t>
      </w:r>
      <w:r w:rsidR="002E4D61" w:rsidRPr="001B53A8">
        <w:rPr>
          <w:lang w:val="sr-Latn-BA"/>
        </w:rPr>
        <w:t xml:space="preserve">. ACF </w:t>
      </w:r>
      <w:r w:rsidRPr="001B53A8">
        <w:rPr>
          <w:lang w:val="sr-Latn-BA"/>
        </w:rPr>
        <w:t>nadležnostima</w:t>
      </w:r>
      <w:r w:rsidR="002E4D61" w:rsidRPr="001B53A8">
        <w:rPr>
          <w:lang w:val="sr-Latn-BA"/>
        </w:rPr>
        <w:t xml:space="preserve">. ACFIT </w:t>
      </w:r>
      <w:r w:rsidRPr="001B53A8">
        <w:rPr>
          <w:lang w:val="sr-Latn-BA"/>
        </w:rPr>
        <w:t>nadležnosti</w:t>
      </w:r>
      <w:r w:rsidR="002E4D61" w:rsidRPr="001B53A8">
        <w:rPr>
          <w:lang w:val="sr-Latn-BA"/>
        </w:rPr>
        <w:t xml:space="preserve"> </w:t>
      </w:r>
      <w:r w:rsidRPr="001B53A8">
        <w:rPr>
          <w:lang w:val="sr-Latn-BA"/>
        </w:rPr>
        <w:t>obuhvataju</w:t>
      </w:r>
      <w:r w:rsidR="002E4D61" w:rsidRPr="001B53A8">
        <w:rPr>
          <w:lang w:val="sr-Latn-BA"/>
        </w:rPr>
        <w:t xml:space="preserve"> </w:t>
      </w:r>
      <w:r w:rsidRPr="001B53A8">
        <w:rPr>
          <w:lang w:val="sr-Latn-BA"/>
        </w:rPr>
        <w:t>slјedeća</w:t>
      </w:r>
      <w:r w:rsidR="002E4D61" w:rsidRPr="001B53A8">
        <w:rPr>
          <w:lang w:val="sr-Latn-BA"/>
        </w:rPr>
        <w:t xml:space="preserve"> </w:t>
      </w:r>
      <w:r w:rsidRPr="001B53A8">
        <w:rPr>
          <w:lang w:val="sr-Latn-BA"/>
        </w:rPr>
        <w:t>ovlašćenja</w:t>
      </w:r>
      <w:r w:rsidR="002E4D61" w:rsidRPr="001B53A8">
        <w:rPr>
          <w:lang w:val="sr-Latn-BA"/>
        </w:rPr>
        <w:t xml:space="preserve">: </w:t>
      </w:r>
    </w:p>
    <w:p w14:paraId="674720C2" w14:textId="43BB6CB0" w:rsidR="002E4D61" w:rsidRPr="001B53A8" w:rsidRDefault="00003F34" w:rsidP="006B6E0C">
      <w:pPr>
        <w:pStyle w:val="ListParagraph"/>
        <w:numPr>
          <w:ilvl w:val="0"/>
          <w:numId w:val="12"/>
        </w:numPr>
        <w:spacing w:before="0" w:after="0" w:line="240" w:lineRule="auto"/>
        <w:ind w:left="992" w:hanging="425"/>
        <w:contextualSpacing w:val="0"/>
        <w:rPr>
          <w:i/>
          <w:iCs/>
          <w:lang w:val="sr-Latn-BA"/>
        </w:rPr>
      </w:pPr>
      <w:r w:rsidRPr="001B53A8">
        <w:rPr>
          <w:bCs/>
          <w:lang w:val="sr-Latn-BA"/>
        </w:rPr>
        <w:t>Dobiti</w:t>
      </w:r>
      <w:r w:rsidR="002E4D61" w:rsidRPr="001B53A8">
        <w:rPr>
          <w:bCs/>
          <w:lang w:val="sr-Latn-BA"/>
        </w:rPr>
        <w:t xml:space="preserve"> </w:t>
      </w:r>
      <w:r w:rsidRPr="001B53A8">
        <w:rPr>
          <w:bCs/>
          <w:lang w:val="sr-Latn-BA"/>
        </w:rPr>
        <w:t>revizorske</w:t>
      </w:r>
      <w:r w:rsidR="002E4D61" w:rsidRPr="001B53A8">
        <w:rPr>
          <w:bCs/>
          <w:lang w:val="sr-Latn-BA"/>
        </w:rPr>
        <w:t xml:space="preserve"> </w:t>
      </w:r>
      <w:r w:rsidRPr="001B53A8">
        <w:rPr>
          <w:bCs/>
          <w:lang w:val="sr-Latn-BA"/>
        </w:rPr>
        <w:t>izvještaje</w:t>
      </w:r>
      <w:r w:rsidR="00D50A02" w:rsidRPr="001B53A8">
        <w:rPr>
          <w:lang w:val="sr-Latn-BA"/>
        </w:rPr>
        <w:t>;</w:t>
      </w:r>
    </w:p>
    <w:p w14:paraId="2EC0AF02" w14:textId="69711FBC" w:rsidR="002E4D61" w:rsidRPr="001B53A8" w:rsidRDefault="00003F34" w:rsidP="006B6E0C">
      <w:pPr>
        <w:pStyle w:val="ListParagraph"/>
        <w:numPr>
          <w:ilvl w:val="0"/>
          <w:numId w:val="12"/>
        </w:numPr>
        <w:spacing w:before="0" w:after="0" w:line="240" w:lineRule="auto"/>
        <w:ind w:left="992" w:hanging="425"/>
        <w:contextualSpacing w:val="0"/>
        <w:rPr>
          <w:lang w:val="sr-Latn-BA"/>
        </w:rPr>
      </w:pPr>
      <w:r w:rsidRPr="001B53A8">
        <w:rPr>
          <w:bCs/>
          <w:lang w:val="sr-Latn-BA"/>
        </w:rPr>
        <w:lastRenderedPageBreak/>
        <w:t>Prinuditi</w:t>
      </w:r>
      <w:r w:rsidR="002E4D61" w:rsidRPr="001B53A8">
        <w:rPr>
          <w:bCs/>
          <w:lang w:val="sr-Latn-BA"/>
        </w:rPr>
        <w:t xml:space="preserve"> (</w:t>
      </w:r>
      <w:r w:rsidRPr="001B53A8">
        <w:rPr>
          <w:bCs/>
          <w:lang w:val="sr-Latn-BA"/>
        </w:rPr>
        <w:t>prisiliti</w:t>
      </w:r>
      <w:r w:rsidR="002E4D61" w:rsidRPr="001B53A8">
        <w:rPr>
          <w:bCs/>
          <w:lang w:val="sr-Latn-BA"/>
        </w:rPr>
        <w:t xml:space="preserve">) </w:t>
      </w:r>
      <w:r w:rsidRPr="001B53A8">
        <w:rPr>
          <w:bCs/>
          <w:lang w:val="sr-Latn-BA"/>
        </w:rPr>
        <w:t>prisustvo</w:t>
      </w:r>
      <w:r w:rsidR="002E4D61" w:rsidRPr="001B53A8">
        <w:rPr>
          <w:bCs/>
          <w:lang w:val="sr-Latn-BA"/>
        </w:rPr>
        <w:t xml:space="preserve"> </w:t>
      </w:r>
      <w:r w:rsidRPr="001B53A8">
        <w:rPr>
          <w:bCs/>
          <w:lang w:val="sr-Latn-BA"/>
        </w:rPr>
        <w:t>stranke</w:t>
      </w:r>
      <w:r w:rsidR="002E4D61" w:rsidRPr="001B53A8">
        <w:rPr>
          <w:bCs/>
          <w:lang w:val="sr-Latn-BA"/>
        </w:rPr>
        <w:t xml:space="preserve"> </w:t>
      </w:r>
      <w:r w:rsidRPr="001B53A8">
        <w:rPr>
          <w:bCs/>
          <w:lang w:val="sr-Latn-BA"/>
        </w:rPr>
        <w:t>za</w:t>
      </w:r>
      <w:r w:rsidR="002E4D61" w:rsidRPr="001B53A8">
        <w:rPr>
          <w:bCs/>
          <w:lang w:val="sr-Latn-BA"/>
        </w:rPr>
        <w:t xml:space="preserve"> </w:t>
      </w:r>
      <w:r w:rsidRPr="001B53A8">
        <w:rPr>
          <w:bCs/>
          <w:lang w:val="sr-Latn-BA"/>
        </w:rPr>
        <w:t>svjedočenje</w:t>
      </w:r>
      <w:r w:rsidR="002E4D61" w:rsidRPr="001B53A8">
        <w:rPr>
          <w:lang w:val="sr-Latn-BA"/>
        </w:rPr>
        <w:t xml:space="preserve"> (</w:t>
      </w:r>
      <w:r w:rsidRPr="001B53A8">
        <w:rPr>
          <w:lang w:val="sr-Latn-BA"/>
        </w:rPr>
        <w:t>tako</w:t>
      </w:r>
      <w:r w:rsidR="002E4D61" w:rsidRPr="001B53A8">
        <w:rPr>
          <w:lang w:val="sr-Latn-BA"/>
        </w:rPr>
        <w:t xml:space="preserve"> </w:t>
      </w:r>
      <w:r w:rsidRPr="001B53A8">
        <w:rPr>
          <w:lang w:val="sr-Latn-BA"/>
        </w:rPr>
        <w:t>što</w:t>
      </w:r>
      <w:r w:rsidR="002E4D61" w:rsidRPr="001B53A8">
        <w:rPr>
          <w:lang w:val="sr-Latn-BA"/>
        </w:rPr>
        <w:t xml:space="preserve"> </w:t>
      </w:r>
      <w:r w:rsidRPr="001B53A8">
        <w:rPr>
          <w:lang w:val="sr-Latn-BA"/>
        </w:rPr>
        <w:t>će</w:t>
      </w:r>
      <w:r w:rsidR="002E4D61" w:rsidRPr="001B53A8">
        <w:rPr>
          <w:lang w:val="sr-Latn-BA"/>
        </w:rPr>
        <w:t xml:space="preserve"> </w:t>
      </w:r>
      <w:r w:rsidRPr="001B53A8">
        <w:rPr>
          <w:lang w:val="sr-Latn-BA"/>
        </w:rPr>
        <w:t>moći</w:t>
      </w:r>
      <w:r w:rsidR="002E4D61" w:rsidRPr="001B53A8">
        <w:rPr>
          <w:lang w:val="sr-Latn-BA"/>
        </w:rPr>
        <w:t xml:space="preserve"> </w:t>
      </w:r>
      <w:r w:rsidRPr="001B53A8">
        <w:rPr>
          <w:lang w:val="sr-Latn-BA"/>
        </w:rPr>
        <w:t>da</w:t>
      </w:r>
      <w:r w:rsidR="002E4D61" w:rsidRPr="001B53A8">
        <w:rPr>
          <w:lang w:val="sr-Latn-BA"/>
        </w:rPr>
        <w:t xml:space="preserve"> </w:t>
      </w:r>
      <w:r w:rsidRPr="001B53A8">
        <w:rPr>
          <w:lang w:val="sr-Latn-BA"/>
        </w:rPr>
        <w:t>primijene</w:t>
      </w:r>
      <w:r w:rsidR="002E4D61" w:rsidRPr="001B53A8">
        <w:rPr>
          <w:lang w:val="sr-Latn-BA"/>
        </w:rPr>
        <w:t xml:space="preserve"> </w:t>
      </w:r>
      <w:r w:rsidRPr="001B53A8">
        <w:rPr>
          <w:lang w:val="sr-Latn-BA"/>
        </w:rPr>
        <w:t>sankcije</w:t>
      </w:r>
      <w:r w:rsidR="00D50A02" w:rsidRPr="001B53A8">
        <w:rPr>
          <w:lang w:val="sr-Latn-BA"/>
        </w:rPr>
        <w:t xml:space="preserve"> </w:t>
      </w:r>
      <w:r w:rsidRPr="001B53A8">
        <w:rPr>
          <w:lang w:val="sr-Latn-BA"/>
        </w:rPr>
        <w:t>u</w:t>
      </w:r>
      <w:r w:rsidR="00D50A02" w:rsidRPr="001B53A8">
        <w:rPr>
          <w:lang w:val="sr-Latn-BA"/>
        </w:rPr>
        <w:t xml:space="preserve"> </w:t>
      </w:r>
      <w:r w:rsidRPr="001B53A8">
        <w:rPr>
          <w:lang w:val="sr-Latn-BA"/>
        </w:rPr>
        <w:t>slučaju</w:t>
      </w:r>
      <w:r w:rsidR="00D50A02" w:rsidRPr="001B53A8">
        <w:rPr>
          <w:lang w:val="sr-Latn-BA"/>
        </w:rPr>
        <w:t xml:space="preserve"> </w:t>
      </w:r>
      <w:r w:rsidRPr="001B53A8">
        <w:rPr>
          <w:lang w:val="sr-Latn-BA"/>
        </w:rPr>
        <w:t>nepostupanja</w:t>
      </w:r>
      <w:r w:rsidR="00D50A02" w:rsidRPr="001B53A8">
        <w:rPr>
          <w:lang w:val="sr-Latn-BA"/>
        </w:rPr>
        <w:t>);</w:t>
      </w:r>
    </w:p>
    <w:p w14:paraId="3106B539" w14:textId="5BD81DC2" w:rsidR="002E4D61" w:rsidRPr="001B53A8" w:rsidRDefault="00003F34" w:rsidP="006B6E0C">
      <w:pPr>
        <w:pStyle w:val="ListParagraph"/>
        <w:numPr>
          <w:ilvl w:val="0"/>
          <w:numId w:val="12"/>
        </w:numPr>
        <w:spacing w:before="0" w:after="0" w:line="240" w:lineRule="auto"/>
        <w:ind w:left="992" w:hanging="425"/>
        <w:contextualSpacing w:val="0"/>
        <w:rPr>
          <w:lang w:val="sr-Latn-BA"/>
        </w:rPr>
      </w:pPr>
      <w:r w:rsidRPr="001B53A8">
        <w:rPr>
          <w:bCs/>
          <w:lang w:val="sr-Latn-BA"/>
        </w:rPr>
        <w:t>Pomoći</w:t>
      </w:r>
      <w:r w:rsidR="002E4D61" w:rsidRPr="001B53A8">
        <w:rPr>
          <w:bCs/>
          <w:lang w:val="sr-Latn-BA"/>
        </w:rPr>
        <w:t xml:space="preserve"> </w:t>
      </w:r>
      <w:r w:rsidRPr="001B53A8">
        <w:rPr>
          <w:bCs/>
          <w:lang w:val="sr-Latn-BA"/>
        </w:rPr>
        <w:t>i</w:t>
      </w:r>
      <w:r w:rsidR="002E4D61" w:rsidRPr="001B53A8">
        <w:rPr>
          <w:bCs/>
          <w:lang w:val="sr-Latn-BA"/>
        </w:rPr>
        <w:t xml:space="preserve"> </w:t>
      </w:r>
      <w:r w:rsidRPr="001B53A8">
        <w:rPr>
          <w:bCs/>
          <w:lang w:val="sr-Latn-BA"/>
        </w:rPr>
        <w:t>obezbijediti</w:t>
      </w:r>
      <w:r w:rsidR="002E4D61" w:rsidRPr="001B53A8">
        <w:rPr>
          <w:bCs/>
          <w:lang w:val="sr-Latn-BA"/>
        </w:rPr>
        <w:t xml:space="preserve"> </w:t>
      </w:r>
      <w:r w:rsidRPr="001B53A8">
        <w:rPr>
          <w:bCs/>
          <w:lang w:val="sr-Latn-BA"/>
        </w:rPr>
        <w:t>informacije</w:t>
      </w:r>
      <w:r w:rsidR="002E4D61" w:rsidRPr="001B53A8">
        <w:rPr>
          <w:bCs/>
          <w:lang w:val="sr-Latn-BA"/>
        </w:rPr>
        <w:t xml:space="preserve"> </w:t>
      </w:r>
      <w:r w:rsidRPr="001B53A8">
        <w:rPr>
          <w:bCs/>
          <w:lang w:val="sr-Latn-BA"/>
        </w:rPr>
        <w:t>drugom</w:t>
      </w:r>
      <w:r w:rsidR="002E4D61" w:rsidRPr="001B53A8">
        <w:rPr>
          <w:bCs/>
          <w:lang w:val="sr-Latn-BA"/>
        </w:rPr>
        <w:t xml:space="preserve"> </w:t>
      </w:r>
      <w:r w:rsidRPr="001B53A8">
        <w:rPr>
          <w:bCs/>
          <w:lang w:val="sr-Latn-BA"/>
        </w:rPr>
        <w:t>regulatoru</w:t>
      </w:r>
      <w:r w:rsidR="002E4D61" w:rsidRPr="001B53A8">
        <w:rPr>
          <w:bCs/>
          <w:lang w:val="sr-Latn-BA"/>
        </w:rPr>
        <w:t xml:space="preserve"> </w:t>
      </w:r>
      <w:r w:rsidRPr="001B53A8">
        <w:rPr>
          <w:bCs/>
          <w:lang w:val="sr-Latn-BA"/>
        </w:rPr>
        <w:t>kako</w:t>
      </w:r>
      <w:r w:rsidR="002E4D61" w:rsidRPr="001B53A8">
        <w:rPr>
          <w:bCs/>
          <w:lang w:val="sr-Latn-BA"/>
        </w:rPr>
        <w:t xml:space="preserve"> </w:t>
      </w:r>
      <w:r w:rsidRPr="001B53A8">
        <w:rPr>
          <w:bCs/>
          <w:lang w:val="sr-Latn-BA"/>
        </w:rPr>
        <w:t>da</w:t>
      </w:r>
      <w:r w:rsidR="002E4D61" w:rsidRPr="001B53A8">
        <w:rPr>
          <w:bCs/>
          <w:lang w:val="sr-Latn-BA"/>
        </w:rPr>
        <w:t xml:space="preserve"> </w:t>
      </w:r>
      <w:r w:rsidRPr="001B53A8">
        <w:rPr>
          <w:bCs/>
          <w:lang w:val="sr-Latn-BA"/>
        </w:rPr>
        <w:t>zamrzne</w:t>
      </w:r>
      <w:r w:rsidR="002E4D61" w:rsidRPr="001B53A8">
        <w:rPr>
          <w:bCs/>
          <w:lang w:val="sr-Latn-BA"/>
        </w:rPr>
        <w:t xml:space="preserve"> </w:t>
      </w:r>
      <w:r w:rsidRPr="001B53A8">
        <w:rPr>
          <w:bCs/>
          <w:lang w:val="sr-Latn-BA"/>
        </w:rPr>
        <w:t>sredstva</w:t>
      </w:r>
      <w:r w:rsidR="00D50A02" w:rsidRPr="001B53A8">
        <w:rPr>
          <w:lang w:val="sr-Latn-BA"/>
        </w:rPr>
        <w:t>;</w:t>
      </w:r>
    </w:p>
    <w:p w14:paraId="696308D9" w14:textId="6F3DC3ED" w:rsidR="002E4D61" w:rsidRPr="001B53A8" w:rsidRDefault="00003F34" w:rsidP="006B6E0C">
      <w:pPr>
        <w:pStyle w:val="ListParagraph"/>
        <w:numPr>
          <w:ilvl w:val="0"/>
          <w:numId w:val="12"/>
        </w:numPr>
        <w:spacing w:before="0" w:after="0" w:line="240" w:lineRule="auto"/>
        <w:ind w:left="992" w:hanging="425"/>
        <w:contextualSpacing w:val="0"/>
        <w:rPr>
          <w:lang w:val="sr-Latn-BA"/>
        </w:rPr>
      </w:pPr>
      <w:r w:rsidRPr="001B53A8">
        <w:rPr>
          <w:bCs/>
          <w:lang w:val="sr-Latn-BA"/>
        </w:rPr>
        <w:t>Dobiti</w:t>
      </w:r>
      <w:r w:rsidR="002E4D61" w:rsidRPr="001B53A8">
        <w:rPr>
          <w:bCs/>
          <w:lang w:val="sr-Latn-BA"/>
        </w:rPr>
        <w:t xml:space="preserve"> </w:t>
      </w:r>
      <w:r w:rsidRPr="001B53A8">
        <w:rPr>
          <w:bCs/>
          <w:lang w:val="sr-Latn-BA"/>
        </w:rPr>
        <w:t>evidenciju</w:t>
      </w:r>
      <w:r w:rsidR="002E4D61" w:rsidRPr="001B53A8">
        <w:rPr>
          <w:bCs/>
          <w:lang w:val="sr-Latn-BA"/>
        </w:rPr>
        <w:t xml:space="preserve"> </w:t>
      </w:r>
      <w:r w:rsidRPr="001B53A8">
        <w:rPr>
          <w:bCs/>
          <w:lang w:val="sr-Latn-BA"/>
        </w:rPr>
        <w:t>od</w:t>
      </w:r>
      <w:r w:rsidR="002E4D61" w:rsidRPr="001B53A8">
        <w:rPr>
          <w:bCs/>
          <w:lang w:val="sr-Latn-BA"/>
        </w:rPr>
        <w:t xml:space="preserve"> </w:t>
      </w:r>
      <w:r w:rsidRPr="001B53A8">
        <w:rPr>
          <w:bCs/>
          <w:lang w:val="sr-Latn-BA"/>
        </w:rPr>
        <w:t>postojećih</w:t>
      </w:r>
      <w:r w:rsidR="002E4D61" w:rsidRPr="001B53A8">
        <w:rPr>
          <w:bCs/>
          <w:lang w:val="sr-Latn-BA"/>
        </w:rPr>
        <w:t xml:space="preserve"> </w:t>
      </w:r>
      <w:r w:rsidRPr="001B53A8">
        <w:rPr>
          <w:bCs/>
          <w:lang w:val="sr-Latn-BA"/>
        </w:rPr>
        <w:t>internet</w:t>
      </w:r>
      <w:r w:rsidR="002E4D61" w:rsidRPr="001B53A8">
        <w:rPr>
          <w:bCs/>
          <w:lang w:val="sr-Latn-BA"/>
        </w:rPr>
        <w:t xml:space="preserve"> </w:t>
      </w:r>
      <w:r w:rsidRPr="001B53A8">
        <w:rPr>
          <w:bCs/>
          <w:lang w:val="sr-Latn-BA"/>
        </w:rPr>
        <w:t>operatera</w:t>
      </w:r>
      <w:r w:rsidR="002E4D61" w:rsidRPr="001B53A8">
        <w:rPr>
          <w:bCs/>
          <w:lang w:val="sr-Latn-BA"/>
        </w:rPr>
        <w:t xml:space="preserve"> (</w:t>
      </w:r>
      <w:r w:rsidRPr="001B53A8">
        <w:rPr>
          <w:bCs/>
          <w:lang w:val="sr-Latn-BA"/>
        </w:rPr>
        <w:t>ne</w:t>
      </w:r>
      <w:r w:rsidR="002E4D61" w:rsidRPr="001B53A8">
        <w:rPr>
          <w:bCs/>
          <w:lang w:val="sr-Latn-BA"/>
        </w:rPr>
        <w:t xml:space="preserve"> </w:t>
      </w:r>
      <w:r w:rsidRPr="001B53A8">
        <w:rPr>
          <w:bCs/>
          <w:lang w:val="sr-Latn-BA"/>
        </w:rPr>
        <w:t>uklјučujući</w:t>
      </w:r>
      <w:r w:rsidR="002E4D61" w:rsidRPr="001B53A8">
        <w:rPr>
          <w:bCs/>
          <w:lang w:val="sr-Latn-BA"/>
        </w:rPr>
        <w:t xml:space="preserve"> </w:t>
      </w:r>
      <w:r w:rsidRPr="001B53A8">
        <w:rPr>
          <w:bCs/>
          <w:lang w:val="sr-Latn-BA"/>
        </w:rPr>
        <w:t>sadržaj</w:t>
      </w:r>
      <w:r w:rsidR="002E4D61" w:rsidRPr="001B53A8">
        <w:rPr>
          <w:bCs/>
          <w:lang w:val="sr-Latn-BA"/>
        </w:rPr>
        <w:t xml:space="preserve"> </w:t>
      </w:r>
      <w:r w:rsidRPr="001B53A8">
        <w:rPr>
          <w:bCs/>
          <w:lang w:val="sr-Latn-BA"/>
        </w:rPr>
        <w:t>komunikacija</w:t>
      </w:r>
      <w:r w:rsidR="002E4D61" w:rsidRPr="001B53A8">
        <w:rPr>
          <w:bCs/>
          <w:lang w:val="sr-Latn-BA"/>
        </w:rPr>
        <w:t xml:space="preserve">), </w:t>
      </w:r>
      <w:r w:rsidRPr="001B53A8">
        <w:rPr>
          <w:bCs/>
          <w:lang w:val="sr-Latn-BA"/>
        </w:rPr>
        <w:t>uklјučujući</w:t>
      </w:r>
      <w:r w:rsidR="002E4D61" w:rsidRPr="001B53A8">
        <w:rPr>
          <w:bCs/>
          <w:lang w:val="sr-Latn-BA"/>
        </w:rPr>
        <w:t xml:space="preserve"> </w:t>
      </w:r>
      <w:r w:rsidRPr="001B53A8">
        <w:rPr>
          <w:bCs/>
          <w:lang w:val="sr-Latn-BA"/>
        </w:rPr>
        <w:t>uz</w:t>
      </w:r>
      <w:r w:rsidR="00D50A02" w:rsidRPr="001B53A8">
        <w:rPr>
          <w:bCs/>
          <w:lang w:val="sr-Latn-BA"/>
        </w:rPr>
        <w:t xml:space="preserve"> </w:t>
      </w:r>
      <w:r w:rsidRPr="001B53A8">
        <w:rPr>
          <w:bCs/>
          <w:lang w:val="sr-Latn-BA"/>
        </w:rPr>
        <w:t>pomoć</w:t>
      </w:r>
      <w:r w:rsidR="00D50A02" w:rsidRPr="001B53A8">
        <w:rPr>
          <w:bCs/>
          <w:lang w:val="sr-Latn-BA"/>
        </w:rPr>
        <w:t xml:space="preserve"> </w:t>
      </w:r>
      <w:r w:rsidRPr="001B53A8">
        <w:rPr>
          <w:bCs/>
          <w:lang w:val="sr-Latn-BA"/>
        </w:rPr>
        <w:t>tužioca</w:t>
      </w:r>
      <w:r w:rsidR="00D50A02" w:rsidRPr="001B53A8">
        <w:rPr>
          <w:bCs/>
          <w:lang w:val="sr-Latn-BA"/>
        </w:rPr>
        <w:t xml:space="preserve">, </w:t>
      </w:r>
      <w:r w:rsidRPr="001B53A8">
        <w:rPr>
          <w:bCs/>
          <w:lang w:val="sr-Latn-BA"/>
        </w:rPr>
        <w:t>suda</w:t>
      </w:r>
      <w:r w:rsidR="00D50A02" w:rsidRPr="001B53A8">
        <w:rPr>
          <w:bCs/>
          <w:lang w:val="sr-Latn-BA"/>
        </w:rPr>
        <w:t xml:space="preserve"> </w:t>
      </w:r>
      <w:r w:rsidRPr="001B53A8">
        <w:rPr>
          <w:bCs/>
          <w:lang w:val="sr-Latn-BA"/>
        </w:rPr>
        <w:t>ili</w:t>
      </w:r>
      <w:r w:rsidR="00D50A02" w:rsidRPr="001B53A8">
        <w:rPr>
          <w:bCs/>
          <w:lang w:val="sr-Latn-BA"/>
        </w:rPr>
        <w:t xml:space="preserve"> </w:t>
      </w:r>
      <w:r w:rsidRPr="001B53A8">
        <w:rPr>
          <w:bCs/>
          <w:lang w:val="sr-Latn-BA"/>
        </w:rPr>
        <w:t>drugog</w:t>
      </w:r>
      <w:r w:rsidR="00D50A02" w:rsidRPr="001B53A8">
        <w:rPr>
          <w:bCs/>
          <w:lang w:val="sr-Latn-BA"/>
        </w:rPr>
        <w:t>,</w:t>
      </w:r>
    </w:p>
    <w:p w14:paraId="17574F11" w14:textId="0F1E6BA1" w:rsidR="002E4D61" w:rsidRPr="001B53A8" w:rsidRDefault="00003F34" w:rsidP="006B6E0C">
      <w:pPr>
        <w:pStyle w:val="ListParagraph"/>
        <w:numPr>
          <w:ilvl w:val="0"/>
          <w:numId w:val="12"/>
        </w:numPr>
        <w:spacing w:before="0" w:after="0" w:line="240" w:lineRule="auto"/>
        <w:ind w:left="992" w:hanging="425"/>
        <w:contextualSpacing w:val="0"/>
        <w:rPr>
          <w:lang w:val="sr-Latn-BA"/>
        </w:rPr>
      </w:pPr>
      <w:r w:rsidRPr="001B53A8">
        <w:rPr>
          <w:bCs/>
          <w:lang w:val="sr-Latn-BA"/>
        </w:rPr>
        <w:t>Dobiti</w:t>
      </w:r>
      <w:r w:rsidR="002E4D61" w:rsidRPr="001B53A8">
        <w:rPr>
          <w:bCs/>
          <w:lang w:val="sr-Latn-BA"/>
        </w:rPr>
        <w:t xml:space="preserve"> </w:t>
      </w:r>
      <w:r w:rsidRPr="001B53A8">
        <w:rPr>
          <w:bCs/>
          <w:lang w:val="sr-Latn-BA"/>
        </w:rPr>
        <w:t>postojeću</w:t>
      </w:r>
      <w:r w:rsidR="002E4D61" w:rsidRPr="001B53A8">
        <w:rPr>
          <w:bCs/>
          <w:lang w:val="sr-Latn-BA"/>
        </w:rPr>
        <w:t xml:space="preserve"> </w:t>
      </w:r>
      <w:r w:rsidRPr="001B53A8">
        <w:rPr>
          <w:bCs/>
          <w:lang w:val="sr-Latn-BA"/>
        </w:rPr>
        <w:t>telefonsku</w:t>
      </w:r>
      <w:r w:rsidR="002E4D61" w:rsidRPr="001B53A8">
        <w:rPr>
          <w:bCs/>
          <w:lang w:val="sr-Latn-BA"/>
        </w:rPr>
        <w:t xml:space="preserve"> </w:t>
      </w:r>
      <w:r w:rsidRPr="001B53A8">
        <w:rPr>
          <w:bCs/>
          <w:lang w:val="sr-Latn-BA"/>
        </w:rPr>
        <w:t>evidenciju</w:t>
      </w:r>
      <w:r w:rsidR="002E4D61" w:rsidRPr="001B53A8">
        <w:rPr>
          <w:bCs/>
          <w:lang w:val="sr-Latn-BA"/>
        </w:rPr>
        <w:t xml:space="preserve"> (</w:t>
      </w:r>
      <w:r w:rsidRPr="001B53A8">
        <w:rPr>
          <w:bCs/>
          <w:lang w:val="sr-Latn-BA"/>
        </w:rPr>
        <w:t>ne</w:t>
      </w:r>
      <w:r w:rsidR="002E4D61" w:rsidRPr="001B53A8">
        <w:rPr>
          <w:bCs/>
          <w:lang w:val="sr-Latn-BA"/>
        </w:rPr>
        <w:t xml:space="preserve"> </w:t>
      </w:r>
      <w:r w:rsidRPr="001B53A8">
        <w:rPr>
          <w:bCs/>
          <w:lang w:val="sr-Latn-BA"/>
        </w:rPr>
        <w:t>uklјučujući</w:t>
      </w:r>
      <w:r w:rsidR="002E4D61" w:rsidRPr="001B53A8">
        <w:rPr>
          <w:bCs/>
          <w:lang w:val="sr-Latn-BA"/>
        </w:rPr>
        <w:t xml:space="preserve"> </w:t>
      </w:r>
      <w:r w:rsidRPr="001B53A8">
        <w:rPr>
          <w:bCs/>
          <w:lang w:val="sr-Latn-BA"/>
        </w:rPr>
        <w:t>sadržaja</w:t>
      </w:r>
      <w:r w:rsidR="002E4D61" w:rsidRPr="001B53A8">
        <w:rPr>
          <w:bCs/>
          <w:lang w:val="sr-Latn-BA"/>
        </w:rPr>
        <w:t xml:space="preserve">) </w:t>
      </w:r>
      <w:r w:rsidRPr="001B53A8">
        <w:rPr>
          <w:bCs/>
          <w:lang w:val="sr-Latn-BA"/>
        </w:rPr>
        <w:t>od</w:t>
      </w:r>
      <w:r w:rsidR="002E4D61" w:rsidRPr="001B53A8">
        <w:rPr>
          <w:bCs/>
          <w:lang w:val="sr-Latn-BA"/>
        </w:rPr>
        <w:t xml:space="preserve"> </w:t>
      </w:r>
      <w:r w:rsidRPr="001B53A8">
        <w:rPr>
          <w:bCs/>
          <w:lang w:val="sr-Latn-BA"/>
        </w:rPr>
        <w:t>operatera</w:t>
      </w:r>
      <w:r w:rsidR="002E4D61" w:rsidRPr="001B53A8">
        <w:rPr>
          <w:bCs/>
          <w:lang w:val="sr-Latn-BA"/>
        </w:rPr>
        <w:t xml:space="preserve"> </w:t>
      </w:r>
      <w:r w:rsidRPr="001B53A8">
        <w:rPr>
          <w:bCs/>
          <w:lang w:val="sr-Latn-BA"/>
        </w:rPr>
        <w:t>telekomunikacija</w:t>
      </w:r>
      <w:r w:rsidR="002E4D61" w:rsidRPr="001B53A8">
        <w:rPr>
          <w:bCs/>
          <w:lang w:val="sr-Latn-BA"/>
        </w:rPr>
        <w:t xml:space="preserve">, </w:t>
      </w:r>
      <w:r w:rsidRPr="001B53A8">
        <w:rPr>
          <w:bCs/>
          <w:lang w:val="sr-Latn-BA"/>
        </w:rPr>
        <w:t>uklјučujući</w:t>
      </w:r>
      <w:r w:rsidR="002E4D61" w:rsidRPr="001B53A8">
        <w:rPr>
          <w:bCs/>
          <w:lang w:val="sr-Latn-BA"/>
        </w:rPr>
        <w:t xml:space="preserve"> </w:t>
      </w:r>
      <w:r w:rsidRPr="001B53A8">
        <w:rPr>
          <w:bCs/>
          <w:lang w:val="sr-Latn-BA"/>
        </w:rPr>
        <w:t>uz</w:t>
      </w:r>
      <w:r w:rsidR="002E4D61" w:rsidRPr="001B53A8">
        <w:rPr>
          <w:bCs/>
          <w:lang w:val="sr-Latn-BA"/>
        </w:rPr>
        <w:t xml:space="preserve"> </w:t>
      </w:r>
      <w:r w:rsidRPr="001B53A8">
        <w:rPr>
          <w:bCs/>
          <w:lang w:val="sr-Latn-BA"/>
        </w:rPr>
        <w:t>pomoć</w:t>
      </w:r>
      <w:r w:rsidR="002E4D61" w:rsidRPr="001B53A8">
        <w:rPr>
          <w:bCs/>
          <w:lang w:val="sr-Latn-BA"/>
        </w:rPr>
        <w:t xml:space="preserve"> </w:t>
      </w:r>
      <w:r w:rsidRPr="001B53A8">
        <w:rPr>
          <w:bCs/>
          <w:lang w:val="sr-Latn-BA"/>
        </w:rPr>
        <w:t>suda</w:t>
      </w:r>
      <w:r w:rsidR="002E4D61" w:rsidRPr="001B53A8">
        <w:rPr>
          <w:bCs/>
          <w:lang w:val="sr-Latn-BA"/>
        </w:rPr>
        <w:t xml:space="preserve">, </w:t>
      </w:r>
      <w:r w:rsidRPr="001B53A8">
        <w:rPr>
          <w:bCs/>
          <w:lang w:val="sr-Latn-BA"/>
        </w:rPr>
        <w:t>tužioca</w:t>
      </w:r>
      <w:r w:rsidR="002E4D61" w:rsidRPr="001B53A8">
        <w:rPr>
          <w:bCs/>
          <w:lang w:val="sr-Latn-BA"/>
        </w:rPr>
        <w:t xml:space="preserve"> </w:t>
      </w:r>
      <w:r w:rsidRPr="001B53A8">
        <w:rPr>
          <w:bCs/>
          <w:lang w:val="sr-Latn-BA"/>
        </w:rPr>
        <w:t>ili</w:t>
      </w:r>
      <w:r w:rsidR="002E4D61" w:rsidRPr="001B53A8">
        <w:rPr>
          <w:bCs/>
          <w:lang w:val="sr-Latn-BA"/>
        </w:rPr>
        <w:t xml:space="preserve"> </w:t>
      </w:r>
      <w:r w:rsidRPr="001B53A8">
        <w:rPr>
          <w:bCs/>
          <w:lang w:val="sr-Latn-BA"/>
        </w:rPr>
        <w:t>drugog</w:t>
      </w:r>
      <w:r w:rsidR="002E4D61" w:rsidRPr="001B53A8">
        <w:rPr>
          <w:bCs/>
          <w:lang w:val="sr-Latn-BA"/>
        </w:rPr>
        <w:t xml:space="preserve"> </w:t>
      </w:r>
      <w:r w:rsidRPr="001B53A8">
        <w:rPr>
          <w:bCs/>
          <w:lang w:val="sr-Latn-BA"/>
        </w:rPr>
        <w:t>organa</w:t>
      </w:r>
      <w:r w:rsidR="00D50A02" w:rsidRPr="001B53A8">
        <w:rPr>
          <w:lang w:val="sr-Latn-BA"/>
        </w:rPr>
        <w:t>;</w:t>
      </w:r>
    </w:p>
    <w:p w14:paraId="0B80F7AD" w14:textId="347EBEA6" w:rsidR="002E4D61" w:rsidRPr="001B53A8" w:rsidRDefault="00003F34" w:rsidP="006B6E0C">
      <w:pPr>
        <w:pStyle w:val="ListParagraph"/>
        <w:numPr>
          <w:ilvl w:val="0"/>
          <w:numId w:val="12"/>
        </w:numPr>
        <w:spacing w:before="0" w:after="0" w:line="240" w:lineRule="auto"/>
        <w:ind w:left="992" w:hanging="425"/>
        <w:contextualSpacing w:val="0"/>
        <w:rPr>
          <w:i/>
          <w:iCs/>
          <w:lang w:val="sr-Latn-BA"/>
        </w:rPr>
      </w:pPr>
      <w:r w:rsidRPr="001B53A8">
        <w:rPr>
          <w:bCs/>
          <w:lang w:val="sr-Latn-BA"/>
        </w:rPr>
        <w:t>Dobiti</w:t>
      </w:r>
      <w:r w:rsidR="002E4D61" w:rsidRPr="001B53A8">
        <w:rPr>
          <w:bCs/>
          <w:lang w:val="sr-Latn-BA"/>
        </w:rPr>
        <w:t xml:space="preserve"> </w:t>
      </w:r>
      <w:r w:rsidRPr="001B53A8">
        <w:rPr>
          <w:bCs/>
          <w:lang w:val="sr-Latn-BA"/>
        </w:rPr>
        <w:t>telefonsku</w:t>
      </w:r>
      <w:r w:rsidR="002E4D61" w:rsidRPr="001B53A8">
        <w:rPr>
          <w:bCs/>
          <w:lang w:val="sr-Latn-BA"/>
        </w:rPr>
        <w:t xml:space="preserve"> </w:t>
      </w:r>
      <w:r w:rsidRPr="001B53A8">
        <w:rPr>
          <w:bCs/>
          <w:lang w:val="sr-Latn-BA"/>
        </w:rPr>
        <w:t>evidencije</w:t>
      </w:r>
      <w:r w:rsidR="002E4D61" w:rsidRPr="001B53A8">
        <w:rPr>
          <w:bCs/>
          <w:lang w:val="sr-Latn-BA"/>
        </w:rPr>
        <w:t xml:space="preserve"> </w:t>
      </w:r>
      <w:r w:rsidRPr="001B53A8">
        <w:rPr>
          <w:bCs/>
          <w:lang w:val="sr-Latn-BA"/>
        </w:rPr>
        <w:t>ili</w:t>
      </w:r>
      <w:r w:rsidR="002E4D61" w:rsidRPr="001B53A8">
        <w:rPr>
          <w:bCs/>
          <w:lang w:val="sr-Latn-BA"/>
        </w:rPr>
        <w:t xml:space="preserve"> </w:t>
      </w:r>
      <w:r w:rsidRPr="001B53A8">
        <w:rPr>
          <w:bCs/>
          <w:lang w:val="sr-Latn-BA"/>
        </w:rPr>
        <w:t>drugu</w:t>
      </w:r>
      <w:r w:rsidR="002E4D61" w:rsidRPr="001B53A8">
        <w:rPr>
          <w:bCs/>
          <w:lang w:val="sr-Latn-BA"/>
        </w:rPr>
        <w:t xml:space="preserve"> </w:t>
      </w:r>
      <w:r w:rsidRPr="001B53A8">
        <w:rPr>
          <w:bCs/>
          <w:lang w:val="sr-Latn-BA"/>
        </w:rPr>
        <w:t>elektronsku</w:t>
      </w:r>
      <w:r w:rsidR="002E4D61" w:rsidRPr="001B53A8">
        <w:rPr>
          <w:bCs/>
          <w:lang w:val="sr-Latn-BA"/>
        </w:rPr>
        <w:t xml:space="preserve"> </w:t>
      </w:r>
      <w:r w:rsidRPr="001B53A8">
        <w:rPr>
          <w:bCs/>
          <w:lang w:val="sr-Latn-BA"/>
        </w:rPr>
        <w:t>komunikaciju</w:t>
      </w:r>
      <w:r w:rsidR="002E4D61" w:rsidRPr="001B53A8">
        <w:rPr>
          <w:bCs/>
          <w:lang w:val="sr-Latn-BA"/>
        </w:rPr>
        <w:t xml:space="preserve"> (</w:t>
      </w:r>
      <w:r w:rsidRPr="001B53A8">
        <w:rPr>
          <w:bCs/>
          <w:lang w:val="sr-Latn-BA"/>
        </w:rPr>
        <w:t>uklјučujući</w:t>
      </w:r>
      <w:r w:rsidR="002E4D61" w:rsidRPr="001B53A8">
        <w:rPr>
          <w:bCs/>
          <w:lang w:val="sr-Latn-BA"/>
        </w:rPr>
        <w:t xml:space="preserve"> </w:t>
      </w:r>
      <w:r w:rsidRPr="001B53A8">
        <w:rPr>
          <w:bCs/>
          <w:lang w:val="sr-Latn-BA"/>
        </w:rPr>
        <w:t>sadržaj</w:t>
      </w:r>
      <w:r w:rsidR="002E4D61" w:rsidRPr="001B53A8">
        <w:rPr>
          <w:bCs/>
          <w:lang w:val="sr-Latn-BA"/>
        </w:rPr>
        <w:t xml:space="preserve"> </w:t>
      </w:r>
      <w:r w:rsidRPr="001B53A8">
        <w:rPr>
          <w:bCs/>
          <w:lang w:val="sr-Latn-BA"/>
        </w:rPr>
        <w:t>komunikacija</w:t>
      </w:r>
      <w:r w:rsidR="002E4D61" w:rsidRPr="001B53A8">
        <w:rPr>
          <w:bCs/>
          <w:lang w:val="sr-Latn-BA"/>
        </w:rPr>
        <w:t xml:space="preserve">) </w:t>
      </w:r>
      <w:r w:rsidRPr="001B53A8">
        <w:rPr>
          <w:bCs/>
          <w:lang w:val="sr-Latn-BA"/>
        </w:rPr>
        <w:t>koju</w:t>
      </w:r>
      <w:r w:rsidR="002E4D61" w:rsidRPr="001B53A8">
        <w:rPr>
          <w:bCs/>
          <w:lang w:val="sr-Latn-BA"/>
        </w:rPr>
        <w:t xml:space="preserve"> </w:t>
      </w:r>
      <w:r w:rsidRPr="001B53A8">
        <w:rPr>
          <w:bCs/>
          <w:lang w:val="sr-Latn-BA"/>
        </w:rPr>
        <w:t>čuva</w:t>
      </w:r>
      <w:r w:rsidR="002E4D61" w:rsidRPr="001B53A8">
        <w:rPr>
          <w:bCs/>
          <w:lang w:val="sr-Latn-BA"/>
        </w:rPr>
        <w:t xml:space="preserve"> </w:t>
      </w:r>
      <w:r w:rsidRPr="001B53A8">
        <w:rPr>
          <w:bCs/>
          <w:lang w:val="sr-Latn-BA"/>
        </w:rPr>
        <w:t>ili</w:t>
      </w:r>
      <w:r w:rsidR="002E4D61" w:rsidRPr="001B53A8">
        <w:rPr>
          <w:bCs/>
          <w:lang w:val="sr-Latn-BA"/>
        </w:rPr>
        <w:t xml:space="preserve"> </w:t>
      </w:r>
      <w:r w:rsidRPr="001B53A8">
        <w:rPr>
          <w:bCs/>
          <w:lang w:val="sr-Latn-BA"/>
        </w:rPr>
        <w:t>održava</w:t>
      </w:r>
      <w:r w:rsidR="002E4D61" w:rsidRPr="001B53A8">
        <w:rPr>
          <w:bCs/>
          <w:lang w:val="sr-Latn-BA"/>
        </w:rPr>
        <w:t xml:space="preserve"> </w:t>
      </w:r>
      <w:r w:rsidRPr="001B53A8">
        <w:rPr>
          <w:bCs/>
          <w:lang w:val="sr-Latn-BA"/>
        </w:rPr>
        <w:t>firma</w:t>
      </w:r>
      <w:r w:rsidR="002E4D61" w:rsidRPr="001B53A8">
        <w:rPr>
          <w:bCs/>
          <w:lang w:val="sr-Latn-BA"/>
        </w:rPr>
        <w:t xml:space="preserve"> </w:t>
      </w:r>
      <w:r w:rsidRPr="001B53A8">
        <w:rPr>
          <w:bCs/>
          <w:lang w:val="sr-Latn-BA"/>
        </w:rPr>
        <w:t>u</w:t>
      </w:r>
      <w:r w:rsidR="002E4D61" w:rsidRPr="001B53A8">
        <w:rPr>
          <w:bCs/>
          <w:lang w:val="sr-Latn-BA"/>
        </w:rPr>
        <w:t xml:space="preserve"> </w:t>
      </w:r>
      <w:r w:rsidRPr="001B53A8">
        <w:rPr>
          <w:bCs/>
          <w:lang w:val="sr-Latn-BA"/>
        </w:rPr>
        <w:t>nadležnosti</w:t>
      </w:r>
      <w:r w:rsidR="002E4D61" w:rsidRPr="001B53A8">
        <w:rPr>
          <w:bCs/>
          <w:lang w:val="sr-Latn-BA"/>
        </w:rPr>
        <w:t xml:space="preserve"> </w:t>
      </w:r>
      <w:r w:rsidRPr="001B53A8">
        <w:rPr>
          <w:bCs/>
          <w:lang w:val="sr-Latn-BA"/>
        </w:rPr>
        <w:t>regulatora</w:t>
      </w:r>
      <w:r w:rsidR="002E4D61" w:rsidRPr="001B53A8">
        <w:rPr>
          <w:bCs/>
          <w:lang w:val="sr-Latn-BA"/>
        </w:rPr>
        <w:t xml:space="preserve"> </w:t>
      </w:r>
      <w:r w:rsidRPr="001B53A8">
        <w:rPr>
          <w:bCs/>
          <w:lang w:val="sr-Latn-BA"/>
        </w:rPr>
        <w:t>od</w:t>
      </w:r>
      <w:r w:rsidR="002E4D61" w:rsidRPr="001B53A8">
        <w:rPr>
          <w:bCs/>
          <w:lang w:val="sr-Latn-BA"/>
        </w:rPr>
        <w:t xml:space="preserve"> </w:t>
      </w:r>
      <w:r w:rsidRPr="001B53A8">
        <w:rPr>
          <w:bCs/>
          <w:lang w:val="sr-Latn-BA"/>
        </w:rPr>
        <w:t>kojeg</w:t>
      </w:r>
      <w:r w:rsidR="002E4D61" w:rsidRPr="001B53A8">
        <w:rPr>
          <w:bCs/>
          <w:lang w:val="sr-Latn-BA"/>
        </w:rPr>
        <w:t xml:space="preserve"> </w:t>
      </w:r>
      <w:r w:rsidRPr="001B53A8">
        <w:rPr>
          <w:bCs/>
          <w:lang w:val="sr-Latn-BA"/>
        </w:rPr>
        <w:t>se</w:t>
      </w:r>
      <w:r w:rsidR="002E4D61" w:rsidRPr="001B53A8">
        <w:rPr>
          <w:bCs/>
          <w:lang w:val="sr-Latn-BA"/>
        </w:rPr>
        <w:t xml:space="preserve"> </w:t>
      </w:r>
      <w:r w:rsidRPr="001B53A8">
        <w:rPr>
          <w:bCs/>
          <w:lang w:val="sr-Latn-BA"/>
        </w:rPr>
        <w:t>traže</w:t>
      </w:r>
      <w:r w:rsidR="002E4D61" w:rsidRPr="001B53A8">
        <w:rPr>
          <w:bCs/>
          <w:lang w:val="sr-Latn-BA"/>
        </w:rPr>
        <w:t xml:space="preserve"> </w:t>
      </w:r>
      <w:r w:rsidRPr="001B53A8">
        <w:rPr>
          <w:bCs/>
          <w:lang w:val="sr-Latn-BA"/>
        </w:rPr>
        <w:t>informacije</w:t>
      </w:r>
      <w:r w:rsidR="00D50A02" w:rsidRPr="001B53A8">
        <w:rPr>
          <w:lang w:val="sr-Latn-BA"/>
        </w:rPr>
        <w:t>.</w:t>
      </w:r>
    </w:p>
    <w:p w14:paraId="6DAA59AC" w14:textId="07CE6CA7" w:rsidR="002E4D61" w:rsidRPr="001B53A8" w:rsidRDefault="00003F34" w:rsidP="006B6E0C">
      <w:pPr>
        <w:pStyle w:val="Default"/>
        <w:spacing w:before="120"/>
        <w:ind w:firstLine="567"/>
        <w:jc w:val="both"/>
        <w:rPr>
          <w:lang w:val="sr-Latn-BA"/>
        </w:rPr>
      </w:pPr>
      <w:r w:rsidRPr="001B53A8">
        <w:rPr>
          <w:lang w:val="sr-Latn-BA"/>
        </w:rPr>
        <w:t>Nakon</w:t>
      </w:r>
      <w:r w:rsidR="002E4D61" w:rsidRPr="001B53A8">
        <w:rPr>
          <w:lang w:val="sr-Latn-BA"/>
        </w:rPr>
        <w:t xml:space="preserve"> </w:t>
      </w:r>
      <w:r w:rsidRPr="001B53A8">
        <w:rPr>
          <w:lang w:val="sr-Latn-BA"/>
        </w:rPr>
        <w:t>donošenja</w:t>
      </w:r>
      <w:r w:rsidR="002E4D61" w:rsidRPr="001B53A8">
        <w:rPr>
          <w:lang w:val="sr-Latn-BA"/>
        </w:rPr>
        <w:t xml:space="preserve"> </w:t>
      </w:r>
      <w:r w:rsidRPr="001B53A8">
        <w:rPr>
          <w:lang w:val="sr-Latn-BA"/>
        </w:rPr>
        <w:t>konačnih</w:t>
      </w:r>
      <w:r w:rsidR="002E4D61" w:rsidRPr="001B53A8">
        <w:rPr>
          <w:lang w:val="sr-Latn-BA"/>
        </w:rPr>
        <w:t xml:space="preserve"> </w:t>
      </w:r>
      <w:r w:rsidRPr="001B53A8">
        <w:rPr>
          <w:lang w:val="sr-Latn-BA"/>
        </w:rPr>
        <w:t>procedura</w:t>
      </w:r>
      <w:r w:rsidR="002E4D61" w:rsidRPr="001B53A8">
        <w:rPr>
          <w:lang w:val="sr-Latn-BA"/>
        </w:rPr>
        <w:t xml:space="preserve">, </w:t>
      </w:r>
      <w:r w:rsidRPr="001B53A8">
        <w:rPr>
          <w:lang w:val="sr-Latn-BA"/>
        </w:rPr>
        <w:t>upitnika</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pojašnjenja</w:t>
      </w:r>
      <w:r w:rsidR="002E4D61" w:rsidRPr="001B53A8">
        <w:rPr>
          <w:lang w:val="sr-Latn-BA"/>
        </w:rPr>
        <w:t xml:space="preserve"> </w:t>
      </w:r>
      <w:r w:rsidRPr="001B53A8">
        <w:rPr>
          <w:lang w:val="sr-Latn-BA"/>
        </w:rPr>
        <w:t>vezanih</w:t>
      </w:r>
      <w:r w:rsidR="002E4D61" w:rsidRPr="001B53A8">
        <w:rPr>
          <w:lang w:val="sr-Latn-BA"/>
        </w:rPr>
        <w:t xml:space="preserve"> </w:t>
      </w:r>
      <w:r w:rsidRPr="001B53A8">
        <w:rPr>
          <w:lang w:val="sr-Latn-BA"/>
        </w:rPr>
        <w:t>za</w:t>
      </w:r>
      <w:r w:rsidR="002E4D61" w:rsidRPr="001B53A8">
        <w:rPr>
          <w:lang w:val="sr-Latn-BA"/>
        </w:rPr>
        <w:t xml:space="preserve"> </w:t>
      </w:r>
      <w:r w:rsidRPr="001B53A8">
        <w:rPr>
          <w:lang w:val="sr-Latn-BA"/>
        </w:rPr>
        <w:t>praćenje</w:t>
      </w:r>
      <w:r w:rsidR="002E4D61" w:rsidRPr="001B53A8">
        <w:rPr>
          <w:lang w:val="sr-Latn-BA"/>
        </w:rPr>
        <w:t xml:space="preserve"> </w:t>
      </w:r>
      <w:r w:rsidRPr="001B53A8">
        <w:rPr>
          <w:lang w:val="sr-Latn-BA"/>
        </w:rPr>
        <w:t>aktivnosti</w:t>
      </w:r>
      <w:r w:rsidR="002E4D61" w:rsidRPr="001B53A8">
        <w:rPr>
          <w:lang w:val="sr-Latn-BA"/>
        </w:rPr>
        <w:t xml:space="preserve"> </w:t>
      </w:r>
      <w:r w:rsidRPr="001B53A8">
        <w:rPr>
          <w:lang w:val="sr-Latn-BA"/>
        </w:rPr>
        <w:t>u</w:t>
      </w:r>
      <w:r w:rsidR="002E4D61" w:rsidRPr="001B53A8">
        <w:rPr>
          <w:lang w:val="sr-Latn-BA"/>
        </w:rPr>
        <w:t xml:space="preserve"> </w:t>
      </w:r>
      <w:r w:rsidRPr="001B53A8">
        <w:rPr>
          <w:lang w:val="sr-Latn-BA"/>
        </w:rPr>
        <w:t>vezi</w:t>
      </w:r>
      <w:r w:rsidR="002E4D61" w:rsidRPr="001B53A8">
        <w:rPr>
          <w:lang w:val="sr-Latn-BA"/>
        </w:rPr>
        <w:t xml:space="preserve"> </w:t>
      </w:r>
      <w:r w:rsidRPr="001B53A8">
        <w:rPr>
          <w:lang w:val="sr-Latn-BA"/>
        </w:rPr>
        <w:t>s</w:t>
      </w:r>
      <w:r w:rsidR="002E4D61" w:rsidRPr="001B53A8">
        <w:rPr>
          <w:lang w:val="sr-Latn-BA"/>
        </w:rPr>
        <w:t xml:space="preserve"> IOSCO EMMoU </w:t>
      </w:r>
      <w:r w:rsidRPr="001B53A8">
        <w:rPr>
          <w:lang w:val="sr-Latn-BA"/>
        </w:rPr>
        <w:t>od</w:t>
      </w:r>
      <w:r w:rsidR="002E4D61" w:rsidRPr="001B53A8">
        <w:rPr>
          <w:lang w:val="sr-Latn-BA"/>
        </w:rPr>
        <w:t xml:space="preserve"> </w:t>
      </w:r>
      <w:r w:rsidRPr="001B53A8">
        <w:rPr>
          <w:lang w:val="sr-Latn-BA"/>
        </w:rPr>
        <w:t>strane</w:t>
      </w:r>
      <w:r w:rsidR="002E4D61" w:rsidRPr="001B53A8">
        <w:rPr>
          <w:lang w:val="sr-Latn-BA"/>
        </w:rPr>
        <w:t xml:space="preserve"> IOSCO, </w:t>
      </w:r>
      <w:r w:rsidRPr="001B53A8">
        <w:rPr>
          <w:lang w:val="sr-Latn-BA"/>
        </w:rPr>
        <w:t>dodatnih</w:t>
      </w:r>
      <w:r w:rsidR="002E4D61" w:rsidRPr="001B53A8">
        <w:rPr>
          <w:lang w:val="sr-Latn-BA"/>
        </w:rPr>
        <w:t xml:space="preserve"> </w:t>
      </w:r>
      <w:r w:rsidRPr="001B53A8">
        <w:rPr>
          <w:lang w:val="sr-Latn-BA"/>
        </w:rPr>
        <w:t>analiza</w:t>
      </w:r>
      <w:r w:rsidR="002E4D61" w:rsidRPr="001B53A8">
        <w:rPr>
          <w:lang w:val="sr-Latn-BA"/>
        </w:rPr>
        <w:t xml:space="preserve"> </w:t>
      </w:r>
      <w:r w:rsidRPr="001B53A8">
        <w:rPr>
          <w:lang w:val="sr-Latn-BA"/>
        </w:rPr>
        <w:t>zakonskih</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podzakonskih</w:t>
      </w:r>
      <w:r w:rsidR="002E4D61" w:rsidRPr="001B53A8">
        <w:rPr>
          <w:lang w:val="sr-Latn-BA"/>
        </w:rPr>
        <w:t xml:space="preserve"> </w:t>
      </w:r>
      <w:r w:rsidRPr="001B53A8">
        <w:rPr>
          <w:lang w:val="sr-Latn-BA"/>
        </w:rPr>
        <w:t>propisa</w:t>
      </w:r>
      <w:r w:rsidR="002E4D61" w:rsidRPr="001B53A8">
        <w:rPr>
          <w:lang w:val="sr-Latn-BA"/>
        </w:rPr>
        <w:t xml:space="preserve">, </w:t>
      </w:r>
      <w:r w:rsidRPr="001B53A8">
        <w:rPr>
          <w:lang w:val="sr-Latn-BA"/>
        </w:rPr>
        <w:t>te</w:t>
      </w:r>
      <w:r w:rsidR="002E4D61" w:rsidRPr="001B53A8">
        <w:rPr>
          <w:lang w:val="sr-Latn-BA"/>
        </w:rPr>
        <w:t xml:space="preserve"> </w:t>
      </w:r>
      <w:r w:rsidRPr="001B53A8">
        <w:rPr>
          <w:lang w:val="sr-Latn-BA"/>
        </w:rPr>
        <w:t>procjena</w:t>
      </w:r>
      <w:r w:rsidR="002E4D61" w:rsidRPr="001B53A8">
        <w:rPr>
          <w:lang w:val="sr-Latn-BA"/>
        </w:rPr>
        <w:t xml:space="preserve"> </w:t>
      </w:r>
      <w:r w:rsidRPr="001B53A8">
        <w:rPr>
          <w:lang w:val="sr-Latn-BA"/>
        </w:rPr>
        <w:t>ovlašćenja</w:t>
      </w:r>
      <w:r w:rsidR="002E4D61" w:rsidRPr="001B53A8">
        <w:rPr>
          <w:lang w:val="sr-Latn-BA"/>
        </w:rPr>
        <w:t xml:space="preserve"> </w:t>
      </w:r>
      <w:r w:rsidRPr="001B53A8">
        <w:rPr>
          <w:lang w:val="sr-Latn-BA"/>
        </w:rPr>
        <w:t>Komisije</w:t>
      </w:r>
      <w:r w:rsidR="002E4D61" w:rsidRPr="001B53A8">
        <w:rPr>
          <w:lang w:val="sr-Latn-BA"/>
        </w:rPr>
        <w:t xml:space="preserve"> </w:t>
      </w:r>
      <w:r w:rsidRPr="001B53A8">
        <w:rPr>
          <w:lang w:val="sr-Latn-BA"/>
        </w:rPr>
        <w:t>i</w:t>
      </w:r>
      <w:r w:rsidR="002E4D61" w:rsidRPr="001B53A8">
        <w:rPr>
          <w:lang w:val="sr-Latn-BA"/>
        </w:rPr>
        <w:t xml:space="preserve"> </w:t>
      </w:r>
      <w:r w:rsidRPr="001B53A8">
        <w:rPr>
          <w:lang w:val="sr-Latn-BA"/>
        </w:rPr>
        <w:t>mogućnosti</w:t>
      </w:r>
      <w:r w:rsidR="002E4D61" w:rsidRPr="001B53A8">
        <w:rPr>
          <w:lang w:val="sr-Latn-BA"/>
        </w:rPr>
        <w:t xml:space="preserve"> </w:t>
      </w:r>
      <w:r w:rsidRPr="001B53A8">
        <w:rPr>
          <w:lang w:val="sr-Latn-BA"/>
        </w:rPr>
        <w:t>saradnje</w:t>
      </w:r>
      <w:r w:rsidR="002E4D61" w:rsidRPr="001B53A8">
        <w:rPr>
          <w:lang w:val="sr-Latn-BA"/>
        </w:rPr>
        <w:t xml:space="preserve"> </w:t>
      </w:r>
      <w:r w:rsidRPr="001B53A8">
        <w:rPr>
          <w:lang w:val="sr-Latn-BA"/>
        </w:rPr>
        <w:t>sa</w:t>
      </w:r>
      <w:r w:rsidR="002E4D61" w:rsidRPr="001B53A8">
        <w:rPr>
          <w:lang w:val="sr-Latn-BA"/>
        </w:rPr>
        <w:t xml:space="preserve"> </w:t>
      </w:r>
      <w:r w:rsidRPr="001B53A8">
        <w:rPr>
          <w:lang w:val="sr-Latn-BA"/>
        </w:rPr>
        <w:t>nosiocima</w:t>
      </w:r>
      <w:r w:rsidR="002E4D61" w:rsidRPr="001B53A8">
        <w:rPr>
          <w:lang w:val="sr-Latn-BA"/>
        </w:rPr>
        <w:t xml:space="preserve"> </w:t>
      </w:r>
      <w:r w:rsidRPr="001B53A8">
        <w:rPr>
          <w:lang w:val="sr-Latn-BA"/>
        </w:rPr>
        <w:t>informacija</w:t>
      </w:r>
      <w:r w:rsidR="002E4D61" w:rsidRPr="001B53A8">
        <w:rPr>
          <w:lang w:val="sr-Latn-BA"/>
        </w:rPr>
        <w:t xml:space="preserve"> </w:t>
      </w:r>
      <w:r w:rsidRPr="001B53A8">
        <w:rPr>
          <w:lang w:val="sr-Latn-BA"/>
        </w:rPr>
        <w:t>koje</w:t>
      </w:r>
      <w:r w:rsidR="002E4D61" w:rsidRPr="001B53A8">
        <w:rPr>
          <w:lang w:val="sr-Latn-BA"/>
        </w:rPr>
        <w:t xml:space="preserve"> </w:t>
      </w:r>
      <w:r w:rsidRPr="001B53A8">
        <w:rPr>
          <w:lang w:val="sr-Latn-BA"/>
        </w:rPr>
        <w:t>su</w:t>
      </w:r>
      <w:r w:rsidR="002E4D61" w:rsidRPr="001B53A8">
        <w:rPr>
          <w:lang w:val="sr-Latn-BA"/>
        </w:rPr>
        <w:t xml:space="preserve"> </w:t>
      </w:r>
      <w:r w:rsidRPr="001B53A8">
        <w:rPr>
          <w:lang w:val="sr-Latn-BA"/>
        </w:rPr>
        <w:t>predmet</w:t>
      </w:r>
      <w:r w:rsidR="002E4D61" w:rsidRPr="001B53A8">
        <w:rPr>
          <w:lang w:val="sr-Latn-BA"/>
        </w:rPr>
        <w:t xml:space="preserve"> EMMoU, </w:t>
      </w:r>
      <w:r w:rsidRPr="001B53A8">
        <w:rPr>
          <w:lang w:val="sr-Latn-BA"/>
        </w:rPr>
        <w:t>odlučeno</w:t>
      </w:r>
      <w:r w:rsidR="002E4D61" w:rsidRPr="001B53A8">
        <w:rPr>
          <w:lang w:val="sr-Latn-BA"/>
        </w:rPr>
        <w:t xml:space="preserve"> </w:t>
      </w:r>
      <w:r w:rsidRPr="001B53A8">
        <w:rPr>
          <w:lang w:val="sr-Latn-BA"/>
        </w:rPr>
        <w:t>je</w:t>
      </w:r>
      <w:r w:rsidR="002E4D61" w:rsidRPr="001B53A8">
        <w:rPr>
          <w:lang w:val="sr-Latn-BA"/>
        </w:rPr>
        <w:t xml:space="preserve"> </w:t>
      </w:r>
      <w:r w:rsidRPr="001B53A8">
        <w:rPr>
          <w:lang w:val="sr-Latn-BA"/>
        </w:rPr>
        <w:t>da</w:t>
      </w:r>
      <w:r w:rsidR="002E4D61" w:rsidRPr="001B53A8">
        <w:rPr>
          <w:lang w:val="sr-Latn-BA"/>
        </w:rPr>
        <w:t xml:space="preserve"> </w:t>
      </w:r>
      <w:r w:rsidRPr="001B53A8">
        <w:rPr>
          <w:lang w:val="sr-Latn-BA"/>
        </w:rPr>
        <w:t>se</w:t>
      </w:r>
      <w:r w:rsidR="002E4D61" w:rsidRPr="001B53A8">
        <w:rPr>
          <w:lang w:val="sr-Latn-BA"/>
        </w:rPr>
        <w:t xml:space="preserve"> </w:t>
      </w:r>
      <w:r w:rsidRPr="001B53A8">
        <w:rPr>
          <w:lang w:val="sr-Latn-BA"/>
        </w:rPr>
        <w:t>preduzmu</w:t>
      </w:r>
      <w:r w:rsidR="002E4D61" w:rsidRPr="001B53A8">
        <w:rPr>
          <w:lang w:val="sr-Latn-BA"/>
        </w:rPr>
        <w:t xml:space="preserve"> </w:t>
      </w:r>
      <w:r w:rsidRPr="001B53A8">
        <w:rPr>
          <w:lang w:val="sr-Latn-BA"/>
        </w:rPr>
        <w:t>neophodne</w:t>
      </w:r>
      <w:r w:rsidR="002E4D61" w:rsidRPr="001B53A8">
        <w:rPr>
          <w:lang w:val="sr-Latn-BA"/>
        </w:rPr>
        <w:t xml:space="preserve"> </w:t>
      </w:r>
      <w:r w:rsidRPr="001B53A8">
        <w:rPr>
          <w:lang w:val="sr-Latn-BA"/>
        </w:rPr>
        <w:t>aktivnosti</w:t>
      </w:r>
      <w:r w:rsidR="002E4D61" w:rsidRPr="001B53A8">
        <w:rPr>
          <w:lang w:val="sr-Latn-BA"/>
        </w:rPr>
        <w:t xml:space="preserve"> </w:t>
      </w:r>
      <w:r w:rsidRPr="001B53A8">
        <w:rPr>
          <w:lang w:val="sr-Latn-BA"/>
        </w:rPr>
        <w:t>na</w:t>
      </w:r>
      <w:r w:rsidR="002E4D61" w:rsidRPr="001B53A8">
        <w:rPr>
          <w:lang w:val="sr-Latn-BA"/>
        </w:rPr>
        <w:t xml:space="preserve"> </w:t>
      </w:r>
      <w:r w:rsidRPr="001B53A8">
        <w:rPr>
          <w:lang w:val="sr-Latn-BA"/>
        </w:rPr>
        <w:t>provjeri</w:t>
      </w:r>
      <w:r w:rsidR="002E4D61" w:rsidRPr="001B53A8">
        <w:rPr>
          <w:lang w:val="sr-Latn-BA"/>
        </w:rPr>
        <w:t xml:space="preserve"> </w:t>
      </w:r>
      <w:r w:rsidRPr="001B53A8">
        <w:rPr>
          <w:lang w:val="sr-Latn-BA"/>
        </w:rPr>
        <w:t>mogućnosti</w:t>
      </w:r>
      <w:r w:rsidR="002E4D61" w:rsidRPr="001B53A8">
        <w:rPr>
          <w:lang w:val="sr-Latn-BA"/>
        </w:rPr>
        <w:t xml:space="preserve"> </w:t>
      </w:r>
      <w:r w:rsidRPr="001B53A8">
        <w:rPr>
          <w:lang w:val="sr-Latn-BA"/>
        </w:rPr>
        <w:t>da</w:t>
      </w:r>
      <w:r w:rsidR="002E4D61" w:rsidRPr="001B53A8">
        <w:rPr>
          <w:lang w:val="sr-Latn-BA"/>
        </w:rPr>
        <w:t xml:space="preserve"> </w:t>
      </w:r>
      <w:r w:rsidRPr="001B53A8">
        <w:rPr>
          <w:lang w:val="sr-Latn-BA"/>
        </w:rPr>
        <w:t>Komisija</w:t>
      </w:r>
      <w:r w:rsidR="002E4D61" w:rsidRPr="001B53A8">
        <w:rPr>
          <w:lang w:val="sr-Latn-BA"/>
        </w:rPr>
        <w:t xml:space="preserve"> </w:t>
      </w:r>
      <w:r w:rsidRPr="001B53A8">
        <w:rPr>
          <w:lang w:val="sr-Latn-BA"/>
        </w:rPr>
        <w:t>ispuni</w:t>
      </w:r>
      <w:r w:rsidR="002E4D61" w:rsidRPr="001B53A8">
        <w:rPr>
          <w:lang w:val="sr-Latn-BA"/>
        </w:rPr>
        <w:t xml:space="preserve"> </w:t>
      </w:r>
      <w:r w:rsidRPr="001B53A8">
        <w:rPr>
          <w:lang w:val="sr-Latn-BA"/>
        </w:rPr>
        <w:t>sve</w:t>
      </w:r>
      <w:r w:rsidR="002E4D61" w:rsidRPr="001B53A8">
        <w:rPr>
          <w:lang w:val="sr-Latn-BA"/>
        </w:rPr>
        <w:t xml:space="preserve"> </w:t>
      </w:r>
      <w:r w:rsidRPr="001B53A8">
        <w:rPr>
          <w:lang w:val="sr-Latn-BA"/>
        </w:rPr>
        <w:t>uslove</w:t>
      </w:r>
      <w:r w:rsidR="002E4D61" w:rsidRPr="001B53A8">
        <w:rPr>
          <w:lang w:val="sr-Latn-BA"/>
        </w:rPr>
        <w:t xml:space="preserve"> - </w:t>
      </w:r>
      <w:r w:rsidRPr="001B53A8">
        <w:rPr>
          <w:lang w:val="sr-Latn-BA"/>
        </w:rPr>
        <w:t>navedene</w:t>
      </w:r>
      <w:r w:rsidR="002E4D61" w:rsidRPr="001B53A8">
        <w:rPr>
          <w:lang w:val="sr-Latn-BA"/>
        </w:rPr>
        <w:t xml:space="preserve"> ACFIT </w:t>
      </w:r>
      <w:r w:rsidRPr="001B53A8">
        <w:rPr>
          <w:lang w:val="sr-Latn-BA"/>
        </w:rPr>
        <w:t>nadležnosti</w:t>
      </w:r>
      <w:r w:rsidR="002E4D61" w:rsidRPr="001B53A8">
        <w:rPr>
          <w:lang w:val="sr-Latn-BA"/>
        </w:rPr>
        <w:t xml:space="preserve">. </w:t>
      </w:r>
    </w:p>
    <w:p w14:paraId="793DBA17" w14:textId="13E615E6" w:rsidR="00BB463D" w:rsidRPr="001B53A8" w:rsidRDefault="00003F34" w:rsidP="00AC0264">
      <w:pPr>
        <w:ind w:firstLine="708"/>
        <w:rPr>
          <w:lang w:val="sr-Latn-BA" w:eastAsia="en-GB"/>
        </w:rPr>
      </w:pPr>
      <w:r w:rsidRPr="001B53A8">
        <w:rPr>
          <w:lang w:val="sr-Latn-BA" w:eastAsia="en-GB"/>
        </w:rPr>
        <w:t>Aktivnosti</w:t>
      </w:r>
      <w:r w:rsidR="002E4D61" w:rsidRPr="001B53A8">
        <w:rPr>
          <w:lang w:val="sr-Latn-BA" w:eastAsia="en-GB"/>
        </w:rPr>
        <w:t xml:space="preserve"> </w:t>
      </w:r>
      <w:r w:rsidRPr="001B53A8">
        <w:rPr>
          <w:lang w:val="sr-Latn-BA" w:eastAsia="en-GB"/>
        </w:rPr>
        <w:t>na</w:t>
      </w:r>
      <w:r w:rsidR="002E4D61" w:rsidRPr="001B53A8">
        <w:rPr>
          <w:lang w:val="sr-Latn-BA" w:eastAsia="en-GB"/>
        </w:rPr>
        <w:t xml:space="preserve"> </w:t>
      </w:r>
      <w:r w:rsidRPr="001B53A8">
        <w:rPr>
          <w:lang w:val="sr-Latn-BA" w:eastAsia="en-GB"/>
        </w:rPr>
        <w:t>pripremi</w:t>
      </w:r>
      <w:r w:rsidR="002E4D61" w:rsidRPr="001B53A8">
        <w:rPr>
          <w:lang w:val="sr-Latn-BA" w:eastAsia="en-GB"/>
        </w:rPr>
        <w:t xml:space="preserve"> </w:t>
      </w:r>
      <w:r w:rsidRPr="001B53A8">
        <w:rPr>
          <w:lang w:val="sr-Latn-BA" w:eastAsia="en-GB"/>
        </w:rPr>
        <w:t>zahtjeva</w:t>
      </w:r>
      <w:r w:rsidR="002E4D61" w:rsidRPr="001B53A8">
        <w:rPr>
          <w:lang w:val="sr-Latn-BA" w:eastAsia="en-GB"/>
        </w:rPr>
        <w:t xml:space="preserve"> </w:t>
      </w:r>
      <w:r w:rsidRPr="001B53A8">
        <w:rPr>
          <w:lang w:val="sr-Latn-BA" w:eastAsia="en-GB"/>
        </w:rPr>
        <w:t>za</w:t>
      </w:r>
      <w:r w:rsidR="002E4D61" w:rsidRPr="001B53A8">
        <w:rPr>
          <w:lang w:val="sr-Latn-BA" w:eastAsia="en-GB"/>
        </w:rPr>
        <w:t xml:space="preserve"> </w:t>
      </w:r>
      <w:r w:rsidRPr="001B53A8">
        <w:rPr>
          <w:lang w:val="sr-Latn-BA" w:eastAsia="en-GB"/>
        </w:rPr>
        <w:t>sticanje</w:t>
      </w:r>
      <w:r w:rsidR="002E4D61" w:rsidRPr="001B53A8">
        <w:rPr>
          <w:lang w:val="sr-Latn-BA" w:eastAsia="en-GB"/>
        </w:rPr>
        <w:t xml:space="preserve"> </w:t>
      </w:r>
      <w:r w:rsidRPr="001B53A8">
        <w:rPr>
          <w:lang w:val="sr-Latn-BA" w:eastAsia="en-GB"/>
        </w:rPr>
        <w:t>statusa</w:t>
      </w:r>
      <w:r w:rsidR="002E4D61" w:rsidRPr="001B53A8">
        <w:rPr>
          <w:lang w:val="sr-Latn-BA" w:eastAsia="en-GB"/>
        </w:rPr>
        <w:t xml:space="preserve"> </w:t>
      </w:r>
      <w:r w:rsidRPr="001B53A8">
        <w:rPr>
          <w:lang w:val="sr-Latn-BA" w:eastAsia="en-GB"/>
        </w:rPr>
        <w:t>potpisnice</w:t>
      </w:r>
      <w:r w:rsidR="002E4D61" w:rsidRPr="001B53A8">
        <w:rPr>
          <w:lang w:val="sr-Latn-BA" w:eastAsia="en-GB"/>
        </w:rPr>
        <w:t xml:space="preserve"> IOSCO EMMoU, </w:t>
      </w:r>
      <w:r w:rsidRPr="001B53A8">
        <w:rPr>
          <w:lang w:val="sr-Latn-BA" w:eastAsia="en-GB"/>
        </w:rPr>
        <w:t>upitnika</w:t>
      </w:r>
      <w:r w:rsidR="002E4D61" w:rsidRPr="001B53A8">
        <w:rPr>
          <w:lang w:val="sr-Latn-BA" w:eastAsia="en-GB"/>
        </w:rPr>
        <w:t xml:space="preserve"> </w:t>
      </w:r>
      <w:r w:rsidRPr="001B53A8">
        <w:rPr>
          <w:lang w:val="sr-Latn-BA" w:eastAsia="en-GB"/>
        </w:rPr>
        <w:t>i</w:t>
      </w:r>
      <w:r w:rsidR="002E4D61" w:rsidRPr="001B53A8">
        <w:rPr>
          <w:lang w:val="sr-Latn-BA" w:eastAsia="en-GB"/>
        </w:rPr>
        <w:t xml:space="preserve"> </w:t>
      </w:r>
      <w:r w:rsidRPr="001B53A8">
        <w:rPr>
          <w:lang w:val="sr-Latn-BA" w:eastAsia="en-GB"/>
        </w:rPr>
        <w:t>prateće</w:t>
      </w:r>
      <w:r w:rsidR="002E4D61" w:rsidRPr="001B53A8">
        <w:rPr>
          <w:lang w:val="sr-Latn-BA" w:eastAsia="en-GB"/>
        </w:rPr>
        <w:t xml:space="preserve"> </w:t>
      </w:r>
      <w:r w:rsidRPr="001B53A8">
        <w:rPr>
          <w:lang w:val="sr-Latn-BA" w:eastAsia="en-GB"/>
        </w:rPr>
        <w:t>dokumentacije</w:t>
      </w:r>
      <w:r w:rsidR="002E4D61" w:rsidRPr="001B53A8">
        <w:rPr>
          <w:lang w:val="sr-Latn-BA" w:eastAsia="en-GB"/>
        </w:rPr>
        <w:t xml:space="preserve"> </w:t>
      </w:r>
      <w:r w:rsidRPr="001B53A8">
        <w:rPr>
          <w:lang w:val="sr-Latn-BA" w:eastAsia="en-GB"/>
        </w:rPr>
        <w:t>okončane</w:t>
      </w:r>
      <w:r w:rsidR="002E4D61" w:rsidRPr="001B53A8">
        <w:rPr>
          <w:lang w:val="sr-Latn-BA" w:eastAsia="en-GB"/>
        </w:rPr>
        <w:t xml:space="preserve"> </w:t>
      </w:r>
      <w:r w:rsidRPr="001B53A8">
        <w:rPr>
          <w:lang w:val="sr-Latn-BA" w:eastAsia="en-GB"/>
        </w:rPr>
        <w:t>su</w:t>
      </w:r>
      <w:r w:rsidR="002E4D61" w:rsidRPr="001B53A8">
        <w:rPr>
          <w:lang w:val="sr-Latn-BA" w:eastAsia="en-GB"/>
        </w:rPr>
        <w:t xml:space="preserve"> </w:t>
      </w:r>
      <w:r w:rsidRPr="001B53A8">
        <w:rPr>
          <w:lang w:val="sr-Latn-BA" w:eastAsia="en-GB"/>
        </w:rPr>
        <w:t>u</w:t>
      </w:r>
      <w:r w:rsidR="002E4D61" w:rsidRPr="001B53A8">
        <w:rPr>
          <w:lang w:val="sr-Latn-BA" w:eastAsia="en-GB"/>
        </w:rPr>
        <w:t xml:space="preserve"> </w:t>
      </w:r>
      <w:r w:rsidRPr="001B53A8">
        <w:rPr>
          <w:lang w:val="sr-Latn-BA" w:eastAsia="en-GB"/>
        </w:rPr>
        <w:t>junu</w:t>
      </w:r>
      <w:r w:rsidR="002E4D61" w:rsidRPr="001B53A8">
        <w:rPr>
          <w:lang w:val="sr-Latn-BA" w:eastAsia="en-GB"/>
        </w:rPr>
        <w:t xml:space="preserve"> 2019. </w:t>
      </w:r>
      <w:r w:rsidRPr="001B53A8">
        <w:rPr>
          <w:lang w:val="sr-Latn-BA" w:eastAsia="en-GB"/>
        </w:rPr>
        <w:t>godine</w:t>
      </w:r>
      <w:r w:rsidR="002E4D61" w:rsidRPr="001B53A8">
        <w:rPr>
          <w:lang w:val="sr-Latn-BA" w:eastAsia="en-GB"/>
        </w:rPr>
        <w:t xml:space="preserve"> </w:t>
      </w:r>
      <w:r w:rsidRPr="001B53A8">
        <w:rPr>
          <w:lang w:val="sr-Latn-BA" w:eastAsia="en-GB"/>
        </w:rPr>
        <w:t>kada</w:t>
      </w:r>
      <w:r w:rsidR="002E4D61" w:rsidRPr="001B53A8">
        <w:rPr>
          <w:lang w:val="sr-Latn-BA" w:eastAsia="en-GB"/>
        </w:rPr>
        <w:t xml:space="preserve"> </w:t>
      </w:r>
      <w:r w:rsidRPr="001B53A8">
        <w:rPr>
          <w:lang w:val="sr-Latn-BA" w:eastAsia="en-GB"/>
        </w:rPr>
        <w:t>je</w:t>
      </w:r>
      <w:r w:rsidR="002E4D61" w:rsidRPr="001B53A8">
        <w:rPr>
          <w:lang w:val="sr-Latn-BA" w:eastAsia="en-GB"/>
        </w:rPr>
        <w:t xml:space="preserve"> </w:t>
      </w:r>
      <w:r w:rsidRPr="001B53A8">
        <w:rPr>
          <w:lang w:val="sr-Latn-BA" w:eastAsia="en-GB"/>
        </w:rPr>
        <w:t>isti</w:t>
      </w:r>
      <w:r w:rsidR="002E4D61" w:rsidRPr="001B53A8">
        <w:rPr>
          <w:lang w:val="sr-Latn-BA" w:eastAsia="en-GB"/>
        </w:rPr>
        <w:t xml:space="preserve"> </w:t>
      </w:r>
      <w:r w:rsidRPr="001B53A8">
        <w:rPr>
          <w:lang w:val="sr-Latn-BA" w:eastAsia="en-GB"/>
        </w:rPr>
        <w:t>zvanično</w:t>
      </w:r>
      <w:r w:rsidR="002E4D61" w:rsidRPr="001B53A8">
        <w:rPr>
          <w:lang w:val="sr-Latn-BA" w:eastAsia="en-GB"/>
        </w:rPr>
        <w:t xml:space="preserve"> </w:t>
      </w:r>
      <w:r w:rsidRPr="001B53A8">
        <w:rPr>
          <w:lang w:val="sr-Latn-BA" w:eastAsia="en-GB"/>
        </w:rPr>
        <w:t>podnesen</w:t>
      </w:r>
      <w:r w:rsidR="002E4D61" w:rsidRPr="001B53A8">
        <w:rPr>
          <w:lang w:val="sr-Latn-BA" w:eastAsia="en-GB"/>
        </w:rPr>
        <w:t xml:space="preserve"> IOSCO-</w:t>
      </w:r>
      <w:r w:rsidRPr="001B53A8">
        <w:rPr>
          <w:lang w:val="sr-Latn-BA" w:eastAsia="en-GB"/>
        </w:rPr>
        <w:t>u</w:t>
      </w:r>
      <w:r w:rsidR="002E4D61" w:rsidRPr="001B53A8">
        <w:rPr>
          <w:lang w:val="sr-Latn-BA" w:eastAsia="en-GB"/>
        </w:rPr>
        <w:t xml:space="preserve">. </w:t>
      </w:r>
      <w:r w:rsidRPr="001B53A8">
        <w:rPr>
          <w:lang w:val="sr-Latn-BA" w:eastAsia="en-GB"/>
        </w:rPr>
        <w:t>Komisija</w:t>
      </w:r>
      <w:r w:rsidR="00EE1C8C" w:rsidRPr="001B53A8">
        <w:rPr>
          <w:lang w:val="sr-Latn-BA" w:eastAsia="en-GB"/>
        </w:rPr>
        <w:t xml:space="preserve"> </w:t>
      </w:r>
      <w:r w:rsidRPr="001B53A8">
        <w:rPr>
          <w:lang w:val="sr-Latn-BA" w:eastAsia="en-GB"/>
        </w:rPr>
        <w:t>je</w:t>
      </w:r>
      <w:r w:rsidR="00EE1C8C" w:rsidRPr="001B53A8">
        <w:rPr>
          <w:lang w:val="sr-Latn-BA" w:eastAsia="en-GB"/>
        </w:rPr>
        <w:t xml:space="preserve">, </w:t>
      </w:r>
      <w:r w:rsidRPr="001B53A8">
        <w:rPr>
          <w:lang w:val="sr-Latn-BA" w:eastAsia="en-GB"/>
        </w:rPr>
        <w:t>u</w:t>
      </w:r>
      <w:r w:rsidR="00EE1C8C" w:rsidRPr="001B53A8">
        <w:rPr>
          <w:lang w:val="sr-Latn-BA" w:eastAsia="en-GB"/>
        </w:rPr>
        <w:t xml:space="preserve"> </w:t>
      </w:r>
      <w:r w:rsidRPr="001B53A8">
        <w:rPr>
          <w:lang w:val="sr-Latn-BA" w:eastAsia="en-GB"/>
        </w:rPr>
        <w:t>toku</w:t>
      </w:r>
      <w:r w:rsidR="00EE1C8C" w:rsidRPr="001B53A8">
        <w:rPr>
          <w:lang w:val="sr-Latn-BA" w:eastAsia="en-GB"/>
        </w:rPr>
        <w:t xml:space="preserve"> 2020. </w:t>
      </w:r>
      <w:r w:rsidRPr="001B53A8">
        <w:rPr>
          <w:lang w:val="sr-Latn-BA" w:eastAsia="en-GB"/>
        </w:rPr>
        <w:t>godine</w:t>
      </w:r>
      <w:r w:rsidR="00EE1C8C" w:rsidRPr="001B53A8">
        <w:rPr>
          <w:lang w:val="sr-Latn-BA" w:eastAsia="en-GB"/>
        </w:rPr>
        <w:t xml:space="preserve">, </w:t>
      </w:r>
      <w:r w:rsidRPr="001B53A8">
        <w:rPr>
          <w:lang w:val="sr-Latn-BA" w:eastAsia="en-GB"/>
        </w:rPr>
        <w:t>prošla</w:t>
      </w:r>
      <w:r w:rsidR="00EE1C8C" w:rsidRPr="001B53A8">
        <w:rPr>
          <w:lang w:val="sr-Latn-BA" w:eastAsia="en-GB"/>
        </w:rPr>
        <w:t xml:space="preserve"> </w:t>
      </w:r>
      <w:r w:rsidRPr="001B53A8">
        <w:rPr>
          <w:lang w:val="sr-Latn-BA" w:eastAsia="en-GB"/>
        </w:rPr>
        <w:t>kroz</w:t>
      </w:r>
      <w:r w:rsidR="00EE1C8C" w:rsidRPr="001B53A8">
        <w:rPr>
          <w:lang w:val="sr-Latn-BA" w:eastAsia="en-GB"/>
        </w:rPr>
        <w:t xml:space="preserve"> </w:t>
      </w:r>
      <w:r w:rsidRPr="001B53A8">
        <w:rPr>
          <w:lang w:val="sr-Latn-BA" w:eastAsia="en-GB"/>
        </w:rPr>
        <w:t>različite</w:t>
      </w:r>
      <w:r w:rsidR="00EE1C8C" w:rsidRPr="001B53A8">
        <w:rPr>
          <w:lang w:val="sr-Latn-BA" w:eastAsia="en-GB"/>
        </w:rPr>
        <w:t xml:space="preserve"> </w:t>
      </w:r>
      <w:r w:rsidRPr="001B53A8">
        <w:rPr>
          <w:lang w:val="sr-Latn-BA" w:eastAsia="en-GB"/>
        </w:rPr>
        <w:t>faze</w:t>
      </w:r>
      <w:r w:rsidR="00EE1C8C" w:rsidRPr="001B53A8">
        <w:rPr>
          <w:lang w:val="sr-Latn-BA" w:eastAsia="en-GB"/>
        </w:rPr>
        <w:t xml:space="preserve"> </w:t>
      </w:r>
      <w:r w:rsidRPr="001B53A8">
        <w:rPr>
          <w:lang w:val="sr-Latn-BA" w:eastAsia="en-GB"/>
        </w:rPr>
        <w:t>veoma</w:t>
      </w:r>
      <w:r w:rsidR="00EE1C8C" w:rsidRPr="001B53A8">
        <w:rPr>
          <w:lang w:val="sr-Latn-BA" w:eastAsia="en-GB"/>
        </w:rPr>
        <w:t xml:space="preserve"> </w:t>
      </w:r>
      <w:r w:rsidRPr="001B53A8">
        <w:rPr>
          <w:lang w:val="sr-Latn-BA" w:eastAsia="en-GB"/>
        </w:rPr>
        <w:t>zahtjevne</w:t>
      </w:r>
      <w:r w:rsidR="00EE1C8C" w:rsidRPr="001B53A8">
        <w:rPr>
          <w:lang w:val="sr-Latn-BA" w:eastAsia="en-GB"/>
        </w:rPr>
        <w:t xml:space="preserve"> </w:t>
      </w:r>
      <w:r w:rsidRPr="001B53A8">
        <w:rPr>
          <w:lang w:val="sr-Latn-BA" w:eastAsia="en-GB"/>
        </w:rPr>
        <w:t>procedure</w:t>
      </w:r>
      <w:r w:rsidR="00EE1C8C" w:rsidRPr="001B53A8">
        <w:rPr>
          <w:lang w:val="sr-Latn-BA" w:eastAsia="en-GB"/>
        </w:rPr>
        <w:t xml:space="preserve"> </w:t>
      </w:r>
      <w:r w:rsidRPr="001B53A8">
        <w:rPr>
          <w:lang w:val="sr-Latn-BA" w:eastAsia="en-GB"/>
        </w:rPr>
        <w:t>provjere</w:t>
      </w:r>
      <w:r w:rsidR="00EE1C8C" w:rsidRPr="001B53A8">
        <w:rPr>
          <w:lang w:val="sr-Latn-BA" w:eastAsia="en-GB"/>
        </w:rPr>
        <w:t xml:space="preserve"> </w:t>
      </w:r>
      <w:r w:rsidRPr="001B53A8">
        <w:rPr>
          <w:lang w:val="sr-Latn-BA" w:eastAsia="en-GB"/>
        </w:rPr>
        <w:t>aplikacije</w:t>
      </w:r>
      <w:r w:rsidR="00EE1C8C" w:rsidRPr="001B53A8">
        <w:rPr>
          <w:lang w:val="sr-Latn-BA" w:eastAsia="en-GB"/>
        </w:rPr>
        <w:t xml:space="preserve">, </w:t>
      </w:r>
      <w:r w:rsidRPr="001B53A8">
        <w:rPr>
          <w:lang w:val="sr-Latn-BA" w:eastAsia="en-GB"/>
        </w:rPr>
        <w:t>dostavlјene</w:t>
      </w:r>
      <w:r w:rsidR="00EE1C8C" w:rsidRPr="001B53A8">
        <w:rPr>
          <w:lang w:val="sr-Latn-BA" w:eastAsia="en-GB"/>
        </w:rPr>
        <w:t xml:space="preserve"> </w:t>
      </w:r>
      <w:r w:rsidRPr="001B53A8">
        <w:rPr>
          <w:lang w:val="sr-Latn-BA" w:eastAsia="en-GB"/>
        </w:rPr>
        <w:t>dokumentacije</w:t>
      </w:r>
      <w:r w:rsidR="00EE1C8C" w:rsidRPr="001B53A8">
        <w:rPr>
          <w:lang w:val="sr-Latn-BA" w:eastAsia="en-GB"/>
        </w:rPr>
        <w:t xml:space="preserve"> </w:t>
      </w:r>
      <w:r w:rsidRPr="001B53A8">
        <w:rPr>
          <w:lang w:val="sr-Latn-BA" w:eastAsia="en-GB"/>
        </w:rPr>
        <w:t>i</w:t>
      </w:r>
      <w:r w:rsidR="00EE1C8C" w:rsidRPr="001B53A8">
        <w:rPr>
          <w:lang w:val="sr-Latn-BA" w:eastAsia="en-GB"/>
        </w:rPr>
        <w:t xml:space="preserve"> </w:t>
      </w:r>
      <w:r w:rsidRPr="001B53A8">
        <w:rPr>
          <w:lang w:val="sr-Latn-BA" w:eastAsia="en-GB"/>
        </w:rPr>
        <w:t>regulative</w:t>
      </w:r>
      <w:r w:rsidR="00EE1C8C" w:rsidRPr="001B53A8">
        <w:rPr>
          <w:lang w:val="sr-Latn-BA" w:eastAsia="en-GB"/>
        </w:rPr>
        <w:t xml:space="preserve"> </w:t>
      </w:r>
      <w:r w:rsidRPr="001B53A8">
        <w:rPr>
          <w:lang w:val="sr-Latn-BA" w:eastAsia="en-GB"/>
        </w:rPr>
        <w:t>kojom</w:t>
      </w:r>
      <w:r w:rsidR="00EE1C8C" w:rsidRPr="001B53A8">
        <w:rPr>
          <w:lang w:val="sr-Latn-BA" w:eastAsia="en-GB"/>
        </w:rPr>
        <w:t xml:space="preserve"> </w:t>
      </w:r>
      <w:r w:rsidRPr="001B53A8">
        <w:rPr>
          <w:lang w:val="sr-Latn-BA" w:eastAsia="en-GB"/>
        </w:rPr>
        <w:t>se</w:t>
      </w:r>
      <w:r w:rsidR="00EE1C8C" w:rsidRPr="001B53A8">
        <w:rPr>
          <w:lang w:val="sr-Latn-BA" w:eastAsia="en-GB"/>
        </w:rPr>
        <w:t xml:space="preserve"> </w:t>
      </w:r>
      <w:r w:rsidRPr="001B53A8">
        <w:rPr>
          <w:lang w:val="sr-Latn-BA" w:eastAsia="en-GB"/>
        </w:rPr>
        <w:t>dokazuju</w:t>
      </w:r>
      <w:r w:rsidR="00EE1C8C" w:rsidRPr="001B53A8">
        <w:rPr>
          <w:lang w:val="sr-Latn-BA" w:eastAsia="en-GB"/>
        </w:rPr>
        <w:t xml:space="preserve"> </w:t>
      </w:r>
      <w:r w:rsidRPr="001B53A8">
        <w:rPr>
          <w:lang w:val="sr-Latn-BA" w:eastAsia="en-GB"/>
        </w:rPr>
        <w:t>ovlašćenja</w:t>
      </w:r>
      <w:r w:rsidR="00EE1C8C" w:rsidRPr="001B53A8">
        <w:rPr>
          <w:lang w:val="sr-Latn-BA" w:eastAsia="en-GB"/>
        </w:rPr>
        <w:t xml:space="preserve">, </w:t>
      </w:r>
      <w:r w:rsidRPr="001B53A8">
        <w:rPr>
          <w:lang w:val="sr-Latn-BA" w:eastAsia="en-GB"/>
        </w:rPr>
        <w:t>odnosno</w:t>
      </w:r>
      <w:r w:rsidR="00EE1C8C" w:rsidRPr="001B53A8">
        <w:rPr>
          <w:lang w:val="sr-Latn-BA" w:eastAsia="en-GB"/>
        </w:rPr>
        <w:t xml:space="preserve"> </w:t>
      </w:r>
      <w:r w:rsidRPr="001B53A8">
        <w:rPr>
          <w:lang w:val="sr-Latn-BA" w:eastAsia="en-GB"/>
        </w:rPr>
        <w:t>nadležnosti</w:t>
      </w:r>
      <w:r w:rsidR="00EE1C8C" w:rsidRPr="001B53A8">
        <w:rPr>
          <w:lang w:val="sr-Latn-BA" w:eastAsia="en-GB"/>
        </w:rPr>
        <w:t xml:space="preserve"> </w:t>
      </w:r>
      <w:r w:rsidRPr="001B53A8">
        <w:rPr>
          <w:lang w:val="sr-Latn-BA" w:eastAsia="en-GB"/>
        </w:rPr>
        <w:t>Komisije</w:t>
      </w:r>
      <w:r w:rsidR="00EE1C8C" w:rsidRPr="001B53A8">
        <w:rPr>
          <w:lang w:val="sr-Latn-BA" w:eastAsia="en-GB"/>
        </w:rPr>
        <w:t xml:space="preserve">. </w:t>
      </w:r>
      <w:r w:rsidRPr="001B53A8">
        <w:rPr>
          <w:lang w:val="sr-Latn-BA" w:eastAsia="en-GB"/>
        </w:rPr>
        <w:t>Komisija</w:t>
      </w:r>
      <w:r w:rsidR="002E4D61" w:rsidRPr="001B53A8">
        <w:rPr>
          <w:lang w:val="sr-Latn-BA" w:eastAsia="en-GB"/>
        </w:rPr>
        <w:t xml:space="preserve"> </w:t>
      </w:r>
      <w:r w:rsidRPr="001B53A8">
        <w:rPr>
          <w:lang w:val="sr-Latn-BA" w:eastAsia="en-GB"/>
        </w:rPr>
        <w:t>je</w:t>
      </w:r>
      <w:r w:rsidR="00EE1C8C" w:rsidRPr="001B53A8">
        <w:rPr>
          <w:lang w:val="sr-Latn-BA" w:eastAsia="en-GB"/>
        </w:rPr>
        <w:t xml:space="preserve"> </w:t>
      </w:r>
      <w:r w:rsidRPr="001B53A8">
        <w:rPr>
          <w:lang w:val="sr-Latn-BA" w:eastAsia="en-GB"/>
        </w:rPr>
        <w:t>u</w:t>
      </w:r>
      <w:r w:rsidR="00EE1C8C" w:rsidRPr="001B53A8">
        <w:rPr>
          <w:lang w:val="sr-Latn-BA" w:eastAsia="en-GB"/>
        </w:rPr>
        <w:t xml:space="preserve"> 2020. </w:t>
      </w:r>
      <w:r w:rsidRPr="001B53A8">
        <w:rPr>
          <w:lang w:val="sr-Latn-BA" w:eastAsia="en-GB"/>
        </w:rPr>
        <w:t>godini</w:t>
      </w:r>
      <w:r w:rsidR="002E4D61" w:rsidRPr="001B53A8">
        <w:rPr>
          <w:lang w:val="sr-Latn-BA" w:eastAsia="en-GB"/>
        </w:rPr>
        <w:t xml:space="preserve"> </w:t>
      </w:r>
      <w:r w:rsidRPr="001B53A8">
        <w:rPr>
          <w:lang w:val="sr-Latn-BA" w:eastAsia="en-GB"/>
        </w:rPr>
        <w:t>završila</w:t>
      </w:r>
      <w:r w:rsidR="002E4D61" w:rsidRPr="001B53A8">
        <w:rPr>
          <w:lang w:val="sr-Latn-BA" w:eastAsia="en-GB"/>
        </w:rPr>
        <w:t xml:space="preserve"> </w:t>
      </w:r>
      <w:r w:rsidRPr="001B53A8">
        <w:rPr>
          <w:lang w:val="sr-Latn-BA" w:eastAsia="en-GB"/>
        </w:rPr>
        <w:t>ovu</w:t>
      </w:r>
      <w:r w:rsidR="002E4D61" w:rsidRPr="001B53A8">
        <w:rPr>
          <w:lang w:val="sr-Latn-BA" w:eastAsia="en-GB"/>
        </w:rPr>
        <w:t xml:space="preserve"> </w:t>
      </w:r>
      <w:r w:rsidRPr="001B53A8">
        <w:rPr>
          <w:lang w:val="sr-Latn-BA" w:eastAsia="en-GB"/>
        </w:rPr>
        <w:t>zahtjevnu</w:t>
      </w:r>
      <w:r w:rsidR="00BB463D" w:rsidRPr="001B53A8">
        <w:rPr>
          <w:lang w:val="sr-Latn-BA" w:eastAsia="en-GB"/>
        </w:rPr>
        <w:t xml:space="preserve"> </w:t>
      </w:r>
      <w:r w:rsidRPr="001B53A8">
        <w:rPr>
          <w:lang w:val="sr-Latn-BA" w:eastAsia="en-GB"/>
        </w:rPr>
        <w:t>proceduru</w:t>
      </w:r>
      <w:r w:rsidR="00BB463D" w:rsidRPr="001B53A8">
        <w:rPr>
          <w:lang w:val="sr-Latn-BA" w:eastAsia="en-GB"/>
        </w:rPr>
        <w:t>.</w:t>
      </w:r>
    </w:p>
    <w:p w14:paraId="2ED93348" w14:textId="53BE01E5" w:rsidR="00AC0264" w:rsidRPr="001B53A8" w:rsidRDefault="00003F34" w:rsidP="00AC0264">
      <w:pPr>
        <w:ind w:firstLine="708"/>
        <w:rPr>
          <w:lang w:val="sr-Latn-BA" w:eastAsia="en-GB"/>
        </w:rPr>
      </w:pPr>
      <w:r w:rsidRPr="001B53A8">
        <w:rPr>
          <w:lang w:val="sr-Latn-BA" w:eastAsia="en-GB"/>
        </w:rPr>
        <w:t>Dana</w:t>
      </w:r>
      <w:r w:rsidR="00BB463D" w:rsidRPr="001B53A8">
        <w:rPr>
          <w:lang w:val="sr-Latn-BA" w:eastAsia="en-GB"/>
        </w:rPr>
        <w:t xml:space="preserve"> </w:t>
      </w:r>
      <w:r w:rsidR="00AC0264" w:rsidRPr="001B53A8">
        <w:rPr>
          <w:lang w:val="sr-Latn-BA" w:eastAsia="en-GB"/>
        </w:rPr>
        <w:t xml:space="preserve">12.04.2021. </w:t>
      </w:r>
      <w:r w:rsidRPr="001B53A8">
        <w:rPr>
          <w:lang w:val="sr-Latn-BA" w:eastAsia="en-GB"/>
        </w:rPr>
        <w:t>Komisija</w:t>
      </w:r>
      <w:r w:rsidR="00BB463D" w:rsidRPr="001B53A8">
        <w:rPr>
          <w:lang w:val="sr-Latn-BA" w:eastAsia="en-GB"/>
        </w:rPr>
        <w:t xml:space="preserve"> </w:t>
      </w:r>
      <w:r w:rsidRPr="001B53A8">
        <w:rPr>
          <w:lang w:val="sr-Latn-BA" w:eastAsia="en-GB"/>
        </w:rPr>
        <w:t>je</w:t>
      </w:r>
      <w:r w:rsidR="00BB463D" w:rsidRPr="001B53A8">
        <w:rPr>
          <w:lang w:val="sr-Latn-BA" w:eastAsia="en-GB"/>
        </w:rPr>
        <w:t xml:space="preserve"> </w:t>
      </w:r>
      <w:r w:rsidRPr="001B53A8">
        <w:rPr>
          <w:lang w:val="sr-Latn-BA" w:eastAsia="en-GB"/>
        </w:rPr>
        <w:t>na</w:t>
      </w:r>
      <w:r w:rsidR="00BB463D" w:rsidRPr="001B53A8">
        <w:rPr>
          <w:lang w:val="sr-Latn-BA" w:eastAsia="en-GB"/>
        </w:rPr>
        <w:t xml:space="preserve"> </w:t>
      </w:r>
      <w:r w:rsidRPr="001B53A8">
        <w:rPr>
          <w:lang w:val="sr-Latn-BA" w:eastAsia="en-GB"/>
        </w:rPr>
        <w:t>internet</w:t>
      </w:r>
      <w:r w:rsidR="00BB463D" w:rsidRPr="001B53A8">
        <w:rPr>
          <w:lang w:val="sr-Latn-BA" w:eastAsia="en-GB"/>
        </w:rPr>
        <w:t xml:space="preserve"> </w:t>
      </w:r>
      <w:r w:rsidRPr="001B53A8">
        <w:rPr>
          <w:lang w:val="sr-Latn-BA" w:eastAsia="en-GB"/>
        </w:rPr>
        <w:t>stranici</w:t>
      </w:r>
      <w:r w:rsidR="00BB463D" w:rsidRPr="001B53A8">
        <w:rPr>
          <w:lang w:val="sr-Latn-BA" w:eastAsia="en-GB"/>
        </w:rPr>
        <w:t xml:space="preserve"> IOSCO </w:t>
      </w:r>
      <w:r w:rsidRPr="001B53A8">
        <w:rPr>
          <w:lang w:val="sr-Latn-BA" w:eastAsia="en-GB"/>
        </w:rPr>
        <w:t>dodat</w:t>
      </w:r>
      <w:r w:rsidR="00AC0264" w:rsidRPr="001B53A8">
        <w:rPr>
          <w:lang w:val="sr-Latn-BA" w:eastAsia="en-GB"/>
        </w:rPr>
        <w:t xml:space="preserve">a </w:t>
      </w:r>
      <w:r w:rsidRPr="001B53A8">
        <w:rPr>
          <w:lang w:val="sr-Latn-BA" w:eastAsia="en-GB"/>
        </w:rPr>
        <w:t>na</w:t>
      </w:r>
      <w:r w:rsidR="00AC0264" w:rsidRPr="001B53A8">
        <w:rPr>
          <w:lang w:val="sr-Latn-BA" w:eastAsia="en-GB"/>
        </w:rPr>
        <w:t xml:space="preserve"> </w:t>
      </w:r>
      <w:r w:rsidRPr="001B53A8">
        <w:rPr>
          <w:lang w:val="sr-Latn-BA" w:eastAsia="en-GB"/>
        </w:rPr>
        <w:t>listu</w:t>
      </w:r>
      <w:r w:rsidR="00AC0264" w:rsidRPr="001B53A8">
        <w:rPr>
          <w:lang w:val="sr-Latn-BA" w:eastAsia="en-GB"/>
        </w:rPr>
        <w:t xml:space="preserve"> </w:t>
      </w:r>
      <w:r w:rsidRPr="001B53A8">
        <w:rPr>
          <w:lang w:val="sr-Latn-BA" w:eastAsia="en-GB"/>
        </w:rPr>
        <w:t>potpisnica</w:t>
      </w:r>
      <w:r w:rsidR="00AC0264" w:rsidRPr="001B53A8">
        <w:rPr>
          <w:lang w:val="sr-Latn-BA" w:eastAsia="en-GB"/>
        </w:rPr>
        <w:t xml:space="preserve"> IOSCO EMMoU. </w:t>
      </w:r>
      <w:r w:rsidR="00AC0264" w:rsidRPr="001B53A8">
        <w:rPr>
          <w:lang w:val="sr-Latn-BA"/>
        </w:rPr>
        <w:t xml:space="preserve"> </w:t>
      </w:r>
      <w:r w:rsidRPr="001B53A8">
        <w:rPr>
          <w:lang w:val="sr-Latn-BA"/>
        </w:rPr>
        <w:t>Sticanjem</w:t>
      </w:r>
      <w:r w:rsidR="00AC0264" w:rsidRPr="001B53A8">
        <w:rPr>
          <w:lang w:val="sr-Latn-BA"/>
        </w:rPr>
        <w:t xml:space="preserve"> </w:t>
      </w:r>
      <w:r w:rsidRPr="001B53A8">
        <w:rPr>
          <w:lang w:val="sr-Latn-BA"/>
        </w:rPr>
        <w:t>statusa</w:t>
      </w:r>
      <w:r w:rsidR="00AC0264" w:rsidRPr="001B53A8">
        <w:rPr>
          <w:lang w:val="sr-Latn-BA"/>
        </w:rPr>
        <w:t xml:space="preserve"> </w:t>
      </w:r>
      <w:r w:rsidRPr="001B53A8">
        <w:rPr>
          <w:lang w:val="sr-Latn-BA"/>
        </w:rPr>
        <w:t>potpisnice</w:t>
      </w:r>
      <w:r w:rsidR="00AC0264" w:rsidRPr="001B53A8">
        <w:rPr>
          <w:lang w:val="sr-Latn-BA"/>
        </w:rPr>
        <w:t xml:space="preserve"> </w:t>
      </w:r>
      <w:r w:rsidR="00AC0264" w:rsidRPr="001B53A8">
        <w:rPr>
          <w:lang w:val="sr-Latn-BA" w:eastAsia="en-GB"/>
        </w:rPr>
        <w:t xml:space="preserve">IOSCO EMMoU, </w:t>
      </w:r>
      <w:r w:rsidRPr="001B53A8">
        <w:rPr>
          <w:lang w:val="sr-Latn-BA" w:eastAsia="en-GB"/>
        </w:rPr>
        <w:t>Komisija</w:t>
      </w:r>
      <w:r w:rsidR="00AC0264" w:rsidRPr="001B53A8">
        <w:rPr>
          <w:lang w:val="sr-Latn-BA" w:eastAsia="en-GB"/>
        </w:rPr>
        <w:t xml:space="preserve"> </w:t>
      </w:r>
      <w:r w:rsidRPr="001B53A8">
        <w:rPr>
          <w:lang w:val="sr-Latn-BA" w:eastAsia="en-GB"/>
        </w:rPr>
        <w:t>za</w:t>
      </w:r>
      <w:r w:rsidR="00AC0264" w:rsidRPr="001B53A8">
        <w:rPr>
          <w:lang w:val="sr-Latn-BA" w:eastAsia="en-GB"/>
        </w:rPr>
        <w:t xml:space="preserve"> </w:t>
      </w:r>
      <w:r w:rsidRPr="001B53A8">
        <w:rPr>
          <w:lang w:val="sr-Latn-BA" w:eastAsia="en-GB"/>
        </w:rPr>
        <w:t>hartije</w:t>
      </w:r>
      <w:r w:rsidR="00AC0264" w:rsidRPr="001B53A8">
        <w:rPr>
          <w:lang w:val="sr-Latn-BA" w:eastAsia="en-GB"/>
        </w:rPr>
        <w:t xml:space="preserve"> </w:t>
      </w:r>
      <w:r w:rsidRPr="001B53A8">
        <w:rPr>
          <w:lang w:val="sr-Latn-BA" w:eastAsia="en-GB"/>
        </w:rPr>
        <w:t>od</w:t>
      </w:r>
      <w:r w:rsidR="00AC0264" w:rsidRPr="001B53A8">
        <w:rPr>
          <w:lang w:val="sr-Latn-BA" w:eastAsia="en-GB"/>
        </w:rPr>
        <w:t xml:space="preserve"> </w:t>
      </w:r>
      <w:r w:rsidRPr="001B53A8">
        <w:rPr>
          <w:lang w:val="sr-Latn-BA" w:eastAsia="en-GB"/>
        </w:rPr>
        <w:t>vrijednosti</w:t>
      </w:r>
      <w:r w:rsidR="00AC0264" w:rsidRPr="001B53A8">
        <w:rPr>
          <w:lang w:val="sr-Latn-BA" w:eastAsia="en-GB"/>
        </w:rPr>
        <w:t xml:space="preserve"> </w:t>
      </w:r>
      <w:r w:rsidRPr="001B53A8">
        <w:rPr>
          <w:lang w:val="sr-Latn-BA" w:eastAsia="en-GB"/>
        </w:rPr>
        <w:t>postaje</w:t>
      </w:r>
      <w:r w:rsidR="00AC0264" w:rsidRPr="001B53A8">
        <w:rPr>
          <w:lang w:val="sr-Latn-BA" w:eastAsia="en-GB"/>
        </w:rPr>
        <w:t xml:space="preserve"> </w:t>
      </w:r>
      <w:r w:rsidRPr="001B53A8">
        <w:rPr>
          <w:lang w:val="sr-Latn-BA" w:eastAsia="en-GB"/>
        </w:rPr>
        <w:t>jedna</w:t>
      </w:r>
      <w:r w:rsidR="00AC0264" w:rsidRPr="001B53A8">
        <w:rPr>
          <w:lang w:val="sr-Latn-BA" w:eastAsia="en-GB"/>
        </w:rPr>
        <w:t xml:space="preserve"> </w:t>
      </w:r>
      <w:r w:rsidRPr="001B53A8">
        <w:rPr>
          <w:lang w:val="sr-Latn-BA" w:eastAsia="en-GB"/>
        </w:rPr>
        <w:t>od</w:t>
      </w:r>
      <w:r w:rsidR="00AC0264" w:rsidRPr="001B53A8">
        <w:rPr>
          <w:lang w:val="sr-Latn-BA" w:eastAsia="en-GB"/>
        </w:rPr>
        <w:t xml:space="preserve"> 11 </w:t>
      </w:r>
      <w:r w:rsidRPr="001B53A8">
        <w:rPr>
          <w:lang w:val="sr-Latn-BA" w:eastAsia="en-GB"/>
        </w:rPr>
        <w:t>regulatora</w:t>
      </w:r>
      <w:r w:rsidR="00AC0264" w:rsidRPr="001B53A8">
        <w:rPr>
          <w:lang w:val="sr-Latn-BA" w:eastAsia="en-GB"/>
        </w:rPr>
        <w:t xml:space="preserve"> </w:t>
      </w:r>
      <w:r w:rsidRPr="001B53A8">
        <w:rPr>
          <w:lang w:val="sr-Latn-BA" w:eastAsia="en-GB"/>
        </w:rPr>
        <w:t>koje</w:t>
      </w:r>
      <w:r w:rsidR="00AC0264" w:rsidRPr="001B53A8">
        <w:rPr>
          <w:lang w:val="sr-Latn-BA" w:eastAsia="en-GB"/>
        </w:rPr>
        <w:t xml:space="preserve"> </w:t>
      </w:r>
      <w:r w:rsidRPr="001B53A8">
        <w:rPr>
          <w:lang w:val="sr-Latn-BA" w:eastAsia="en-GB"/>
        </w:rPr>
        <w:t>su</w:t>
      </w:r>
      <w:r w:rsidR="00AC0264" w:rsidRPr="001B53A8">
        <w:rPr>
          <w:lang w:val="sr-Latn-BA" w:eastAsia="en-GB"/>
        </w:rPr>
        <w:t xml:space="preserve">, </w:t>
      </w:r>
      <w:r w:rsidRPr="001B53A8">
        <w:rPr>
          <w:lang w:val="sr-Latn-BA" w:eastAsia="en-GB"/>
        </w:rPr>
        <w:t>do</w:t>
      </w:r>
      <w:r w:rsidR="00AC0264" w:rsidRPr="001B53A8">
        <w:rPr>
          <w:lang w:val="sr-Latn-BA" w:eastAsia="en-GB"/>
        </w:rPr>
        <w:t xml:space="preserve"> </w:t>
      </w:r>
      <w:r w:rsidRPr="001B53A8">
        <w:rPr>
          <w:lang w:val="sr-Latn-BA" w:eastAsia="en-GB"/>
        </w:rPr>
        <w:t>sada</w:t>
      </w:r>
      <w:r w:rsidR="00AC0264" w:rsidRPr="001B53A8">
        <w:rPr>
          <w:lang w:val="sr-Latn-BA" w:eastAsia="en-GB"/>
        </w:rPr>
        <w:t xml:space="preserve">, </w:t>
      </w:r>
      <w:r w:rsidRPr="001B53A8">
        <w:rPr>
          <w:lang w:val="sr-Latn-BA" w:eastAsia="en-GB"/>
        </w:rPr>
        <w:t>ispunile</w:t>
      </w:r>
      <w:r w:rsidR="00AC0264" w:rsidRPr="001B53A8">
        <w:rPr>
          <w:lang w:val="sr-Latn-BA" w:eastAsia="en-GB"/>
        </w:rPr>
        <w:t xml:space="preserve"> </w:t>
      </w:r>
      <w:r w:rsidRPr="001B53A8">
        <w:rPr>
          <w:lang w:val="sr-Latn-BA" w:eastAsia="en-GB"/>
        </w:rPr>
        <w:t>sve</w:t>
      </w:r>
      <w:r w:rsidR="00AC0264" w:rsidRPr="001B53A8">
        <w:rPr>
          <w:lang w:val="sr-Latn-BA" w:eastAsia="en-GB"/>
        </w:rPr>
        <w:t xml:space="preserve"> </w:t>
      </w:r>
      <w:r w:rsidRPr="001B53A8">
        <w:rPr>
          <w:lang w:val="sr-Latn-BA" w:eastAsia="en-GB"/>
        </w:rPr>
        <w:t>uslove</w:t>
      </w:r>
      <w:r w:rsidR="00AC0264" w:rsidRPr="001B53A8">
        <w:rPr>
          <w:lang w:val="sr-Latn-BA" w:eastAsia="en-GB"/>
        </w:rPr>
        <w:t xml:space="preserve"> </w:t>
      </w:r>
      <w:r w:rsidRPr="001B53A8">
        <w:rPr>
          <w:lang w:val="sr-Latn-BA" w:eastAsia="en-GB"/>
        </w:rPr>
        <w:t>i</w:t>
      </w:r>
      <w:r w:rsidR="00AC0264" w:rsidRPr="001B53A8">
        <w:rPr>
          <w:lang w:val="sr-Latn-BA" w:eastAsia="en-GB"/>
        </w:rPr>
        <w:t xml:space="preserve"> </w:t>
      </w:r>
      <w:r w:rsidRPr="001B53A8">
        <w:rPr>
          <w:lang w:val="sr-Latn-BA" w:eastAsia="en-GB"/>
        </w:rPr>
        <w:t>potpisale</w:t>
      </w:r>
      <w:r w:rsidR="00AC0264" w:rsidRPr="001B53A8">
        <w:rPr>
          <w:lang w:val="sr-Latn-BA" w:eastAsia="en-GB"/>
        </w:rPr>
        <w:t xml:space="preserve"> IOSCO EMMoU </w:t>
      </w:r>
      <w:r w:rsidRPr="001B53A8">
        <w:rPr>
          <w:lang w:val="sr-Latn-BA" w:eastAsia="en-GB"/>
        </w:rPr>
        <w:t>na</w:t>
      </w:r>
      <w:r w:rsidR="00AC0264" w:rsidRPr="001B53A8">
        <w:rPr>
          <w:lang w:val="sr-Latn-BA" w:eastAsia="en-GB"/>
        </w:rPr>
        <w:t xml:space="preserve"> </w:t>
      </w:r>
      <w:r w:rsidRPr="001B53A8">
        <w:rPr>
          <w:lang w:val="sr-Latn-BA" w:eastAsia="en-GB"/>
        </w:rPr>
        <w:t>Listi</w:t>
      </w:r>
      <w:r w:rsidR="00AC0264" w:rsidRPr="001B53A8">
        <w:rPr>
          <w:lang w:val="sr-Latn-BA" w:eastAsia="en-GB"/>
        </w:rPr>
        <w:t xml:space="preserve"> </w:t>
      </w:r>
      <w:r w:rsidRPr="001B53A8">
        <w:rPr>
          <w:lang w:val="sr-Latn-BA" w:eastAsia="en-GB"/>
        </w:rPr>
        <w:t>A</w:t>
      </w:r>
      <w:r w:rsidR="00AC0264" w:rsidRPr="001B53A8">
        <w:rPr>
          <w:lang w:val="sr-Latn-BA" w:eastAsia="en-GB"/>
        </w:rPr>
        <w:t>.1 (</w:t>
      </w:r>
      <w:r w:rsidRPr="001B53A8">
        <w:rPr>
          <w:lang w:val="sr-Latn-BA" w:eastAsia="en-GB"/>
        </w:rPr>
        <w:t>regulatori</w:t>
      </w:r>
      <w:r w:rsidR="00AC0264" w:rsidRPr="001B53A8">
        <w:rPr>
          <w:lang w:val="sr-Latn-BA" w:eastAsia="en-GB"/>
        </w:rPr>
        <w:t xml:space="preserve"> </w:t>
      </w:r>
      <w:r w:rsidRPr="001B53A8">
        <w:rPr>
          <w:lang w:val="sr-Latn-BA" w:eastAsia="en-GB"/>
        </w:rPr>
        <w:t>koji</w:t>
      </w:r>
      <w:r w:rsidR="00AC0264" w:rsidRPr="001B53A8">
        <w:rPr>
          <w:lang w:val="sr-Latn-BA" w:eastAsia="en-GB"/>
        </w:rPr>
        <w:t xml:space="preserve"> </w:t>
      </w:r>
      <w:r w:rsidRPr="001B53A8">
        <w:rPr>
          <w:lang w:val="sr-Latn-BA" w:eastAsia="en-GB"/>
        </w:rPr>
        <w:t>imaju</w:t>
      </w:r>
      <w:r w:rsidR="00AC0264" w:rsidRPr="001B53A8">
        <w:rPr>
          <w:lang w:val="sr-Latn-BA" w:eastAsia="en-GB"/>
        </w:rPr>
        <w:t xml:space="preserve"> </w:t>
      </w:r>
      <w:r w:rsidRPr="001B53A8">
        <w:rPr>
          <w:lang w:val="sr-Latn-BA" w:eastAsia="en-GB"/>
        </w:rPr>
        <w:t>sva</w:t>
      </w:r>
      <w:r w:rsidR="00AC0264" w:rsidRPr="001B53A8">
        <w:rPr>
          <w:lang w:val="sr-Latn-BA" w:eastAsia="en-GB"/>
        </w:rPr>
        <w:t xml:space="preserve"> ACFIT </w:t>
      </w:r>
      <w:r w:rsidRPr="001B53A8">
        <w:rPr>
          <w:lang w:val="sr-Latn-BA" w:eastAsia="en-GB"/>
        </w:rPr>
        <w:t>ovlašćenja</w:t>
      </w:r>
      <w:r w:rsidR="00AC0264" w:rsidRPr="001B53A8">
        <w:rPr>
          <w:lang w:val="sr-Latn-BA" w:eastAsia="en-GB"/>
        </w:rPr>
        <w:t>/</w:t>
      </w:r>
      <w:r w:rsidRPr="001B53A8">
        <w:rPr>
          <w:lang w:val="sr-Latn-BA" w:eastAsia="en-GB"/>
        </w:rPr>
        <w:t>nadležnosti</w:t>
      </w:r>
      <w:r w:rsidR="00AC0264" w:rsidRPr="001B53A8">
        <w:rPr>
          <w:lang w:val="sr-Latn-BA" w:eastAsia="en-GB"/>
        </w:rPr>
        <w:t>)</w:t>
      </w:r>
      <w:r w:rsidR="00643CDC" w:rsidRPr="001B53A8">
        <w:rPr>
          <w:rStyle w:val="FootnoteReference"/>
          <w:lang w:val="sr-Latn-BA" w:eastAsia="en-GB"/>
        </w:rPr>
        <w:footnoteReference w:id="21"/>
      </w:r>
      <w:r w:rsidR="00AC0264" w:rsidRPr="001B53A8">
        <w:rPr>
          <w:lang w:val="sr-Latn-BA" w:eastAsia="en-GB"/>
        </w:rPr>
        <w:t>.</w:t>
      </w:r>
      <w:r w:rsidR="00BB463D" w:rsidRPr="001B53A8">
        <w:rPr>
          <w:lang w:val="sr-Latn-BA" w:eastAsia="en-GB"/>
        </w:rPr>
        <w:t xml:space="preserve"> </w:t>
      </w:r>
      <w:r w:rsidRPr="001B53A8">
        <w:rPr>
          <w:lang w:val="sr-Latn-BA" w:eastAsia="en-GB"/>
        </w:rPr>
        <w:t>Time</w:t>
      </w:r>
      <w:r w:rsidR="00BB463D" w:rsidRPr="001B53A8">
        <w:rPr>
          <w:lang w:val="sr-Latn-BA" w:eastAsia="en-GB"/>
        </w:rPr>
        <w:t xml:space="preserve"> </w:t>
      </w:r>
      <w:r w:rsidRPr="001B53A8">
        <w:rPr>
          <w:lang w:val="sr-Latn-BA" w:eastAsia="en-GB"/>
        </w:rPr>
        <w:t>je</w:t>
      </w:r>
      <w:r w:rsidR="00BB463D" w:rsidRPr="001B53A8">
        <w:rPr>
          <w:lang w:val="sr-Latn-BA" w:eastAsia="en-GB"/>
        </w:rPr>
        <w:t xml:space="preserve"> </w:t>
      </w:r>
      <w:r w:rsidRPr="001B53A8">
        <w:rPr>
          <w:lang w:val="sr-Latn-BA" w:eastAsia="en-GB"/>
        </w:rPr>
        <w:t>Komisija</w:t>
      </w:r>
      <w:r w:rsidR="00BB463D" w:rsidRPr="001B53A8">
        <w:rPr>
          <w:lang w:val="sr-Latn-BA" w:eastAsia="en-GB"/>
        </w:rPr>
        <w:t xml:space="preserve"> </w:t>
      </w:r>
      <w:r w:rsidRPr="001B53A8">
        <w:rPr>
          <w:lang w:val="sr-Latn-BA" w:eastAsia="en-GB"/>
        </w:rPr>
        <w:t>dobila</w:t>
      </w:r>
      <w:r w:rsidR="00BB463D" w:rsidRPr="001B53A8">
        <w:rPr>
          <w:lang w:val="sr-Latn-BA" w:eastAsia="en-GB"/>
        </w:rPr>
        <w:t xml:space="preserve"> </w:t>
      </w:r>
      <w:r w:rsidRPr="001B53A8">
        <w:rPr>
          <w:lang w:val="sr-Latn-BA" w:eastAsia="en-GB"/>
        </w:rPr>
        <w:t>još</w:t>
      </w:r>
      <w:r w:rsidR="00BB463D" w:rsidRPr="001B53A8">
        <w:rPr>
          <w:lang w:val="sr-Latn-BA" w:eastAsia="en-GB"/>
        </w:rPr>
        <w:t xml:space="preserve"> </w:t>
      </w:r>
      <w:r w:rsidRPr="001B53A8">
        <w:rPr>
          <w:lang w:val="sr-Latn-BA" w:eastAsia="en-GB"/>
        </w:rPr>
        <w:t>jednu</w:t>
      </w:r>
      <w:r w:rsidR="00BB463D" w:rsidRPr="001B53A8">
        <w:rPr>
          <w:lang w:val="sr-Latn-BA" w:eastAsia="en-GB"/>
        </w:rPr>
        <w:t xml:space="preserve"> </w:t>
      </w:r>
      <w:r w:rsidRPr="001B53A8">
        <w:rPr>
          <w:lang w:val="sr-Latn-BA" w:eastAsia="en-GB"/>
        </w:rPr>
        <w:t>potvrdu</w:t>
      </w:r>
      <w:r w:rsidR="00BB463D" w:rsidRPr="001B53A8">
        <w:rPr>
          <w:lang w:val="sr-Latn-BA" w:eastAsia="en-GB"/>
        </w:rPr>
        <w:t xml:space="preserve"> </w:t>
      </w:r>
      <w:r w:rsidRPr="001B53A8">
        <w:rPr>
          <w:lang w:val="sr-Latn-BA" w:eastAsia="en-GB"/>
        </w:rPr>
        <w:t>da</w:t>
      </w:r>
      <w:r w:rsidR="00BB463D" w:rsidRPr="001B53A8">
        <w:rPr>
          <w:lang w:val="sr-Latn-BA" w:eastAsia="en-GB"/>
        </w:rPr>
        <w:t xml:space="preserve">, </w:t>
      </w:r>
      <w:r w:rsidRPr="001B53A8">
        <w:rPr>
          <w:lang w:val="sr-Latn-BA" w:eastAsia="en-GB"/>
        </w:rPr>
        <w:t>kao</w:t>
      </w:r>
      <w:r w:rsidR="00BB463D" w:rsidRPr="001B53A8">
        <w:rPr>
          <w:lang w:val="sr-Latn-BA" w:eastAsia="en-GB"/>
        </w:rPr>
        <w:t xml:space="preserve"> </w:t>
      </w:r>
      <w:r w:rsidRPr="001B53A8">
        <w:rPr>
          <w:lang w:val="sr-Latn-BA" w:eastAsia="en-GB"/>
        </w:rPr>
        <w:t>regulator</w:t>
      </w:r>
      <w:r w:rsidR="00BB463D" w:rsidRPr="001B53A8">
        <w:rPr>
          <w:lang w:val="sr-Latn-BA" w:eastAsia="en-GB"/>
        </w:rPr>
        <w:t xml:space="preserve"> </w:t>
      </w:r>
      <w:r w:rsidRPr="001B53A8">
        <w:rPr>
          <w:lang w:val="sr-Latn-BA" w:eastAsia="en-GB"/>
        </w:rPr>
        <w:t>tržišta</w:t>
      </w:r>
      <w:r w:rsidR="00BB463D" w:rsidRPr="001B53A8">
        <w:rPr>
          <w:lang w:val="sr-Latn-BA" w:eastAsia="en-GB"/>
        </w:rPr>
        <w:t xml:space="preserve"> </w:t>
      </w:r>
      <w:r w:rsidRPr="001B53A8">
        <w:rPr>
          <w:lang w:val="sr-Latn-BA" w:eastAsia="en-GB"/>
        </w:rPr>
        <w:t>kapitala</w:t>
      </w:r>
      <w:r w:rsidR="00BB463D" w:rsidRPr="001B53A8">
        <w:rPr>
          <w:lang w:val="sr-Latn-BA" w:eastAsia="en-GB"/>
        </w:rPr>
        <w:t xml:space="preserve"> </w:t>
      </w:r>
      <w:r w:rsidRPr="001B53A8">
        <w:rPr>
          <w:lang w:val="sr-Latn-BA" w:eastAsia="en-GB"/>
        </w:rPr>
        <w:t>u</w:t>
      </w:r>
      <w:r w:rsidR="00BB463D" w:rsidRPr="001B53A8">
        <w:rPr>
          <w:lang w:val="sr-Latn-BA" w:eastAsia="en-GB"/>
        </w:rPr>
        <w:t xml:space="preserve"> </w:t>
      </w:r>
      <w:r w:rsidRPr="001B53A8">
        <w:rPr>
          <w:lang w:val="sr-Latn-BA" w:eastAsia="en-GB"/>
        </w:rPr>
        <w:t>Republici</w:t>
      </w:r>
      <w:r w:rsidR="00BB463D" w:rsidRPr="001B53A8">
        <w:rPr>
          <w:lang w:val="sr-Latn-BA" w:eastAsia="en-GB"/>
        </w:rPr>
        <w:t xml:space="preserve"> </w:t>
      </w:r>
      <w:r w:rsidRPr="001B53A8">
        <w:rPr>
          <w:lang w:val="sr-Latn-BA" w:eastAsia="en-GB"/>
        </w:rPr>
        <w:t>Srpskoj</w:t>
      </w:r>
      <w:r w:rsidR="00BB463D" w:rsidRPr="001B53A8">
        <w:rPr>
          <w:lang w:val="sr-Latn-BA" w:eastAsia="en-GB"/>
        </w:rPr>
        <w:t xml:space="preserve">, </w:t>
      </w:r>
      <w:r w:rsidRPr="001B53A8">
        <w:rPr>
          <w:lang w:val="sr-Latn-BA" w:eastAsia="en-GB"/>
        </w:rPr>
        <w:t>postupa</w:t>
      </w:r>
      <w:r w:rsidR="00BB463D" w:rsidRPr="001B53A8">
        <w:rPr>
          <w:lang w:val="sr-Latn-BA" w:eastAsia="en-GB"/>
        </w:rPr>
        <w:t xml:space="preserve"> </w:t>
      </w:r>
      <w:r w:rsidRPr="001B53A8">
        <w:rPr>
          <w:lang w:val="sr-Latn-BA" w:eastAsia="en-GB"/>
        </w:rPr>
        <w:t>u</w:t>
      </w:r>
      <w:r w:rsidR="00BB463D" w:rsidRPr="001B53A8">
        <w:rPr>
          <w:lang w:val="sr-Latn-BA" w:eastAsia="en-GB"/>
        </w:rPr>
        <w:t xml:space="preserve"> </w:t>
      </w:r>
      <w:r w:rsidRPr="001B53A8">
        <w:rPr>
          <w:lang w:val="sr-Latn-BA" w:eastAsia="en-GB"/>
        </w:rPr>
        <w:t>skladu</w:t>
      </w:r>
      <w:r w:rsidR="00BB463D" w:rsidRPr="001B53A8">
        <w:rPr>
          <w:lang w:val="sr-Latn-BA" w:eastAsia="en-GB"/>
        </w:rPr>
        <w:t xml:space="preserve"> </w:t>
      </w:r>
      <w:r w:rsidRPr="001B53A8">
        <w:rPr>
          <w:lang w:val="sr-Latn-BA" w:eastAsia="en-GB"/>
        </w:rPr>
        <w:t>sa</w:t>
      </w:r>
      <w:r w:rsidR="00BB463D" w:rsidRPr="001B53A8">
        <w:rPr>
          <w:lang w:val="sr-Latn-BA" w:eastAsia="en-GB"/>
        </w:rPr>
        <w:t xml:space="preserve"> </w:t>
      </w:r>
      <w:r w:rsidRPr="001B53A8">
        <w:rPr>
          <w:lang w:val="sr-Latn-BA" w:eastAsia="en-GB"/>
        </w:rPr>
        <w:t>međunarodnim</w:t>
      </w:r>
      <w:r w:rsidR="00BB463D" w:rsidRPr="001B53A8">
        <w:rPr>
          <w:lang w:val="sr-Latn-BA" w:eastAsia="en-GB"/>
        </w:rPr>
        <w:t xml:space="preserve"> </w:t>
      </w:r>
      <w:r w:rsidRPr="001B53A8">
        <w:rPr>
          <w:lang w:val="sr-Latn-BA" w:eastAsia="en-GB"/>
        </w:rPr>
        <w:t>principima</w:t>
      </w:r>
      <w:r w:rsidR="00BB463D" w:rsidRPr="001B53A8">
        <w:rPr>
          <w:lang w:val="sr-Latn-BA" w:eastAsia="en-GB"/>
        </w:rPr>
        <w:t xml:space="preserve"> </w:t>
      </w:r>
      <w:r w:rsidRPr="001B53A8">
        <w:rPr>
          <w:lang w:val="sr-Latn-BA" w:eastAsia="en-GB"/>
        </w:rPr>
        <w:t>i</w:t>
      </w:r>
      <w:r w:rsidR="00BB463D" w:rsidRPr="001B53A8">
        <w:rPr>
          <w:lang w:val="sr-Latn-BA" w:eastAsia="en-GB"/>
        </w:rPr>
        <w:t xml:space="preserve"> </w:t>
      </w:r>
      <w:r w:rsidRPr="001B53A8">
        <w:rPr>
          <w:lang w:val="sr-Latn-BA" w:eastAsia="en-GB"/>
        </w:rPr>
        <w:t>pravilima</w:t>
      </w:r>
      <w:r w:rsidR="00BB463D" w:rsidRPr="001B53A8">
        <w:rPr>
          <w:lang w:val="sr-Latn-BA" w:eastAsia="en-GB"/>
        </w:rPr>
        <w:t xml:space="preserve"> </w:t>
      </w:r>
      <w:r w:rsidRPr="001B53A8">
        <w:rPr>
          <w:lang w:val="sr-Latn-BA" w:eastAsia="en-GB"/>
        </w:rPr>
        <w:t>i</w:t>
      </w:r>
      <w:r w:rsidR="00BB463D" w:rsidRPr="001B53A8">
        <w:rPr>
          <w:lang w:val="sr-Latn-BA" w:eastAsia="en-GB"/>
        </w:rPr>
        <w:t xml:space="preserve"> </w:t>
      </w:r>
      <w:r w:rsidRPr="001B53A8">
        <w:rPr>
          <w:lang w:val="sr-Latn-BA" w:eastAsia="en-GB"/>
        </w:rPr>
        <w:t>najvišim</w:t>
      </w:r>
      <w:r w:rsidR="00BB463D" w:rsidRPr="001B53A8">
        <w:rPr>
          <w:lang w:val="sr-Latn-BA" w:eastAsia="en-GB"/>
        </w:rPr>
        <w:t xml:space="preserve"> </w:t>
      </w:r>
      <w:r w:rsidRPr="001B53A8">
        <w:rPr>
          <w:lang w:val="sr-Latn-BA" w:eastAsia="en-GB"/>
        </w:rPr>
        <w:t>svjetskim</w:t>
      </w:r>
      <w:r w:rsidR="00BB463D" w:rsidRPr="001B53A8">
        <w:rPr>
          <w:lang w:val="sr-Latn-BA" w:eastAsia="en-GB"/>
        </w:rPr>
        <w:t xml:space="preserve"> </w:t>
      </w:r>
      <w:r w:rsidRPr="001B53A8">
        <w:rPr>
          <w:lang w:val="sr-Latn-BA" w:eastAsia="en-GB"/>
        </w:rPr>
        <w:t>standardima</w:t>
      </w:r>
      <w:r w:rsidR="00BB463D" w:rsidRPr="001B53A8">
        <w:rPr>
          <w:lang w:val="sr-Latn-BA" w:eastAsia="en-GB"/>
        </w:rPr>
        <w:t xml:space="preserve"> IOSCO.</w:t>
      </w:r>
    </w:p>
    <w:p w14:paraId="7921F7FF" w14:textId="0F7A2B7E" w:rsidR="002A448C" w:rsidRPr="001B53A8" w:rsidRDefault="00003F34" w:rsidP="006B6E0C">
      <w:pPr>
        <w:pStyle w:val="Heading3"/>
        <w:spacing w:line="240" w:lineRule="auto"/>
        <w:ind w:left="567" w:hanging="567"/>
        <w:rPr>
          <w:rFonts w:ascii="Times New Roman" w:hAnsi="Times New Roman"/>
          <w:lang w:val="sr-Latn-BA"/>
        </w:rPr>
      </w:pPr>
      <w:bookmarkStart w:id="82" w:name="_Toc167962124"/>
      <w:bookmarkStart w:id="83" w:name="_Toc194970105"/>
      <w:bookmarkStart w:id="84" w:name="_Toc194970155"/>
      <w:bookmarkStart w:id="85" w:name="_Toc321408911"/>
      <w:r w:rsidRPr="001B53A8">
        <w:rPr>
          <w:rFonts w:ascii="Times New Roman" w:hAnsi="Times New Roman"/>
          <w:lang w:val="sr-Latn-BA"/>
        </w:rPr>
        <w:t>Promocija</w:t>
      </w:r>
      <w:r w:rsidR="002A448C" w:rsidRPr="001B53A8">
        <w:rPr>
          <w:rFonts w:ascii="Times New Roman" w:hAnsi="Times New Roman"/>
          <w:lang w:val="sr-Latn-BA"/>
        </w:rPr>
        <w:t xml:space="preserve"> </w:t>
      </w:r>
      <w:r w:rsidRPr="001B53A8">
        <w:rPr>
          <w:rFonts w:ascii="Times New Roman" w:hAnsi="Times New Roman"/>
          <w:lang w:val="sr-Latn-BA"/>
        </w:rPr>
        <w:t>i</w:t>
      </w:r>
      <w:r w:rsidR="002A448C" w:rsidRPr="001B53A8">
        <w:rPr>
          <w:rFonts w:ascii="Times New Roman" w:hAnsi="Times New Roman"/>
          <w:lang w:val="sr-Latn-BA"/>
        </w:rPr>
        <w:t xml:space="preserve"> </w:t>
      </w:r>
      <w:r w:rsidRPr="001B53A8">
        <w:rPr>
          <w:rFonts w:ascii="Times New Roman" w:hAnsi="Times New Roman"/>
          <w:lang w:val="sr-Latn-BA"/>
        </w:rPr>
        <w:t>edukacija</w:t>
      </w:r>
      <w:bookmarkEnd w:id="82"/>
    </w:p>
    <w:p w14:paraId="0D33A97B" w14:textId="5CEC7EAE" w:rsidR="00A11D13" w:rsidRPr="001B53A8" w:rsidRDefault="00003F34" w:rsidP="006B6E0C">
      <w:pPr>
        <w:pStyle w:val="Style15"/>
        <w:widowControl/>
        <w:spacing w:before="120" w:line="240" w:lineRule="auto"/>
        <w:ind w:firstLine="567"/>
        <w:rPr>
          <w:rFonts w:ascii="Times New Roman" w:hAnsi="Times New Roman"/>
          <w:color w:val="000000"/>
          <w:szCs w:val="16"/>
          <w:lang w:eastAsia="sr-Latn-CS"/>
        </w:rPr>
      </w:pPr>
      <w:r w:rsidRPr="001B53A8">
        <w:rPr>
          <w:rStyle w:val="FontStyle151"/>
          <w:rFonts w:ascii="Times New Roman" w:hAnsi="Times New Roman" w:cs="Times New Roman"/>
          <w:sz w:val="24"/>
          <w:lang w:eastAsia="sr-Latn-CS"/>
        </w:rPr>
        <w:t>U</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izvještajnom</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periodu</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najveći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dio</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aktivnosti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u</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oblasti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promocije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edukacije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odnosi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se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na</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tumačenja</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zakonskih</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podzakonskih</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propisa</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te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odgovore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na</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upite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kako</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ovlašćenim</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učesnicima</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na</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tržištu</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kapitala</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tako</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drugim</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domaćim</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stranim</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pravnim</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fizičkim</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licima</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Upiti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su</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se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odnosili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na</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različite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zakonske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podzakonske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propise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aktivnosti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nadležnosti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Komisije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različite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teme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ili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oblasti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te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su</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pokrivene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brojne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teme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direktno</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ili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indirektno</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vezane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za</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tržište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hartija</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od</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vrijednosti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Zahtjevi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za</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tumačenje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ili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primjenu</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propisa</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su</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se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najčešće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odnosili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na</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Zakon</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o</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investicionim</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fondovima</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podzakonske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akte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iz</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nadležnosti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Komisije</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Zakon</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o</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tržištu</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hartija</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od</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vrijednosti</w:t>
      </w:r>
      <w:r w:rsidR="002A448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i</w:t>
      </w:r>
      <w:r w:rsidR="00AC1D6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Zakon</w:t>
      </w:r>
      <w:r w:rsidR="00AC1D6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o</w:t>
      </w:r>
      <w:r w:rsidR="00AC1D6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privrednim</w:t>
      </w:r>
      <w:r w:rsidR="00AC1D6C" w:rsidRPr="001B53A8">
        <w:rPr>
          <w:rStyle w:val="FontStyle151"/>
          <w:rFonts w:ascii="Times New Roman" w:hAnsi="Times New Roman" w:cs="Times New Roman"/>
          <w:sz w:val="24"/>
          <w:lang w:eastAsia="sr-Latn-CS"/>
        </w:rPr>
        <w:t xml:space="preserve"> </w:t>
      </w:r>
      <w:r w:rsidRPr="001B53A8">
        <w:rPr>
          <w:rStyle w:val="FontStyle151"/>
          <w:rFonts w:ascii="Times New Roman" w:hAnsi="Times New Roman" w:cs="Times New Roman"/>
          <w:sz w:val="24"/>
          <w:lang w:eastAsia="sr-Latn-CS"/>
        </w:rPr>
        <w:t>društvima</w:t>
      </w:r>
      <w:r w:rsidR="00AC1D6C" w:rsidRPr="001B53A8">
        <w:rPr>
          <w:rStyle w:val="FontStyle151"/>
          <w:rFonts w:ascii="Times New Roman" w:hAnsi="Times New Roman" w:cs="Times New Roman"/>
          <w:sz w:val="24"/>
          <w:lang w:eastAsia="sr-Latn-CS"/>
        </w:rPr>
        <w:t>.</w:t>
      </w:r>
    </w:p>
    <w:p w14:paraId="11F9794D" w14:textId="435B0FBD" w:rsidR="009628CE" w:rsidRPr="001B53A8" w:rsidRDefault="00003F34" w:rsidP="006B6E0C">
      <w:pPr>
        <w:pStyle w:val="Heading1"/>
        <w:shd w:val="clear" w:color="auto" w:fill="auto"/>
        <w:spacing w:before="360" w:line="240" w:lineRule="auto"/>
        <w:ind w:left="567" w:hanging="567"/>
        <w:rPr>
          <w:rFonts w:ascii="Times New Roman" w:hAnsi="Times New Roman"/>
          <w:caps w:val="0"/>
          <w:color w:val="002060"/>
          <w:lang w:val="sr-Latn-BA"/>
        </w:rPr>
      </w:pPr>
      <w:bookmarkStart w:id="86" w:name="_Toc167962125"/>
      <w:r w:rsidRPr="001B53A8">
        <w:rPr>
          <w:rFonts w:ascii="Times New Roman" w:hAnsi="Times New Roman"/>
          <w:caps w:val="0"/>
          <w:color w:val="002060"/>
          <w:lang w:val="sr-Latn-BA"/>
        </w:rPr>
        <w:t>NADZOR</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NAD</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UČESNICIMA</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NA</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TRŽIŠTU</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HARTIJA</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OD</w:t>
      </w:r>
      <w:r w:rsidR="009628CE" w:rsidRPr="001B53A8">
        <w:rPr>
          <w:rFonts w:ascii="Times New Roman" w:hAnsi="Times New Roman"/>
          <w:caps w:val="0"/>
          <w:color w:val="002060"/>
          <w:lang w:val="sr-Latn-BA"/>
        </w:rPr>
        <w:t xml:space="preserve"> </w:t>
      </w:r>
      <w:r w:rsidRPr="001B53A8">
        <w:rPr>
          <w:rFonts w:ascii="Times New Roman" w:hAnsi="Times New Roman"/>
          <w:caps w:val="0"/>
          <w:color w:val="002060"/>
          <w:lang w:val="sr-Latn-BA"/>
        </w:rPr>
        <w:t>VRIJEDNOSTI</w:t>
      </w:r>
      <w:bookmarkEnd w:id="83"/>
      <w:bookmarkEnd w:id="84"/>
      <w:bookmarkEnd w:id="85"/>
      <w:bookmarkEnd w:id="86"/>
    </w:p>
    <w:bookmarkEnd w:id="63"/>
    <w:bookmarkEnd w:id="64"/>
    <w:p w14:paraId="534BAAF9" w14:textId="0860C028" w:rsidR="00EF2179" w:rsidRPr="001B53A8" w:rsidRDefault="00003F34" w:rsidP="00EF2179">
      <w:pPr>
        <w:pStyle w:val="Style15"/>
        <w:widowControl/>
        <w:spacing w:before="120" w:line="240" w:lineRule="auto"/>
        <w:ind w:firstLine="567"/>
        <w:rPr>
          <w:rFonts w:ascii="Times New Roman" w:hAnsi="Times New Roman"/>
        </w:rPr>
      </w:pPr>
      <w:r w:rsidRPr="001B53A8">
        <w:rPr>
          <w:rStyle w:val="FontStyle151"/>
          <w:rFonts w:ascii="Times New Roman" w:hAnsi="Times New Roman" w:cs="Times New Roman"/>
          <w:sz w:val="24"/>
          <w:lang w:eastAsia="sr-Latn-CS"/>
        </w:rPr>
        <w:t>Prema</w:t>
      </w:r>
      <w:r w:rsidR="00EF2179" w:rsidRPr="001B53A8">
        <w:rPr>
          <w:rFonts w:ascii="Times New Roman" w:hAnsi="Times New Roman"/>
        </w:rPr>
        <w:t xml:space="preserve"> </w:t>
      </w:r>
      <w:r w:rsidRPr="001B53A8">
        <w:rPr>
          <w:rFonts w:ascii="Times New Roman" w:hAnsi="Times New Roman"/>
        </w:rPr>
        <w:t>odredbama</w:t>
      </w:r>
      <w:r w:rsidR="00EF2179" w:rsidRPr="001B53A8">
        <w:rPr>
          <w:rFonts w:ascii="Times New Roman" w:hAnsi="Times New Roman"/>
        </w:rPr>
        <w:t xml:space="preserve"> </w:t>
      </w:r>
      <w:r w:rsidRPr="001B53A8">
        <w:rPr>
          <w:rFonts w:ascii="Times New Roman" w:hAnsi="Times New Roman"/>
        </w:rPr>
        <w:t>Zakona</w:t>
      </w:r>
      <w:r w:rsidR="00EF2179" w:rsidRPr="001B53A8">
        <w:rPr>
          <w:rFonts w:ascii="Times New Roman" w:hAnsi="Times New Roman"/>
        </w:rPr>
        <w:t xml:space="preserve"> </w:t>
      </w:r>
      <w:r w:rsidRPr="001B53A8">
        <w:rPr>
          <w:rFonts w:ascii="Times New Roman" w:hAnsi="Times New Roman"/>
        </w:rPr>
        <w:t>o</w:t>
      </w:r>
      <w:r w:rsidR="00EF2179" w:rsidRPr="001B53A8">
        <w:rPr>
          <w:rFonts w:ascii="Times New Roman" w:hAnsi="Times New Roman"/>
        </w:rPr>
        <w:t xml:space="preserve"> </w:t>
      </w:r>
      <w:r w:rsidRPr="001B53A8">
        <w:rPr>
          <w:rFonts w:ascii="Times New Roman" w:hAnsi="Times New Roman"/>
        </w:rPr>
        <w:t>tržištu</w:t>
      </w:r>
      <w:r w:rsidR="00EF2179" w:rsidRPr="001B53A8">
        <w:rPr>
          <w:rStyle w:val="FootnoteReference"/>
          <w:rFonts w:ascii="Times New Roman" w:hAnsi="Times New Roman"/>
        </w:rPr>
        <w:footnoteReference w:id="22"/>
      </w:r>
      <w:r w:rsidR="00EF2179" w:rsidRPr="001B53A8">
        <w:rPr>
          <w:rFonts w:ascii="Times New Roman" w:hAnsi="Times New Roman"/>
        </w:rPr>
        <w:t xml:space="preserve">, </w:t>
      </w:r>
      <w:r w:rsidRPr="001B53A8">
        <w:rPr>
          <w:rFonts w:ascii="Times New Roman" w:hAnsi="Times New Roman"/>
        </w:rPr>
        <w:t>Komisija</w:t>
      </w:r>
      <w:r w:rsidR="00EF2179" w:rsidRPr="001B53A8">
        <w:rPr>
          <w:rFonts w:ascii="Times New Roman" w:hAnsi="Times New Roman"/>
        </w:rPr>
        <w:t xml:space="preserve"> </w:t>
      </w:r>
      <w:r w:rsidRPr="001B53A8">
        <w:rPr>
          <w:rFonts w:ascii="Times New Roman" w:hAnsi="Times New Roman"/>
        </w:rPr>
        <w:t>vrši</w:t>
      </w:r>
      <w:r w:rsidR="00EF2179" w:rsidRPr="001B53A8">
        <w:rPr>
          <w:rFonts w:ascii="Times New Roman" w:hAnsi="Times New Roman"/>
        </w:rPr>
        <w:t xml:space="preserve"> </w:t>
      </w:r>
      <w:r w:rsidRPr="001B53A8">
        <w:rPr>
          <w:rFonts w:ascii="Times New Roman" w:hAnsi="Times New Roman"/>
        </w:rPr>
        <w:t>nadzor</w:t>
      </w:r>
      <w:r w:rsidR="00EF2179" w:rsidRPr="001B53A8">
        <w:rPr>
          <w:rFonts w:ascii="Times New Roman" w:hAnsi="Times New Roman"/>
        </w:rPr>
        <w:t xml:space="preserve"> </w:t>
      </w:r>
      <w:r w:rsidRPr="001B53A8">
        <w:rPr>
          <w:rFonts w:ascii="Times New Roman" w:hAnsi="Times New Roman"/>
        </w:rPr>
        <w:t>nad</w:t>
      </w:r>
      <w:r w:rsidR="00EF2179" w:rsidRPr="001B53A8">
        <w:rPr>
          <w:rFonts w:ascii="Times New Roman" w:hAnsi="Times New Roman"/>
        </w:rPr>
        <w:t xml:space="preserve"> </w:t>
      </w:r>
      <w:r w:rsidRPr="001B53A8">
        <w:rPr>
          <w:rFonts w:ascii="Times New Roman" w:hAnsi="Times New Roman"/>
        </w:rPr>
        <w:t>licima</w:t>
      </w:r>
      <w:r w:rsidR="00EF2179" w:rsidRPr="001B53A8">
        <w:rPr>
          <w:rFonts w:ascii="Times New Roman" w:hAnsi="Times New Roman"/>
        </w:rPr>
        <w:t xml:space="preserve"> </w:t>
      </w:r>
      <w:r w:rsidRPr="001B53A8">
        <w:rPr>
          <w:rFonts w:ascii="Times New Roman" w:hAnsi="Times New Roman"/>
        </w:rPr>
        <w:t>kojima</w:t>
      </w:r>
      <w:r w:rsidR="00EF2179" w:rsidRPr="001B53A8">
        <w:rPr>
          <w:rFonts w:ascii="Times New Roman" w:hAnsi="Times New Roman"/>
        </w:rPr>
        <w:t xml:space="preserve"> </w:t>
      </w:r>
      <w:r w:rsidRPr="001B53A8">
        <w:rPr>
          <w:rFonts w:ascii="Times New Roman" w:hAnsi="Times New Roman"/>
        </w:rPr>
        <w:t>daje</w:t>
      </w:r>
      <w:r w:rsidR="00EF2179" w:rsidRPr="001B53A8">
        <w:rPr>
          <w:rFonts w:ascii="Times New Roman" w:hAnsi="Times New Roman"/>
        </w:rPr>
        <w:t xml:space="preserve"> </w:t>
      </w:r>
      <w:r w:rsidRPr="001B53A8">
        <w:rPr>
          <w:rFonts w:ascii="Times New Roman" w:hAnsi="Times New Roman"/>
        </w:rPr>
        <w:t>dozvolu</w:t>
      </w:r>
      <w:r w:rsidR="00EF2179" w:rsidRPr="001B53A8">
        <w:rPr>
          <w:rFonts w:ascii="Times New Roman" w:hAnsi="Times New Roman"/>
        </w:rPr>
        <w:t xml:space="preserve"> </w:t>
      </w:r>
      <w:r w:rsidRPr="001B53A8">
        <w:rPr>
          <w:rFonts w:ascii="Times New Roman" w:hAnsi="Times New Roman"/>
        </w:rPr>
        <w:t>za</w:t>
      </w:r>
      <w:r w:rsidR="00EF2179" w:rsidRPr="001B53A8">
        <w:rPr>
          <w:rFonts w:ascii="Times New Roman" w:hAnsi="Times New Roman"/>
        </w:rPr>
        <w:t xml:space="preserve"> </w:t>
      </w:r>
      <w:r w:rsidRPr="001B53A8">
        <w:rPr>
          <w:rFonts w:ascii="Times New Roman" w:hAnsi="Times New Roman"/>
        </w:rPr>
        <w:t>obavlјanje</w:t>
      </w:r>
      <w:r w:rsidR="00EF2179" w:rsidRPr="001B53A8">
        <w:rPr>
          <w:rFonts w:ascii="Times New Roman" w:hAnsi="Times New Roman"/>
        </w:rPr>
        <w:t xml:space="preserve"> </w:t>
      </w:r>
      <w:r w:rsidRPr="001B53A8">
        <w:rPr>
          <w:rFonts w:ascii="Times New Roman" w:hAnsi="Times New Roman"/>
        </w:rPr>
        <w:t>poslova</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emitentima</w:t>
      </w:r>
      <w:r w:rsidR="00EF2179" w:rsidRPr="001B53A8">
        <w:rPr>
          <w:rFonts w:ascii="Times New Roman" w:hAnsi="Times New Roman"/>
        </w:rPr>
        <w:t xml:space="preserve"> </w:t>
      </w:r>
      <w:r w:rsidRPr="001B53A8">
        <w:rPr>
          <w:rFonts w:ascii="Times New Roman" w:hAnsi="Times New Roman"/>
        </w:rPr>
        <w:t>hartija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vrijednosti</w:t>
      </w:r>
      <w:r w:rsidR="00EF2179" w:rsidRPr="001B53A8">
        <w:rPr>
          <w:rFonts w:ascii="Times New Roman" w:hAnsi="Times New Roman"/>
        </w:rPr>
        <w:t xml:space="preserve"> </w:t>
      </w:r>
      <w:r w:rsidRPr="001B53A8">
        <w:rPr>
          <w:rFonts w:ascii="Times New Roman" w:hAnsi="Times New Roman"/>
        </w:rPr>
        <w:t>u</w:t>
      </w:r>
      <w:r w:rsidR="00EF2179" w:rsidRPr="001B53A8">
        <w:rPr>
          <w:rFonts w:ascii="Times New Roman" w:hAnsi="Times New Roman"/>
        </w:rPr>
        <w:t xml:space="preserve"> </w:t>
      </w:r>
      <w:r w:rsidRPr="001B53A8">
        <w:rPr>
          <w:rFonts w:ascii="Times New Roman" w:hAnsi="Times New Roman"/>
        </w:rPr>
        <w:t>postupku</w:t>
      </w:r>
      <w:r w:rsidR="00EF2179" w:rsidRPr="001B53A8">
        <w:rPr>
          <w:rFonts w:ascii="Times New Roman" w:hAnsi="Times New Roman"/>
        </w:rPr>
        <w:t xml:space="preserve"> </w:t>
      </w:r>
      <w:r w:rsidRPr="001B53A8">
        <w:rPr>
          <w:rFonts w:ascii="Times New Roman" w:hAnsi="Times New Roman"/>
        </w:rPr>
        <w:t>emisije</w:t>
      </w:r>
      <w:r w:rsidR="00EF2179" w:rsidRPr="001B53A8">
        <w:rPr>
          <w:rFonts w:ascii="Times New Roman" w:hAnsi="Times New Roman"/>
        </w:rPr>
        <w:t xml:space="preserve">, </w:t>
      </w:r>
      <w:r w:rsidRPr="001B53A8">
        <w:rPr>
          <w:rFonts w:ascii="Times New Roman" w:hAnsi="Times New Roman"/>
        </w:rPr>
        <w:t>te</w:t>
      </w:r>
      <w:r w:rsidR="00EF2179" w:rsidRPr="001B53A8">
        <w:rPr>
          <w:rFonts w:ascii="Times New Roman" w:hAnsi="Times New Roman"/>
        </w:rPr>
        <w:t xml:space="preserve"> </w:t>
      </w:r>
      <w:r w:rsidRPr="001B53A8">
        <w:rPr>
          <w:rFonts w:ascii="Times New Roman" w:hAnsi="Times New Roman"/>
        </w:rPr>
        <w:t>nalaže</w:t>
      </w:r>
      <w:r w:rsidR="00EF2179" w:rsidRPr="001B53A8">
        <w:rPr>
          <w:rFonts w:ascii="Times New Roman" w:hAnsi="Times New Roman"/>
        </w:rPr>
        <w:t xml:space="preserve"> </w:t>
      </w:r>
      <w:r w:rsidRPr="001B53A8">
        <w:rPr>
          <w:rFonts w:ascii="Times New Roman" w:hAnsi="Times New Roman"/>
        </w:rPr>
        <w:t>mjere</w:t>
      </w:r>
      <w:r w:rsidR="00EF2179" w:rsidRPr="001B53A8">
        <w:rPr>
          <w:rFonts w:ascii="Times New Roman" w:hAnsi="Times New Roman"/>
        </w:rPr>
        <w:t xml:space="preserve"> </w:t>
      </w:r>
      <w:r w:rsidRPr="001B53A8">
        <w:rPr>
          <w:rFonts w:ascii="Times New Roman" w:hAnsi="Times New Roman"/>
        </w:rPr>
        <w:t>za</w:t>
      </w:r>
      <w:r w:rsidR="00EF2179" w:rsidRPr="001B53A8">
        <w:rPr>
          <w:rFonts w:ascii="Times New Roman" w:hAnsi="Times New Roman"/>
        </w:rPr>
        <w:t xml:space="preserve"> </w:t>
      </w:r>
      <w:r w:rsidRPr="001B53A8">
        <w:rPr>
          <w:rFonts w:ascii="Times New Roman" w:hAnsi="Times New Roman"/>
        </w:rPr>
        <w:t>otklanjanje</w:t>
      </w:r>
      <w:r w:rsidR="00EF2179" w:rsidRPr="001B53A8">
        <w:rPr>
          <w:rFonts w:ascii="Times New Roman" w:hAnsi="Times New Roman"/>
        </w:rPr>
        <w:t xml:space="preserve"> </w:t>
      </w:r>
      <w:r w:rsidRPr="001B53A8">
        <w:rPr>
          <w:rFonts w:ascii="Times New Roman" w:hAnsi="Times New Roman"/>
        </w:rPr>
        <w:t>utvrđenih</w:t>
      </w:r>
      <w:r w:rsidR="00EF2179" w:rsidRPr="001B53A8">
        <w:rPr>
          <w:rFonts w:ascii="Times New Roman" w:hAnsi="Times New Roman"/>
        </w:rPr>
        <w:t xml:space="preserve"> </w:t>
      </w:r>
      <w:r w:rsidRPr="001B53A8">
        <w:rPr>
          <w:rFonts w:ascii="Times New Roman" w:hAnsi="Times New Roman"/>
        </w:rPr>
        <w:t>nezakonitosti</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nepravilnosti</w:t>
      </w:r>
      <w:r w:rsidR="00EF2179" w:rsidRPr="001B53A8">
        <w:rPr>
          <w:rFonts w:ascii="Times New Roman" w:hAnsi="Times New Roman"/>
        </w:rPr>
        <w:t xml:space="preserve">. </w:t>
      </w:r>
      <w:r w:rsidRPr="001B53A8">
        <w:rPr>
          <w:rFonts w:ascii="Times New Roman" w:hAnsi="Times New Roman"/>
        </w:rPr>
        <w:t>Komisija</w:t>
      </w:r>
      <w:r w:rsidR="00EF2179" w:rsidRPr="001B53A8">
        <w:rPr>
          <w:rFonts w:ascii="Times New Roman" w:hAnsi="Times New Roman"/>
        </w:rPr>
        <w:t xml:space="preserve"> </w:t>
      </w:r>
      <w:r w:rsidRPr="001B53A8">
        <w:rPr>
          <w:rFonts w:ascii="Times New Roman" w:hAnsi="Times New Roman"/>
        </w:rPr>
        <w:t>je</w:t>
      </w:r>
      <w:r w:rsidR="00EF2179" w:rsidRPr="001B53A8">
        <w:rPr>
          <w:rFonts w:ascii="Times New Roman" w:hAnsi="Times New Roman"/>
        </w:rPr>
        <w:t xml:space="preserve">, </w:t>
      </w:r>
      <w:r w:rsidRPr="001B53A8">
        <w:rPr>
          <w:rFonts w:ascii="Times New Roman" w:hAnsi="Times New Roman"/>
        </w:rPr>
        <w:t>takođe</w:t>
      </w:r>
      <w:r w:rsidR="00EF2179" w:rsidRPr="001B53A8">
        <w:rPr>
          <w:rFonts w:ascii="Times New Roman" w:hAnsi="Times New Roman"/>
        </w:rPr>
        <w:t xml:space="preserve"> </w:t>
      </w:r>
      <w:r w:rsidRPr="001B53A8">
        <w:rPr>
          <w:rFonts w:ascii="Times New Roman" w:hAnsi="Times New Roman"/>
        </w:rPr>
        <w:t>prema</w:t>
      </w:r>
      <w:r w:rsidR="00EF2179" w:rsidRPr="001B53A8">
        <w:rPr>
          <w:rFonts w:ascii="Times New Roman" w:hAnsi="Times New Roman"/>
        </w:rPr>
        <w:t xml:space="preserve"> </w:t>
      </w:r>
      <w:r w:rsidRPr="001B53A8">
        <w:rPr>
          <w:rFonts w:ascii="Times New Roman" w:hAnsi="Times New Roman"/>
        </w:rPr>
        <w:lastRenderedPageBreak/>
        <w:t>odredbama</w:t>
      </w:r>
      <w:r w:rsidR="00EF2179" w:rsidRPr="001B53A8">
        <w:rPr>
          <w:rFonts w:ascii="Times New Roman" w:hAnsi="Times New Roman"/>
        </w:rPr>
        <w:t xml:space="preserve"> </w:t>
      </w:r>
      <w:r w:rsidRPr="001B53A8">
        <w:rPr>
          <w:rFonts w:ascii="Times New Roman" w:hAnsi="Times New Roman"/>
        </w:rPr>
        <w:t>Zakona</w:t>
      </w:r>
      <w:r w:rsidR="00EF2179" w:rsidRPr="001B53A8">
        <w:rPr>
          <w:rFonts w:ascii="Times New Roman" w:hAnsi="Times New Roman"/>
        </w:rPr>
        <w:t xml:space="preserve"> </w:t>
      </w:r>
      <w:r w:rsidRPr="001B53A8">
        <w:rPr>
          <w:rFonts w:ascii="Times New Roman" w:hAnsi="Times New Roman"/>
        </w:rPr>
        <w:t>o</w:t>
      </w:r>
      <w:r w:rsidR="00EF2179" w:rsidRPr="001B53A8">
        <w:rPr>
          <w:rFonts w:ascii="Times New Roman" w:hAnsi="Times New Roman"/>
        </w:rPr>
        <w:t xml:space="preserve"> </w:t>
      </w:r>
      <w:r w:rsidRPr="001B53A8">
        <w:rPr>
          <w:rFonts w:ascii="Times New Roman" w:hAnsi="Times New Roman"/>
        </w:rPr>
        <w:t>tržištu</w:t>
      </w:r>
      <w:r w:rsidR="00EF2179" w:rsidRPr="001B53A8">
        <w:rPr>
          <w:rStyle w:val="FootnoteReference"/>
          <w:rFonts w:ascii="Times New Roman" w:hAnsi="Times New Roman"/>
        </w:rPr>
        <w:footnoteReference w:id="23"/>
      </w:r>
      <w:r w:rsidR="00EF2179" w:rsidRPr="001B53A8">
        <w:rPr>
          <w:rFonts w:ascii="Times New Roman" w:hAnsi="Times New Roman"/>
        </w:rPr>
        <w:t xml:space="preserve">, </w:t>
      </w:r>
      <w:r w:rsidRPr="001B53A8">
        <w:rPr>
          <w:rFonts w:ascii="Times New Roman" w:hAnsi="Times New Roman"/>
        </w:rPr>
        <w:t>a</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prema</w:t>
      </w:r>
      <w:r w:rsidR="00EF2179" w:rsidRPr="001B53A8">
        <w:rPr>
          <w:rFonts w:ascii="Times New Roman" w:hAnsi="Times New Roman"/>
        </w:rPr>
        <w:t xml:space="preserve"> </w:t>
      </w:r>
      <w:r w:rsidRPr="001B53A8">
        <w:rPr>
          <w:rFonts w:ascii="Times New Roman" w:hAnsi="Times New Roman"/>
        </w:rPr>
        <w:t>odredbama</w:t>
      </w:r>
      <w:r w:rsidR="00EF2179" w:rsidRPr="001B53A8">
        <w:rPr>
          <w:rFonts w:ascii="Times New Roman" w:hAnsi="Times New Roman"/>
        </w:rPr>
        <w:t xml:space="preserve"> </w:t>
      </w:r>
      <w:r w:rsidRPr="001B53A8">
        <w:rPr>
          <w:rFonts w:ascii="Times New Roman" w:hAnsi="Times New Roman"/>
        </w:rPr>
        <w:t>Zakona</w:t>
      </w:r>
      <w:r w:rsidR="00EF2179" w:rsidRPr="001B53A8">
        <w:rPr>
          <w:rFonts w:ascii="Times New Roman" w:hAnsi="Times New Roman"/>
        </w:rPr>
        <w:t xml:space="preserve"> </w:t>
      </w:r>
      <w:r w:rsidRPr="001B53A8">
        <w:rPr>
          <w:rFonts w:ascii="Times New Roman" w:hAnsi="Times New Roman"/>
        </w:rPr>
        <w:t>o</w:t>
      </w:r>
      <w:r w:rsidR="00EF2179" w:rsidRPr="001B53A8">
        <w:rPr>
          <w:rFonts w:ascii="Times New Roman" w:hAnsi="Times New Roman"/>
        </w:rPr>
        <w:t xml:space="preserve"> </w:t>
      </w:r>
      <w:r w:rsidRPr="001B53A8">
        <w:rPr>
          <w:rFonts w:ascii="Times New Roman" w:hAnsi="Times New Roman"/>
        </w:rPr>
        <w:t>sprečavanju</w:t>
      </w:r>
      <w:r w:rsidR="00EF2179" w:rsidRPr="001B53A8">
        <w:rPr>
          <w:rFonts w:ascii="Times New Roman" w:hAnsi="Times New Roman"/>
        </w:rPr>
        <w:t xml:space="preserve"> </w:t>
      </w:r>
      <w:r w:rsidRPr="001B53A8">
        <w:rPr>
          <w:rFonts w:ascii="Times New Roman" w:hAnsi="Times New Roman"/>
        </w:rPr>
        <w:t>pranja</w:t>
      </w:r>
      <w:r w:rsidR="00EF2179" w:rsidRPr="001B53A8">
        <w:rPr>
          <w:rFonts w:ascii="Times New Roman" w:hAnsi="Times New Roman"/>
        </w:rPr>
        <w:t xml:space="preserve"> </w:t>
      </w:r>
      <w:r w:rsidRPr="001B53A8">
        <w:rPr>
          <w:rFonts w:ascii="Times New Roman" w:hAnsi="Times New Roman"/>
        </w:rPr>
        <w:t>novca</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finansiranja</w:t>
      </w:r>
      <w:r w:rsidR="00EF2179" w:rsidRPr="001B53A8">
        <w:rPr>
          <w:rFonts w:ascii="Times New Roman" w:hAnsi="Times New Roman"/>
        </w:rPr>
        <w:t xml:space="preserve"> </w:t>
      </w:r>
      <w:r w:rsidRPr="001B53A8">
        <w:rPr>
          <w:rFonts w:ascii="Times New Roman" w:hAnsi="Times New Roman"/>
        </w:rPr>
        <w:t>terorističkih</w:t>
      </w:r>
      <w:r w:rsidR="00EF2179" w:rsidRPr="001B53A8">
        <w:rPr>
          <w:rFonts w:ascii="Times New Roman" w:hAnsi="Times New Roman"/>
        </w:rPr>
        <w:t xml:space="preserve"> </w:t>
      </w:r>
      <w:r w:rsidRPr="001B53A8">
        <w:rPr>
          <w:rFonts w:ascii="Times New Roman" w:hAnsi="Times New Roman"/>
        </w:rPr>
        <w:t>aktivnosti</w:t>
      </w:r>
      <w:r w:rsidR="00EF2179" w:rsidRPr="001B53A8">
        <w:rPr>
          <w:rStyle w:val="FootnoteReference"/>
          <w:rFonts w:ascii="Times New Roman" w:hAnsi="Times New Roman"/>
        </w:rPr>
        <w:footnoteReference w:id="24"/>
      </w:r>
      <w:r w:rsidR="00EF2179" w:rsidRPr="001B53A8">
        <w:rPr>
          <w:rFonts w:ascii="Times New Roman" w:hAnsi="Times New Roman"/>
        </w:rPr>
        <w:t xml:space="preserve"> </w:t>
      </w:r>
      <w:r w:rsidRPr="001B53A8">
        <w:rPr>
          <w:rFonts w:ascii="Times New Roman" w:hAnsi="Times New Roman"/>
        </w:rPr>
        <w:t>ovlašćena</w:t>
      </w:r>
      <w:r w:rsidR="00EF2179" w:rsidRPr="001B53A8">
        <w:rPr>
          <w:rFonts w:ascii="Times New Roman" w:hAnsi="Times New Roman"/>
        </w:rPr>
        <w:t xml:space="preserve"> </w:t>
      </w:r>
      <w:r w:rsidRPr="001B53A8">
        <w:rPr>
          <w:rFonts w:ascii="Times New Roman" w:hAnsi="Times New Roman"/>
        </w:rPr>
        <w:t>da</w:t>
      </w:r>
      <w:r w:rsidR="00EF2179" w:rsidRPr="001B53A8">
        <w:rPr>
          <w:rFonts w:ascii="Times New Roman" w:hAnsi="Times New Roman"/>
        </w:rPr>
        <w:t xml:space="preserve"> </w:t>
      </w:r>
      <w:r w:rsidRPr="001B53A8">
        <w:rPr>
          <w:rFonts w:ascii="Times New Roman" w:hAnsi="Times New Roman"/>
        </w:rPr>
        <w:t>vrši</w:t>
      </w:r>
      <w:r w:rsidR="00EF2179" w:rsidRPr="001B53A8">
        <w:rPr>
          <w:rFonts w:ascii="Times New Roman" w:hAnsi="Times New Roman"/>
        </w:rPr>
        <w:t xml:space="preserve"> </w:t>
      </w:r>
      <w:r w:rsidRPr="001B53A8">
        <w:rPr>
          <w:rFonts w:ascii="Times New Roman" w:hAnsi="Times New Roman"/>
        </w:rPr>
        <w:t>nadzor</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preduzima</w:t>
      </w:r>
      <w:r w:rsidR="00EF2179" w:rsidRPr="001B53A8">
        <w:rPr>
          <w:rFonts w:ascii="Times New Roman" w:hAnsi="Times New Roman"/>
        </w:rPr>
        <w:t xml:space="preserve"> </w:t>
      </w:r>
      <w:r w:rsidRPr="001B53A8">
        <w:rPr>
          <w:rFonts w:ascii="Times New Roman" w:hAnsi="Times New Roman"/>
        </w:rPr>
        <w:t>potrebne</w:t>
      </w:r>
      <w:r w:rsidR="00EF2179" w:rsidRPr="001B53A8">
        <w:rPr>
          <w:rFonts w:ascii="Times New Roman" w:hAnsi="Times New Roman"/>
        </w:rPr>
        <w:t xml:space="preserve"> </w:t>
      </w:r>
      <w:r w:rsidRPr="001B53A8">
        <w:rPr>
          <w:rFonts w:ascii="Times New Roman" w:hAnsi="Times New Roman"/>
        </w:rPr>
        <w:t>mjere</w:t>
      </w:r>
      <w:r w:rsidR="00EF2179" w:rsidRPr="001B53A8">
        <w:rPr>
          <w:rFonts w:ascii="Times New Roman" w:hAnsi="Times New Roman"/>
        </w:rPr>
        <w:t xml:space="preserve"> </w:t>
      </w:r>
      <w:r w:rsidRPr="001B53A8">
        <w:rPr>
          <w:rFonts w:ascii="Times New Roman" w:hAnsi="Times New Roman"/>
        </w:rPr>
        <w:t>u</w:t>
      </w:r>
      <w:r w:rsidR="00EF2179" w:rsidRPr="001B53A8">
        <w:rPr>
          <w:rFonts w:ascii="Times New Roman" w:hAnsi="Times New Roman"/>
        </w:rPr>
        <w:t xml:space="preserve"> </w:t>
      </w:r>
      <w:r w:rsidRPr="001B53A8">
        <w:rPr>
          <w:rFonts w:ascii="Times New Roman" w:hAnsi="Times New Roman"/>
        </w:rPr>
        <w:t>vezi</w:t>
      </w:r>
      <w:r w:rsidR="00EF2179" w:rsidRPr="001B53A8">
        <w:rPr>
          <w:rFonts w:ascii="Times New Roman" w:hAnsi="Times New Roman"/>
        </w:rPr>
        <w:t xml:space="preserve"> </w:t>
      </w:r>
      <w:r w:rsidRPr="001B53A8">
        <w:rPr>
          <w:rFonts w:ascii="Times New Roman" w:hAnsi="Times New Roman"/>
        </w:rPr>
        <w:t>sa</w:t>
      </w:r>
      <w:r w:rsidR="00EF2179" w:rsidRPr="001B53A8">
        <w:rPr>
          <w:rFonts w:ascii="Times New Roman" w:hAnsi="Times New Roman"/>
        </w:rPr>
        <w:t xml:space="preserve"> </w:t>
      </w:r>
      <w:r w:rsidRPr="001B53A8">
        <w:rPr>
          <w:rFonts w:ascii="Times New Roman" w:hAnsi="Times New Roman"/>
        </w:rPr>
        <w:t>sprečavanjem</w:t>
      </w:r>
      <w:r w:rsidR="00EF2179" w:rsidRPr="001B53A8">
        <w:rPr>
          <w:rFonts w:ascii="Times New Roman" w:hAnsi="Times New Roman"/>
        </w:rPr>
        <w:t xml:space="preserve"> </w:t>
      </w:r>
      <w:r w:rsidRPr="001B53A8">
        <w:rPr>
          <w:rFonts w:ascii="Times New Roman" w:hAnsi="Times New Roman"/>
        </w:rPr>
        <w:t>pranja</w:t>
      </w:r>
      <w:r w:rsidR="00EF2179" w:rsidRPr="001B53A8">
        <w:rPr>
          <w:rFonts w:ascii="Times New Roman" w:hAnsi="Times New Roman"/>
        </w:rPr>
        <w:t xml:space="preserve"> </w:t>
      </w:r>
      <w:r w:rsidRPr="001B53A8">
        <w:rPr>
          <w:rFonts w:ascii="Times New Roman" w:hAnsi="Times New Roman"/>
        </w:rPr>
        <w:t>novca</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finansiranja</w:t>
      </w:r>
      <w:r w:rsidR="00EF2179" w:rsidRPr="001B53A8">
        <w:rPr>
          <w:rFonts w:ascii="Times New Roman" w:hAnsi="Times New Roman"/>
        </w:rPr>
        <w:t xml:space="preserve"> </w:t>
      </w:r>
      <w:r w:rsidRPr="001B53A8">
        <w:rPr>
          <w:rFonts w:ascii="Times New Roman" w:hAnsi="Times New Roman"/>
        </w:rPr>
        <w:t>terorističkih</w:t>
      </w:r>
      <w:r w:rsidR="00EF2179" w:rsidRPr="001B53A8">
        <w:rPr>
          <w:rFonts w:ascii="Times New Roman" w:hAnsi="Times New Roman"/>
        </w:rPr>
        <w:t xml:space="preserve"> </w:t>
      </w:r>
      <w:r w:rsidRPr="001B53A8">
        <w:rPr>
          <w:rFonts w:ascii="Times New Roman" w:hAnsi="Times New Roman"/>
        </w:rPr>
        <w:t>aktivnosti</w:t>
      </w:r>
      <w:r w:rsidR="00EF2179" w:rsidRPr="001B53A8">
        <w:rPr>
          <w:rFonts w:ascii="Times New Roman" w:hAnsi="Times New Roman"/>
        </w:rPr>
        <w:t xml:space="preserve"> </w:t>
      </w:r>
      <w:r w:rsidRPr="001B53A8">
        <w:rPr>
          <w:rFonts w:ascii="Times New Roman" w:hAnsi="Times New Roman"/>
        </w:rPr>
        <w:t>nad</w:t>
      </w:r>
      <w:r w:rsidR="00EF2179" w:rsidRPr="001B53A8">
        <w:rPr>
          <w:rFonts w:ascii="Times New Roman" w:hAnsi="Times New Roman"/>
        </w:rPr>
        <w:t xml:space="preserve"> </w:t>
      </w:r>
      <w:r w:rsidRPr="001B53A8">
        <w:rPr>
          <w:rFonts w:ascii="Times New Roman" w:hAnsi="Times New Roman"/>
        </w:rPr>
        <w:t>licima</w:t>
      </w:r>
      <w:r w:rsidR="00EF2179" w:rsidRPr="001B53A8">
        <w:rPr>
          <w:rFonts w:ascii="Times New Roman" w:hAnsi="Times New Roman"/>
        </w:rPr>
        <w:t xml:space="preserve"> </w:t>
      </w:r>
      <w:r w:rsidRPr="001B53A8">
        <w:rPr>
          <w:rFonts w:ascii="Times New Roman" w:hAnsi="Times New Roman"/>
        </w:rPr>
        <w:t>kojima</w:t>
      </w:r>
      <w:r w:rsidR="00EF2179" w:rsidRPr="001B53A8">
        <w:rPr>
          <w:rFonts w:ascii="Times New Roman" w:hAnsi="Times New Roman"/>
        </w:rPr>
        <w:t xml:space="preserve"> </w:t>
      </w:r>
      <w:r w:rsidRPr="001B53A8">
        <w:rPr>
          <w:rFonts w:ascii="Times New Roman" w:hAnsi="Times New Roman"/>
        </w:rPr>
        <w:t>daje</w:t>
      </w:r>
      <w:r w:rsidR="00EF2179" w:rsidRPr="001B53A8">
        <w:rPr>
          <w:rFonts w:ascii="Times New Roman" w:hAnsi="Times New Roman"/>
        </w:rPr>
        <w:t xml:space="preserve"> </w:t>
      </w:r>
      <w:r w:rsidRPr="001B53A8">
        <w:rPr>
          <w:rFonts w:ascii="Times New Roman" w:hAnsi="Times New Roman"/>
        </w:rPr>
        <w:t>dozvolu</w:t>
      </w:r>
      <w:r w:rsidR="00EF2179" w:rsidRPr="001B53A8">
        <w:rPr>
          <w:rFonts w:ascii="Times New Roman" w:hAnsi="Times New Roman"/>
        </w:rPr>
        <w:t xml:space="preserve"> </w:t>
      </w:r>
      <w:r w:rsidRPr="001B53A8">
        <w:rPr>
          <w:rFonts w:ascii="Times New Roman" w:hAnsi="Times New Roman"/>
        </w:rPr>
        <w:t>za</w:t>
      </w:r>
      <w:r w:rsidR="00EF2179" w:rsidRPr="001B53A8">
        <w:rPr>
          <w:rFonts w:ascii="Times New Roman" w:hAnsi="Times New Roman"/>
        </w:rPr>
        <w:t xml:space="preserve"> </w:t>
      </w:r>
      <w:r w:rsidRPr="001B53A8">
        <w:rPr>
          <w:rFonts w:ascii="Times New Roman" w:hAnsi="Times New Roman"/>
        </w:rPr>
        <w:t>obavlјanje</w:t>
      </w:r>
      <w:r w:rsidR="00EF2179" w:rsidRPr="001B53A8">
        <w:rPr>
          <w:rFonts w:ascii="Times New Roman" w:hAnsi="Times New Roman"/>
        </w:rPr>
        <w:t xml:space="preserve"> </w:t>
      </w:r>
      <w:r w:rsidRPr="001B53A8">
        <w:rPr>
          <w:rFonts w:ascii="Times New Roman" w:hAnsi="Times New Roman"/>
        </w:rPr>
        <w:t>poslova</w:t>
      </w:r>
      <w:r w:rsidR="00EF2179" w:rsidRPr="001B53A8">
        <w:rPr>
          <w:rFonts w:ascii="Times New Roman" w:hAnsi="Times New Roman"/>
        </w:rPr>
        <w:t xml:space="preserve">. </w:t>
      </w:r>
    </w:p>
    <w:p w14:paraId="18EAF417" w14:textId="4A7484AD" w:rsidR="00EF2179" w:rsidRPr="001B53A8" w:rsidRDefault="00003F34" w:rsidP="00EF2179">
      <w:pPr>
        <w:pStyle w:val="Style15"/>
        <w:widowControl/>
        <w:spacing w:before="120" w:line="240" w:lineRule="auto"/>
        <w:ind w:firstLine="567"/>
        <w:rPr>
          <w:rFonts w:ascii="Times New Roman" w:hAnsi="Times New Roman"/>
        </w:rPr>
      </w:pPr>
      <w:r w:rsidRPr="001B53A8">
        <w:rPr>
          <w:rFonts w:ascii="Times New Roman" w:hAnsi="Times New Roman"/>
        </w:rPr>
        <w:t>Prema</w:t>
      </w:r>
      <w:r w:rsidR="00EF2179" w:rsidRPr="001B53A8">
        <w:rPr>
          <w:rFonts w:ascii="Times New Roman" w:hAnsi="Times New Roman"/>
        </w:rPr>
        <w:t xml:space="preserve"> </w:t>
      </w:r>
      <w:r w:rsidRPr="001B53A8">
        <w:rPr>
          <w:rFonts w:ascii="Times New Roman" w:hAnsi="Times New Roman"/>
        </w:rPr>
        <w:t>odredbama</w:t>
      </w:r>
      <w:r w:rsidR="00EF2179" w:rsidRPr="001B53A8">
        <w:rPr>
          <w:rFonts w:ascii="Times New Roman" w:hAnsi="Times New Roman"/>
        </w:rPr>
        <w:t xml:space="preserve"> </w:t>
      </w:r>
      <w:r w:rsidRPr="001B53A8">
        <w:rPr>
          <w:rFonts w:ascii="Times New Roman" w:hAnsi="Times New Roman"/>
        </w:rPr>
        <w:t>Zakona</w:t>
      </w:r>
      <w:r w:rsidR="00EF2179" w:rsidRPr="001B53A8">
        <w:rPr>
          <w:rFonts w:ascii="Times New Roman" w:hAnsi="Times New Roman"/>
        </w:rPr>
        <w:t xml:space="preserve"> </w:t>
      </w:r>
      <w:r w:rsidRPr="001B53A8">
        <w:rPr>
          <w:rFonts w:ascii="Times New Roman" w:hAnsi="Times New Roman"/>
        </w:rPr>
        <w:t>o</w:t>
      </w:r>
      <w:r w:rsidR="00EF2179" w:rsidRPr="001B53A8">
        <w:rPr>
          <w:rFonts w:ascii="Times New Roman" w:hAnsi="Times New Roman"/>
        </w:rPr>
        <w:t xml:space="preserve"> </w:t>
      </w:r>
      <w:r w:rsidRPr="001B53A8">
        <w:rPr>
          <w:rFonts w:ascii="Times New Roman" w:hAnsi="Times New Roman"/>
        </w:rPr>
        <w:t>investicionim</w:t>
      </w:r>
      <w:r w:rsidR="00EF2179" w:rsidRPr="001B53A8">
        <w:rPr>
          <w:rFonts w:ascii="Times New Roman" w:hAnsi="Times New Roman"/>
        </w:rPr>
        <w:t xml:space="preserve"> </w:t>
      </w:r>
      <w:r w:rsidRPr="001B53A8">
        <w:rPr>
          <w:rFonts w:ascii="Times New Roman" w:hAnsi="Times New Roman"/>
        </w:rPr>
        <w:t>fondovima</w:t>
      </w:r>
      <w:r w:rsidR="00EF2179" w:rsidRPr="001B53A8">
        <w:rPr>
          <w:rStyle w:val="FootnoteReference"/>
          <w:rFonts w:ascii="Times New Roman" w:hAnsi="Times New Roman"/>
        </w:rPr>
        <w:footnoteReference w:id="25"/>
      </w:r>
      <w:r w:rsidR="00EF2179" w:rsidRPr="001B53A8">
        <w:rPr>
          <w:rFonts w:ascii="Times New Roman" w:hAnsi="Times New Roman"/>
        </w:rPr>
        <w:t xml:space="preserve">, </w:t>
      </w:r>
      <w:r w:rsidRPr="001B53A8">
        <w:rPr>
          <w:rFonts w:ascii="Times New Roman" w:hAnsi="Times New Roman"/>
        </w:rPr>
        <w:t>Komisija</w:t>
      </w:r>
      <w:r w:rsidR="00EF2179" w:rsidRPr="001B53A8">
        <w:rPr>
          <w:rFonts w:ascii="Times New Roman" w:hAnsi="Times New Roman"/>
        </w:rPr>
        <w:t xml:space="preserve"> </w:t>
      </w:r>
      <w:r w:rsidRPr="001B53A8">
        <w:rPr>
          <w:rFonts w:ascii="Times New Roman" w:hAnsi="Times New Roman"/>
        </w:rPr>
        <w:t>je</w:t>
      </w:r>
      <w:r w:rsidR="00EF2179" w:rsidRPr="001B53A8">
        <w:rPr>
          <w:rFonts w:ascii="Times New Roman" w:hAnsi="Times New Roman"/>
        </w:rPr>
        <w:t xml:space="preserve"> </w:t>
      </w:r>
      <w:r w:rsidRPr="001B53A8">
        <w:rPr>
          <w:rFonts w:ascii="Times New Roman" w:hAnsi="Times New Roman"/>
        </w:rPr>
        <w:t>ovlašćena</w:t>
      </w:r>
      <w:r w:rsidR="00EF2179" w:rsidRPr="001B53A8">
        <w:rPr>
          <w:rFonts w:ascii="Times New Roman" w:hAnsi="Times New Roman"/>
        </w:rPr>
        <w:t xml:space="preserve"> </w:t>
      </w:r>
      <w:r w:rsidRPr="001B53A8">
        <w:rPr>
          <w:rFonts w:ascii="Times New Roman" w:hAnsi="Times New Roman"/>
        </w:rPr>
        <w:t>da</w:t>
      </w:r>
      <w:r w:rsidR="00EF2179" w:rsidRPr="001B53A8">
        <w:rPr>
          <w:rFonts w:ascii="Times New Roman" w:hAnsi="Times New Roman"/>
        </w:rPr>
        <w:t xml:space="preserve"> </w:t>
      </w:r>
      <w:r w:rsidRPr="001B53A8">
        <w:rPr>
          <w:rFonts w:ascii="Times New Roman" w:hAnsi="Times New Roman"/>
        </w:rPr>
        <w:t>obavlјa</w:t>
      </w:r>
      <w:r w:rsidR="00EF2179" w:rsidRPr="001B53A8">
        <w:rPr>
          <w:rFonts w:ascii="Times New Roman" w:hAnsi="Times New Roman"/>
        </w:rPr>
        <w:t xml:space="preserve"> </w:t>
      </w:r>
      <w:r w:rsidRPr="001B53A8">
        <w:rPr>
          <w:rFonts w:ascii="Times New Roman" w:hAnsi="Times New Roman"/>
        </w:rPr>
        <w:t>redovni</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vanredni</w:t>
      </w:r>
      <w:r w:rsidR="00EF2179" w:rsidRPr="001B53A8">
        <w:rPr>
          <w:rFonts w:ascii="Times New Roman" w:hAnsi="Times New Roman"/>
        </w:rPr>
        <w:t xml:space="preserve"> </w:t>
      </w:r>
      <w:r w:rsidRPr="001B53A8">
        <w:rPr>
          <w:rFonts w:ascii="Times New Roman" w:hAnsi="Times New Roman"/>
        </w:rPr>
        <w:t>nadzor</w:t>
      </w:r>
      <w:r w:rsidR="00EF2179" w:rsidRPr="001B53A8">
        <w:rPr>
          <w:rFonts w:ascii="Times New Roman" w:hAnsi="Times New Roman"/>
        </w:rPr>
        <w:t xml:space="preserve"> </w:t>
      </w:r>
      <w:r w:rsidRPr="001B53A8">
        <w:rPr>
          <w:rFonts w:ascii="Times New Roman" w:hAnsi="Times New Roman"/>
        </w:rPr>
        <w:t>zatvorenih</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otvorenih</w:t>
      </w:r>
      <w:r w:rsidR="00EF2179" w:rsidRPr="001B53A8">
        <w:rPr>
          <w:rFonts w:ascii="Times New Roman" w:hAnsi="Times New Roman"/>
        </w:rPr>
        <w:t xml:space="preserve"> </w:t>
      </w:r>
      <w:r w:rsidRPr="001B53A8">
        <w:rPr>
          <w:rFonts w:ascii="Times New Roman" w:hAnsi="Times New Roman"/>
        </w:rPr>
        <w:t>investicionih</w:t>
      </w:r>
      <w:r w:rsidR="00EF2179" w:rsidRPr="001B53A8">
        <w:rPr>
          <w:rFonts w:ascii="Times New Roman" w:hAnsi="Times New Roman"/>
        </w:rPr>
        <w:t xml:space="preserve"> </w:t>
      </w:r>
      <w:r w:rsidRPr="001B53A8">
        <w:rPr>
          <w:rFonts w:ascii="Times New Roman" w:hAnsi="Times New Roman"/>
        </w:rPr>
        <w:t>fondova</w:t>
      </w:r>
      <w:r w:rsidR="00EF2179" w:rsidRPr="001B53A8">
        <w:rPr>
          <w:rFonts w:ascii="Times New Roman" w:hAnsi="Times New Roman"/>
        </w:rPr>
        <w:t xml:space="preserve">, </w:t>
      </w:r>
      <w:r w:rsidRPr="001B53A8">
        <w:rPr>
          <w:rFonts w:ascii="Times New Roman" w:hAnsi="Times New Roman"/>
        </w:rPr>
        <w:t>društava</w:t>
      </w:r>
      <w:r w:rsidR="00EF2179" w:rsidRPr="001B53A8">
        <w:rPr>
          <w:rFonts w:ascii="Times New Roman" w:hAnsi="Times New Roman"/>
        </w:rPr>
        <w:t xml:space="preserve"> </w:t>
      </w:r>
      <w:r w:rsidRPr="001B53A8">
        <w:rPr>
          <w:rFonts w:ascii="Times New Roman" w:hAnsi="Times New Roman"/>
        </w:rPr>
        <w:t>za</w:t>
      </w:r>
      <w:r w:rsidR="00EF2179" w:rsidRPr="001B53A8">
        <w:rPr>
          <w:rFonts w:ascii="Times New Roman" w:hAnsi="Times New Roman"/>
        </w:rPr>
        <w:t xml:space="preserve"> </w:t>
      </w:r>
      <w:r w:rsidRPr="001B53A8">
        <w:rPr>
          <w:rFonts w:ascii="Times New Roman" w:hAnsi="Times New Roman"/>
        </w:rPr>
        <w:t>upravlјanje</w:t>
      </w:r>
      <w:r w:rsidR="00EF2179" w:rsidRPr="001B53A8">
        <w:rPr>
          <w:rFonts w:ascii="Times New Roman" w:hAnsi="Times New Roman"/>
        </w:rPr>
        <w:t xml:space="preserve"> </w:t>
      </w:r>
      <w:r w:rsidRPr="001B53A8">
        <w:rPr>
          <w:rFonts w:ascii="Times New Roman" w:hAnsi="Times New Roman"/>
        </w:rPr>
        <w:t>fondovima</w:t>
      </w:r>
      <w:r w:rsidR="00EF2179" w:rsidRPr="001B53A8">
        <w:rPr>
          <w:rFonts w:ascii="Times New Roman" w:hAnsi="Times New Roman"/>
        </w:rPr>
        <w:t xml:space="preserve">, </w:t>
      </w:r>
      <w:r w:rsidRPr="001B53A8">
        <w:rPr>
          <w:rFonts w:ascii="Times New Roman" w:hAnsi="Times New Roman"/>
        </w:rPr>
        <w:t>zastupnika</w:t>
      </w:r>
      <w:r w:rsidR="00EF2179" w:rsidRPr="001B53A8">
        <w:rPr>
          <w:rFonts w:ascii="Times New Roman" w:hAnsi="Times New Roman"/>
        </w:rPr>
        <w:t xml:space="preserve"> </w:t>
      </w:r>
      <w:r w:rsidRPr="001B53A8">
        <w:rPr>
          <w:rFonts w:ascii="Times New Roman" w:hAnsi="Times New Roman"/>
        </w:rPr>
        <w:t>u</w:t>
      </w:r>
      <w:r w:rsidR="00EF2179" w:rsidRPr="001B53A8">
        <w:rPr>
          <w:rFonts w:ascii="Times New Roman" w:hAnsi="Times New Roman"/>
        </w:rPr>
        <w:t xml:space="preserve"> </w:t>
      </w:r>
      <w:r w:rsidRPr="001B53A8">
        <w:rPr>
          <w:rFonts w:ascii="Times New Roman" w:hAnsi="Times New Roman"/>
        </w:rPr>
        <w:t>prodaji</w:t>
      </w:r>
      <w:r w:rsidR="00EF2179" w:rsidRPr="001B53A8">
        <w:rPr>
          <w:rFonts w:ascii="Times New Roman" w:hAnsi="Times New Roman"/>
        </w:rPr>
        <w:t xml:space="preserve"> </w:t>
      </w:r>
      <w:r w:rsidRPr="001B53A8">
        <w:rPr>
          <w:rFonts w:ascii="Times New Roman" w:hAnsi="Times New Roman"/>
        </w:rPr>
        <w:t>udjela</w:t>
      </w:r>
      <w:r w:rsidR="00EF2179" w:rsidRPr="001B53A8">
        <w:rPr>
          <w:rFonts w:ascii="Times New Roman" w:hAnsi="Times New Roman"/>
        </w:rPr>
        <w:t xml:space="preserve"> </w:t>
      </w:r>
      <w:r w:rsidRPr="001B53A8">
        <w:rPr>
          <w:rFonts w:ascii="Times New Roman" w:hAnsi="Times New Roman"/>
        </w:rPr>
        <w:t>ili</w:t>
      </w:r>
      <w:r w:rsidR="00EF2179" w:rsidRPr="001B53A8">
        <w:rPr>
          <w:rFonts w:ascii="Times New Roman" w:hAnsi="Times New Roman"/>
        </w:rPr>
        <w:t xml:space="preserve"> </w:t>
      </w:r>
      <w:r w:rsidRPr="001B53A8">
        <w:rPr>
          <w:rFonts w:ascii="Times New Roman" w:hAnsi="Times New Roman"/>
        </w:rPr>
        <w:t>akcija</w:t>
      </w:r>
      <w:r w:rsidR="00EF2179" w:rsidRPr="001B53A8">
        <w:rPr>
          <w:rFonts w:ascii="Times New Roman" w:hAnsi="Times New Roman"/>
        </w:rPr>
        <w:t xml:space="preserve">, </w:t>
      </w:r>
      <w:r w:rsidRPr="001B53A8">
        <w:rPr>
          <w:rFonts w:ascii="Times New Roman" w:hAnsi="Times New Roman"/>
        </w:rPr>
        <w:t>banke</w:t>
      </w:r>
      <w:r w:rsidR="00EF2179" w:rsidRPr="001B53A8">
        <w:rPr>
          <w:rFonts w:ascii="Times New Roman" w:hAnsi="Times New Roman"/>
        </w:rPr>
        <w:t xml:space="preserve"> </w:t>
      </w:r>
      <w:r w:rsidRPr="001B53A8">
        <w:rPr>
          <w:rFonts w:ascii="Times New Roman" w:hAnsi="Times New Roman"/>
        </w:rPr>
        <w:t>depozitara</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svakog</w:t>
      </w:r>
      <w:r w:rsidR="00EF2179" w:rsidRPr="001B53A8">
        <w:rPr>
          <w:rFonts w:ascii="Times New Roman" w:hAnsi="Times New Roman"/>
        </w:rPr>
        <w:t xml:space="preserve"> </w:t>
      </w:r>
      <w:r w:rsidRPr="001B53A8">
        <w:rPr>
          <w:rFonts w:ascii="Times New Roman" w:hAnsi="Times New Roman"/>
        </w:rPr>
        <w:t>drugog</w:t>
      </w:r>
      <w:r w:rsidR="00EF2179" w:rsidRPr="001B53A8">
        <w:rPr>
          <w:rFonts w:ascii="Times New Roman" w:hAnsi="Times New Roman"/>
        </w:rPr>
        <w:t xml:space="preserve"> </w:t>
      </w:r>
      <w:r w:rsidRPr="001B53A8">
        <w:rPr>
          <w:rFonts w:ascii="Times New Roman" w:hAnsi="Times New Roman"/>
        </w:rPr>
        <w:t>lica</w:t>
      </w:r>
      <w:r w:rsidR="00EF2179" w:rsidRPr="001B53A8">
        <w:rPr>
          <w:rFonts w:ascii="Times New Roman" w:hAnsi="Times New Roman"/>
        </w:rPr>
        <w:t xml:space="preserve"> </w:t>
      </w:r>
      <w:r w:rsidRPr="001B53A8">
        <w:rPr>
          <w:rFonts w:ascii="Times New Roman" w:hAnsi="Times New Roman"/>
        </w:rPr>
        <w:t>koje</w:t>
      </w:r>
      <w:r w:rsidR="00EF2179" w:rsidRPr="001B53A8">
        <w:rPr>
          <w:rFonts w:ascii="Times New Roman" w:hAnsi="Times New Roman"/>
        </w:rPr>
        <w:t xml:space="preserve"> </w:t>
      </w:r>
      <w:r w:rsidRPr="001B53A8">
        <w:rPr>
          <w:rFonts w:ascii="Times New Roman" w:hAnsi="Times New Roman"/>
        </w:rPr>
        <w:t>obavlјa</w:t>
      </w:r>
      <w:r w:rsidR="00EF2179" w:rsidRPr="001B53A8">
        <w:rPr>
          <w:rFonts w:ascii="Times New Roman" w:hAnsi="Times New Roman"/>
        </w:rPr>
        <w:t xml:space="preserve"> </w:t>
      </w:r>
      <w:r w:rsidRPr="001B53A8">
        <w:rPr>
          <w:rFonts w:ascii="Times New Roman" w:hAnsi="Times New Roman"/>
        </w:rPr>
        <w:t>posao</w:t>
      </w:r>
      <w:r w:rsidR="00EF2179" w:rsidRPr="001B53A8">
        <w:rPr>
          <w:rFonts w:ascii="Times New Roman" w:hAnsi="Times New Roman"/>
        </w:rPr>
        <w:t xml:space="preserve"> </w:t>
      </w:r>
      <w:r w:rsidRPr="001B53A8">
        <w:rPr>
          <w:rFonts w:ascii="Times New Roman" w:hAnsi="Times New Roman"/>
        </w:rPr>
        <w:t>za</w:t>
      </w:r>
      <w:r w:rsidR="00EF2179" w:rsidRPr="001B53A8">
        <w:rPr>
          <w:rFonts w:ascii="Times New Roman" w:hAnsi="Times New Roman"/>
        </w:rPr>
        <w:t xml:space="preserve"> </w:t>
      </w:r>
      <w:r w:rsidRPr="001B53A8">
        <w:rPr>
          <w:rFonts w:ascii="Times New Roman" w:hAnsi="Times New Roman"/>
        </w:rPr>
        <w:t>koji</w:t>
      </w:r>
      <w:r w:rsidR="00EF2179" w:rsidRPr="001B53A8">
        <w:rPr>
          <w:rFonts w:ascii="Times New Roman" w:hAnsi="Times New Roman"/>
        </w:rPr>
        <w:t xml:space="preserve"> </w:t>
      </w:r>
      <w:r w:rsidRPr="001B53A8">
        <w:rPr>
          <w:rFonts w:ascii="Times New Roman" w:hAnsi="Times New Roman"/>
        </w:rPr>
        <w:t>je</w:t>
      </w:r>
      <w:r w:rsidR="00EF2179" w:rsidRPr="001B53A8">
        <w:rPr>
          <w:rFonts w:ascii="Times New Roman" w:hAnsi="Times New Roman"/>
        </w:rPr>
        <w:t xml:space="preserve"> </w:t>
      </w:r>
      <w:r w:rsidRPr="001B53A8">
        <w:rPr>
          <w:rFonts w:ascii="Times New Roman" w:hAnsi="Times New Roman"/>
        </w:rPr>
        <w:t>odgovorno</w:t>
      </w:r>
      <w:r w:rsidR="00EF2179" w:rsidRPr="001B53A8">
        <w:rPr>
          <w:rFonts w:ascii="Times New Roman" w:hAnsi="Times New Roman"/>
        </w:rPr>
        <w:t xml:space="preserve"> </w:t>
      </w:r>
      <w:r w:rsidRPr="001B53A8">
        <w:rPr>
          <w:rFonts w:ascii="Times New Roman" w:hAnsi="Times New Roman"/>
        </w:rPr>
        <w:t>neko</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ovih</w:t>
      </w:r>
      <w:r w:rsidR="00EF2179" w:rsidRPr="001B53A8">
        <w:rPr>
          <w:rFonts w:ascii="Times New Roman" w:hAnsi="Times New Roman"/>
        </w:rPr>
        <w:t xml:space="preserve"> </w:t>
      </w:r>
      <w:r w:rsidRPr="001B53A8">
        <w:rPr>
          <w:rFonts w:ascii="Times New Roman" w:hAnsi="Times New Roman"/>
        </w:rPr>
        <w:t>lica</w:t>
      </w:r>
      <w:r w:rsidR="00EF2179" w:rsidRPr="001B53A8">
        <w:rPr>
          <w:rFonts w:ascii="Times New Roman" w:hAnsi="Times New Roman"/>
        </w:rPr>
        <w:t xml:space="preserve">. </w:t>
      </w:r>
      <w:r w:rsidRPr="001B53A8">
        <w:rPr>
          <w:rFonts w:ascii="Times New Roman" w:hAnsi="Times New Roman"/>
        </w:rPr>
        <w:t>Komisija</w:t>
      </w:r>
      <w:r w:rsidR="00EF2179" w:rsidRPr="001B53A8">
        <w:rPr>
          <w:rFonts w:ascii="Times New Roman" w:hAnsi="Times New Roman"/>
        </w:rPr>
        <w:t xml:space="preserve"> </w:t>
      </w:r>
      <w:r w:rsidRPr="001B53A8">
        <w:rPr>
          <w:rFonts w:ascii="Times New Roman" w:hAnsi="Times New Roman"/>
        </w:rPr>
        <w:t>provodi</w:t>
      </w:r>
      <w:r w:rsidR="00EF2179" w:rsidRPr="001B53A8">
        <w:rPr>
          <w:rFonts w:ascii="Times New Roman" w:hAnsi="Times New Roman"/>
        </w:rPr>
        <w:t xml:space="preserve"> </w:t>
      </w:r>
      <w:r w:rsidRPr="001B53A8">
        <w:rPr>
          <w:rFonts w:ascii="Times New Roman" w:hAnsi="Times New Roman"/>
        </w:rPr>
        <w:t>kontrolne</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nadzorne</w:t>
      </w:r>
      <w:r w:rsidR="00EF2179" w:rsidRPr="001B53A8">
        <w:rPr>
          <w:rFonts w:ascii="Times New Roman" w:hAnsi="Times New Roman"/>
        </w:rPr>
        <w:t xml:space="preserve"> </w:t>
      </w:r>
      <w:r w:rsidRPr="001B53A8">
        <w:rPr>
          <w:rFonts w:ascii="Times New Roman" w:hAnsi="Times New Roman"/>
        </w:rPr>
        <w:t>aktivnosti</w:t>
      </w:r>
      <w:r w:rsidR="00EF2179" w:rsidRPr="001B53A8">
        <w:rPr>
          <w:rFonts w:ascii="Times New Roman" w:hAnsi="Times New Roman"/>
        </w:rPr>
        <w:t xml:space="preserve"> </w:t>
      </w:r>
      <w:r w:rsidRPr="001B53A8">
        <w:rPr>
          <w:rFonts w:ascii="Times New Roman" w:hAnsi="Times New Roman"/>
        </w:rPr>
        <w:t>nad</w:t>
      </w:r>
      <w:r w:rsidR="00EF2179" w:rsidRPr="001B53A8">
        <w:rPr>
          <w:rFonts w:ascii="Times New Roman" w:hAnsi="Times New Roman"/>
        </w:rPr>
        <w:t xml:space="preserve"> </w:t>
      </w:r>
      <w:r w:rsidRPr="001B53A8">
        <w:rPr>
          <w:rFonts w:ascii="Times New Roman" w:hAnsi="Times New Roman"/>
        </w:rPr>
        <w:t>svim</w:t>
      </w:r>
      <w:r w:rsidR="00EF2179" w:rsidRPr="001B53A8">
        <w:rPr>
          <w:rFonts w:ascii="Times New Roman" w:hAnsi="Times New Roman"/>
        </w:rPr>
        <w:t xml:space="preserve"> </w:t>
      </w:r>
      <w:r w:rsidRPr="001B53A8">
        <w:rPr>
          <w:rFonts w:ascii="Times New Roman" w:hAnsi="Times New Roman"/>
        </w:rPr>
        <w:t>učesnicima</w:t>
      </w:r>
      <w:r w:rsidR="00EF2179" w:rsidRPr="001B53A8">
        <w:rPr>
          <w:rFonts w:ascii="Times New Roman" w:hAnsi="Times New Roman"/>
        </w:rPr>
        <w:t xml:space="preserve"> </w:t>
      </w:r>
      <w:r w:rsidRPr="001B53A8">
        <w:rPr>
          <w:rFonts w:ascii="Times New Roman" w:hAnsi="Times New Roman"/>
        </w:rPr>
        <w:t>na</w:t>
      </w:r>
      <w:r w:rsidR="00EF2179" w:rsidRPr="001B53A8">
        <w:rPr>
          <w:rFonts w:ascii="Times New Roman" w:hAnsi="Times New Roman"/>
        </w:rPr>
        <w:t xml:space="preserve"> </w:t>
      </w:r>
      <w:r w:rsidRPr="001B53A8">
        <w:rPr>
          <w:rFonts w:ascii="Times New Roman" w:hAnsi="Times New Roman"/>
        </w:rPr>
        <w:t>tržištu</w:t>
      </w:r>
      <w:r w:rsidR="00EF2179" w:rsidRPr="001B53A8">
        <w:rPr>
          <w:rFonts w:ascii="Times New Roman" w:hAnsi="Times New Roman"/>
        </w:rPr>
        <w:t xml:space="preserve"> </w:t>
      </w:r>
      <w:r w:rsidRPr="001B53A8">
        <w:rPr>
          <w:rFonts w:ascii="Times New Roman" w:hAnsi="Times New Roman"/>
        </w:rPr>
        <w:t>hartija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vrijednosti</w:t>
      </w:r>
      <w:r w:rsidR="00EF2179" w:rsidRPr="001B53A8">
        <w:rPr>
          <w:rFonts w:ascii="Times New Roman" w:hAnsi="Times New Roman"/>
        </w:rPr>
        <w:t xml:space="preserve">, </w:t>
      </w:r>
      <w:r w:rsidRPr="001B53A8">
        <w:rPr>
          <w:rFonts w:ascii="Times New Roman" w:hAnsi="Times New Roman"/>
        </w:rPr>
        <w:t>sa</w:t>
      </w:r>
      <w:r w:rsidR="00EF2179" w:rsidRPr="001B53A8">
        <w:rPr>
          <w:rFonts w:ascii="Times New Roman" w:hAnsi="Times New Roman"/>
        </w:rPr>
        <w:t xml:space="preserve"> </w:t>
      </w:r>
      <w:r w:rsidRPr="001B53A8">
        <w:rPr>
          <w:rFonts w:ascii="Times New Roman" w:hAnsi="Times New Roman"/>
        </w:rPr>
        <w:t>cilјem</w:t>
      </w:r>
      <w:r w:rsidR="00EF2179" w:rsidRPr="001B53A8">
        <w:rPr>
          <w:rFonts w:ascii="Times New Roman" w:hAnsi="Times New Roman"/>
        </w:rPr>
        <w:t xml:space="preserve"> </w:t>
      </w:r>
      <w:r w:rsidRPr="001B53A8">
        <w:rPr>
          <w:rFonts w:ascii="Times New Roman" w:hAnsi="Times New Roman"/>
        </w:rPr>
        <w:t>da</w:t>
      </w:r>
      <w:r w:rsidR="00EF2179" w:rsidRPr="001B53A8">
        <w:rPr>
          <w:rFonts w:ascii="Times New Roman" w:hAnsi="Times New Roman"/>
        </w:rPr>
        <w:t xml:space="preserve"> </w:t>
      </w:r>
      <w:r w:rsidRPr="001B53A8">
        <w:rPr>
          <w:rFonts w:ascii="Times New Roman" w:hAnsi="Times New Roman"/>
        </w:rPr>
        <w:t>se</w:t>
      </w:r>
      <w:r w:rsidR="00EF2179" w:rsidRPr="001B53A8">
        <w:rPr>
          <w:rFonts w:ascii="Times New Roman" w:hAnsi="Times New Roman"/>
        </w:rPr>
        <w:t xml:space="preserve"> </w:t>
      </w:r>
      <w:r w:rsidRPr="001B53A8">
        <w:rPr>
          <w:rFonts w:ascii="Times New Roman" w:hAnsi="Times New Roman"/>
        </w:rPr>
        <w:t>osigura</w:t>
      </w:r>
      <w:r w:rsidR="00EF2179" w:rsidRPr="001B53A8">
        <w:rPr>
          <w:rFonts w:ascii="Times New Roman" w:hAnsi="Times New Roman"/>
        </w:rPr>
        <w:t xml:space="preserve"> </w:t>
      </w:r>
      <w:r w:rsidRPr="001B53A8">
        <w:rPr>
          <w:rFonts w:ascii="Times New Roman" w:hAnsi="Times New Roman"/>
        </w:rPr>
        <w:t>efikasno</w:t>
      </w:r>
      <w:r w:rsidR="00EF2179" w:rsidRPr="001B53A8">
        <w:rPr>
          <w:rFonts w:ascii="Times New Roman" w:hAnsi="Times New Roman"/>
        </w:rPr>
        <w:t xml:space="preserve"> </w:t>
      </w:r>
      <w:r w:rsidRPr="001B53A8">
        <w:rPr>
          <w:rFonts w:ascii="Times New Roman" w:hAnsi="Times New Roman"/>
        </w:rPr>
        <w:t>funkcionisanje</w:t>
      </w:r>
      <w:r w:rsidR="00EF2179" w:rsidRPr="001B53A8">
        <w:rPr>
          <w:rFonts w:ascii="Times New Roman" w:hAnsi="Times New Roman"/>
        </w:rPr>
        <w:t xml:space="preserve"> </w:t>
      </w:r>
      <w:r w:rsidRPr="001B53A8">
        <w:rPr>
          <w:rFonts w:ascii="Times New Roman" w:hAnsi="Times New Roman"/>
        </w:rPr>
        <w:t>tržišta</w:t>
      </w:r>
      <w:r w:rsidR="00EF2179" w:rsidRPr="001B53A8">
        <w:rPr>
          <w:rFonts w:ascii="Times New Roman" w:hAnsi="Times New Roman"/>
        </w:rPr>
        <w:t xml:space="preserve"> </w:t>
      </w:r>
      <w:r w:rsidRPr="001B53A8">
        <w:rPr>
          <w:rFonts w:ascii="Times New Roman" w:hAnsi="Times New Roman"/>
        </w:rPr>
        <w:t>hartija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vrijednosti</w:t>
      </w:r>
      <w:r w:rsidR="00EF2179" w:rsidRPr="001B53A8">
        <w:rPr>
          <w:rFonts w:ascii="Times New Roman" w:hAnsi="Times New Roman"/>
        </w:rPr>
        <w:t xml:space="preserve">. </w:t>
      </w:r>
    </w:p>
    <w:p w14:paraId="08A2E3D6" w14:textId="348658F8" w:rsidR="00EF2179" w:rsidRPr="001B53A8" w:rsidRDefault="00003F34" w:rsidP="00EF2179">
      <w:pPr>
        <w:pStyle w:val="Style15"/>
        <w:widowControl/>
        <w:spacing w:before="120" w:line="240" w:lineRule="auto"/>
        <w:ind w:firstLine="567"/>
        <w:rPr>
          <w:rFonts w:ascii="Times New Roman" w:hAnsi="Times New Roman"/>
        </w:rPr>
      </w:pPr>
      <w:r w:rsidRPr="001B53A8">
        <w:rPr>
          <w:rFonts w:ascii="Times New Roman" w:hAnsi="Times New Roman"/>
        </w:rPr>
        <w:t>Prema</w:t>
      </w:r>
      <w:r w:rsidR="00EF2179" w:rsidRPr="001B53A8">
        <w:rPr>
          <w:rFonts w:ascii="Times New Roman" w:hAnsi="Times New Roman"/>
        </w:rPr>
        <w:t xml:space="preserve"> </w:t>
      </w:r>
      <w:r w:rsidRPr="001B53A8">
        <w:rPr>
          <w:rFonts w:ascii="Times New Roman" w:hAnsi="Times New Roman"/>
        </w:rPr>
        <w:t>Pravilniku</w:t>
      </w:r>
      <w:r w:rsidR="00EF2179" w:rsidRPr="001B53A8">
        <w:rPr>
          <w:rFonts w:ascii="Times New Roman" w:hAnsi="Times New Roman"/>
        </w:rPr>
        <w:t xml:space="preserve"> </w:t>
      </w:r>
      <w:r w:rsidRPr="001B53A8">
        <w:rPr>
          <w:rFonts w:ascii="Times New Roman" w:hAnsi="Times New Roman"/>
        </w:rPr>
        <w:t>o</w:t>
      </w:r>
      <w:r w:rsidR="00EF2179" w:rsidRPr="001B53A8">
        <w:rPr>
          <w:rFonts w:ascii="Times New Roman" w:hAnsi="Times New Roman"/>
        </w:rPr>
        <w:t xml:space="preserve"> </w:t>
      </w:r>
      <w:r w:rsidRPr="001B53A8">
        <w:rPr>
          <w:rFonts w:ascii="Times New Roman" w:hAnsi="Times New Roman"/>
        </w:rPr>
        <w:t>nadzoru</w:t>
      </w:r>
      <w:r w:rsidR="00EF2179" w:rsidRPr="001B53A8">
        <w:rPr>
          <w:rFonts w:ascii="Times New Roman" w:hAnsi="Times New Roman"/>
        </w:rPr>
        <w:t xml:space="preserve"> </w:t>
      </w:r>
      <w:r w:rsidRPr="001B53A8">
        <w:rPr>
          <w:rFonts w:ascii="Times New Roman" w:hAnsi="Times New Roman"/>
        </w:rPr>
        <w:t>nad</w:t>
      </w:r>
      <w:r w:rsidR="00EF2179" w:rsidRPr="001B53A8">
        <w:rPr>
          <w:rFonts w:ascii="Times New Roman" w:hAnsi="Times New Roman"/>
        </w:rPr>
        <w:t xml:space="preserve"> </w:t>
      </w:r>
      <w:r w:rsidRPr="001B53A8">
        <w:rPr>
          <w:rFonts w:ascii="Times New Roman" w:hAnsi="Times New Roman"/>
        </w:rPr>
        <w:t>učesnicima</w:t>
      </w:r>
      <w:r w:rsidR="00EF2179" w:rsidRPr="001B53A8">
        <w:rPr>
          <w:rFonts w:ascii="Times New Roman" w:hAnsi="Times New Roman"/>
        </w:rPr>
        <w:t xml:space="preserve"> </w:t>
      </w:r>
      <w:r w:rsidRPr="001B53A8">
        <w:rPr>
          <w:rFonts w:ascii="Times New Roman" w:hAnsi="Times New Roman"/>
        </w:rPr>
        <w:t>na</w:t>
      </w:r>
      <w:r w:rsidR="00EF2179" w:rsidRPr="001B53A8">
        <w:rPr>
          <w:rFonts w:ascii="Times New Roman" w:hAnsi="Times New Roman"/>
        </w:rPr>
        <w:t xml:space="preserve"> </w:t>
      </w:r>
      <w:r w:rsidRPr="001B53A8">
        <w:rPr>
          <w:rFonts w:ascii="Times New Roman" w:hAnsi="Times New Roman"/>
        </w:rPr>
        <w:t>tržištu</w:t>
      </w:r>
      <w:r w:rsidR="00EF2179" w:rsidRPr="001B53A8">
        <w:rPr>
          <w:rFonts w:ascii="Times New Roman" w:hAnsi="Times New Roman"/>
        </w:rPr>
        <w:t xml:space="preserve"> </w:t>
      </w:r>
      <w:r w:rsidRPr="001B53A8">
        <w:rPr>
          <w:rFonts w:ascii="Times New Roman" w:hAnsi="Times New Roman"/>
        </w:rPr>
        <w:t>hartija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vrijednosti</w:t>
      </w:r>
      <w:r w:rsidR="00EF2179" w:rsidRPr="001B53A8">
        <w:rPr>
          <w:rFonts w:ascii="Times New Roman" w:hAnsi="Times New Roman"/>
        </w:rPr>
        <w:t xml:space="preserve"> (</w:t>
      </w:r>
      <w:r w:rsidRPr="001B53A8">
        <w:rPr>
          <w:rFonts w:ascii="Times New Roman" w:hAnsi="Times New Roman"/>
        </w:rPr>
        <w:t>u</w:t>
      </w:r>
      <w:r w:rsidR="00EF2179" w:rsidRPr="001B53A8">
        <w:rPr>
          <w:rFonts w:ascii="Times New Roman" w:hAnsi="Times New Roman"/>
        </w:rPr>
        <w:t xml:space="preserve"> </w:t>
      </w:r>
      <w:r w:rsidRPr="001B53A8">
        <w:rPr>
          <w:rFonts w:ascii="Times New Roman" w:hAnsi="Times New Roman"/>
        </w:rPr>
        <w:t>dalјem</w:t>
      </w:r>
      <w:r w:rsidR="00EF2179" w:rsidRPr="001B53A8">
        <w:rPr>
          <w:rFonts w:ascii="Times New Roman" w:hAnsi="Times New Roman"/>
        </w:rPr>
        <w:t xml:space="preserve"> </w:t>
      </w:r>
      <w:r w:rsidRPr="001B53A8">
        <w:rPr>
          <w:rFonts w:ascii="Times New Roman" w:hAnsi="Times New Roman"/>
        </w:rPr>
        <w:t>tekstu</w:t>
      </w:r>
      <w:r w:rsidR="00EF2179" w:rsidRPr="001B53A8">
        <w:rPr>
          <w:rFonts w:ascii="Times New Roman" w:hAnsi="Times New Roman"/>
        </w:rPr>
        <w:t xml:space="preserve">: </w:t>
      </w:r>
      <w:r w:rsidRPr="001B53A8">
        <w:rPr>
          <w:rFonts w:ascii="Times New Roman" w:hAnsi="Times New Roman"/>
        </w:rPr>
        <w:t>Pravilnik</w:t>
      </w:r>
      <w:r w:rsidR="00EF2179" w:rsidRPr="001B53A8">
        <w:rPr>
          <w:rFonts w:ascii="Times New Roman" w:hAnsi="Times New Roman"/>
        </w:rPr>
        <w:t xml:space="preserve"> </w:t>
      </w:r>
      <w:r w:rsidRPr="001B53A8">
        <w:rPr>
          <w:rFonts w:ascii="Times New Roman" w:hAnsi="Times New Roman"/>
        </w:rPr>
        <w:t>o</w:t>
      </w:r>
      <w:r w:rsidR="00EF2179" w:rsidRPr="001B53A8">
        <w:rPr>
          <w:rFonts w:ascii="Times New Roman" w:hAnsi="Times New Roman"/>
        </w:rPr>
        <w:t xml:space="preserve"> </w:t>
      </w:r>
      <w:r w:rsidRPr="001B53A8">
        <w:rPr>
          <w:rFonts w:ascii="Times New Roman" w:hAnsi="Times New Roman"/>
        </w:rPr>
        <w:t>nadzoru</w:t>
      </w:r>
      <w:r w:rsidR="00EF2179" w:rsidRPr="001B53A8">
        <w:rPr>
          <w:rFonts w:ascii="Times New Roman" w:hAnsi="Times New Roman"/>
        </w:rPr>
        <w:t>)</w:t>
      </w:r>
      <w:r w:rsidR="00EF2179" w:rsidRPr="001B53A8">
        <w:rPr>
          <w:rStyle w:val="FootnoteReference"/>
          <w:rFonts w:ascii="Times New Roman" w:hAnsi="Times New Roman"/>
        </w:rPr>
        <w:footnoteReference w:id="26"/>
      </w:r>
      <w:r w:rsidR="00EF2179" w:rsidRPr="001B53A8">
        <w:rPr>
          <w:rFonts w:ascii="Times New Roman" w:hAnsi="Times New Roman"/>
        </w:rPr>
        <w:t xml:space="preserve">, </w:t>
      </w:r>
      <w:r w:rsidRPr="001B53A8">
        <w:rPr>
          <w:rFonts w:ascii="Times New Roman" w:hAnsi="Times New Roman"/>
        </w:rPr>
        <w:t>pod</w:t>
      </w:r>
      <w:r w:rsidR="00EF2179" w:rsidRPr="001B53A8">
        <w:rPr>
          <w:rFonts w:ascii="Times New Roman" w:hAnsi="Times New Roman"/>
        </w:rPr>
        <w:t xml:space="preserve"> </w:t>
      </w:r>
      <w:r w:rsidRPr="001B53A8">
        <w:rPr>
          <w:rFonts w:ascii="Times New Roman" w:hAnsi="Times New Roman"/>
        </w:rPr>
        <w:t>nadzorom</w:t>
      </w:r>
      <w:r w:rsidR="00EF2179" w:rsidRPr="001B53A8">
        <w:rPr>
          <w:rFonts w:ascii="Times New Roman" w:hAnsi="Times New Roman"/>
        </w:rPr>
        <w:t xml:space="preserve"> </w:t>
      </w:r>
      <w:r w:rsidRPr="001B53A8">
        <w:rPr>
          <w:rFonts w:ascii="Times New Roman" w:hAnsi="Times New Roman"/>
        </w:rPr>
        <w:t>koji</w:t>
      </w:r>
      <w:r w:rsidR="00EF2179" w:rsidRPr="001B53A8">
        <w:rPr>
          <w:rFonts w:ascii="Times New Roman" w:hAnsi="Times New Roman"/>
        </w:rPr>
        <w:t xml:space="preserve"> </w:t>
      </w:r>
      <w:r w:rsidRPr="001B53A8">
        <w:rPr>
          <w:rFonts w:ascii="Times New Roman" w:hAnsi="Times New Roman"/>
        </w:rPr>
        <w:t>provodi</w:t>
      </w:r>
      <w:r w:rsidR="00EF2179" w:rsidRPr="001B53A8">
        <w:rPr>
          <w:rFonts w:ascii="Times New Roman" w:hAnsi="Times New Roman"/>
        </w:rPr>
        <w:t xml:space="preserve"> </w:t>
      </w:r>
      <w:r w:rsidRPr="001B53A8">
        <w:rPr>
          <w:rFonts w:ascii="Times New Roman" w:hAnsi="Times New Roman"/>
        </w:rPr>
        <w:t>Komisija</w:t>
      </w:r>
      <w:r w:rsidR="00EF2179" w:rsidRPr="001B53A8">
        <w:rPr>
          <w:rFonts w:ascii="Times New Roman" w:hAnsi="Times New Roman"/>
        </w:rPr>
        <w:t xml:space="preserve"> </w:t>
      </w:r>
      <w:r w:rsidRPr="001B53A8">
        <w:rPr>
          <w:rFonts w:ascii="Times New Roman" w:hAnsi="Times New Roman"/>
        </w:rPr>
        <w:t>podrazumijeva</w:t>
      </w:r>
      <w:r w:rsidR="00EF2179" w:rsidRPr="001B53A8">
        <w:rPr>
          <w:rFonts w:ascii="Times New Roman" w:hAnsi="Times New Roman"/>
        </w:rPr>
        <w:t xml:space="preserve"> </w:t>
      </w:r>
      <w:r w:rsidRPr="001B53A8">
        <w:rPr>
          <w:rFonts w:ascii="Times New Roman" w:hAnsi="Times New Roman"/>
        </w:rPr>
        <w:t>se</w:t>
      </w:r>
      <w:r w:rsidR="00EF2179" w:rsidRPr="001B53A8">
        <w:rPr>
          <w:rFonts w:ascii="Times New Roman" w:hAnsi="Times New Roman"/>
        </w:rPr>
        <w:t xml:space="preserve"> </w:t>
      </w:r>
      <w:r w:rsidRPr="001B53A8">
        <w:rPr>
          <w:rFonts w:ascii="Times New Roman" w:hAnsi="Times New Roman"/>
        </w:rPr>
        <w:t>nadzor</w:t>
      </w:r>
      <w:r w:rsidR="00EF2179" w:rsidRPr="001B53A8">
        <w:rPr>
          <w:rFonts w:ascii="Times New Roman" w:hAnsi="Times New Roman"/>
        </w:rPr>
        <w:t xml:space="preserve"> </w:t>
      </w:r>
      <w:r w:rsidRPr="001B53A8">
        <w:rPr>
          <w:rFonts w:ascii="Times New Roman" w:hAnsi="Times New Roman"/>
        </w:rPr>
        <w:t>nad</w:t>
      </w:r>
      <w:r w:rsidR="00EF2179" w:rsidRPr="001B53A8">
        <w:rPr>
          <w:rFonts w:ascii="Times New Roman" w:hAnsi="Times New Roman"/>
        </w:rPr>
        <w:t xml:space="preserve">  </w:t>
      </w:r>
      <w:r w:rsidRPr="001B53A8">
        <w:rPr>
          <w:rFonts w:ascii="Times New Roman" w:hAnsi="Times New Roman"/>
        </w:rPr>
        <w:t>primjenom</w:t>
      </w:r>
      <w:r w:rsidR="00EF2179" w:rsidRPr="001B53A8">
        <w:rPr>
          <w:rFonts w:ascii="Times New Roman" w:hAnsi="Times New Roman"/>
        </w:rPr>
        <w:t xml:space="preserve"> </w:t>
      </w:r>
      <w:r w:rsidRPr="001B53A8">
        <w:rPr>
          <w:rFonts w:ascii="Times New Roman" w:hAnsi="Times New Roman"/>
        </w:rPr>
        <w:t>Zakona</w:t>
      </w:r>
      <w:r w:rsidR="00EF2179" w:rsidRPr="001B53A8">
        <w:rPr>
          <w:rFonts w:ascii="Times New Roman" w:hAnsi="Times New Roman"/>
        </w:rPr>
        <w:t xml:space="preserve"> </w:t>
      </w:r>
      <w:r w:rsidRPr="001B53A8">
        <w:rPr>
          <w:rFonts w:ascii="Times New Roman" w:hAnsi="Times New Roman"/>
        </w:rPr>
        <w:t>o</w:t>
      </w:r>
      <w:r w:rsidR="00EF2179" w:rsidRPr="001B53A8">
        <w:rPr>
          <w:rFonts w:ascii="Times New Roman" w:hAnsi="Times New Roman"/>
        </w:rPr>
        <w:t xml:space="preserve"> </w:t>
      </w:r>
      <w:r w:rsidRPr="001B53A8">
        <w:rPr>
          <w:rFonts w:ascii="Times New Roman" w:hAnsi="Times New Roman"/>
        </w:rPr>
        <w:t>tržištu</w:t>
      </w:r>
      <w:r w:rsidR="00EF2179" w:rsidRPr="001B53A8">
        <w:rPr>
          <w:rFonts w:ascii="Times New Roman" w:hAnsi="Times New Roman"/>
        </w:rPr>
        <w:t xml:space="preserve">, </w:t>
      </w:r>
      <w:r w:rsidRPr="001B53A8">
        <w:rPr>
          <w:rFonts w:ascii="Times New Roman" w:hAnsi="Times New Roman"/>
        </w:rPr>
        <w:t>Zakona</w:t>
      </w:r>
      <w:r w:rsidR="00EF2179" w:rsidRPr="001B53A8">
        <w:rPr>
          <w:rFonts w:ascii="Times New Roman" w:hAnsi="Times New Roman"/>
        </w:rPr>
        <w:t xml:space="preserve"> </w:t>
      </w:r>
      <w:r w:rsidRPr="001B53A8">
        <w:rPr>
          <w:rFonts w:ascii="Times New Roman" w:hAnsi="Times New Roman"/>
        </w:rPr>
        <w:t>o</w:t>
      </w:r>
      <w:r w:rsidR="00EF2179" w:rsidRPr="001B53A8">
        <w:rPr>
          <w:rFonts w:ascii="Times New Roman" w:hAnsi="Times New Roman"/>
        </w:rPr>
        <w:t xml:space="preserve"> </w:t>
      </w:r>
      <w:r w:rsidRPr="001B53A8">
        <w:rPr>
          <w:rFonts w:ascii="Times New Roman" w:hAnsi="Times New Roman"/>
        </w:rPr>
        <w:t>investicionim</w:t>
      </w:r>
      <w:r w:rsidR="00EF2179" w:rsidRPr="001B53A8">
        <w:rPr>
          <w:rFonts w:ascii="Times New Roman" w:hAnsi="Times New Roman"/>
        </w:rPr>
        <w:t xml:space="preserve"> </w:t>
      </w:r>
      <w:r w:rsidRPr="001B53A8">
        <w:rPr>
          <w:rFonts w:ascii="Times New Roman" w:hAnsi="Times New Roman"/>
        </w:rPr>
        <w:t>fondovima</w:t>
      </w:r>
      <w:r w:rsidR="00EF2179" w:rsidRPr="001B53A8">
        <w:rPr>
          <w:rFonts w:ascii="Times New Roman" w:hAnsi="Times New Roman"/>
        </w:rPr>
        <w:t xml:space="preserve">, </w:t>
      </w:r>
      <w:r w:rsidRPr="001B53A8">
        <w:rPr>
          <w:rFonts w:ascii="Times New Roman" w:hAnsi="Times New Roman"/>
        </w:rPr>
        <w:t>Zakona</w:t>
      </w:r>
      <w:r w:rsidR="00EF2179" w:rsidRPr="001B53A8">
        <w:rPr>
          <w:rFonts w:ascii="Times New Roman" w:hAnsi="Times New Roman"/>
        </w:rPr>
        <w:t xml:space="preserve"> </w:t>
      </w:r>
      <w:r w:rsidRPr="001B53A8">
        <w:rPr>
          <w:rFonts w:ascii="Times New Roman" w:hAnsi="Times New Roman"/>
        </w:rPr>
        <w:t>o</w:t>
      </w:r>
      <w:r w:rsidR="00EF2179" w:rsidRPr="001B53A8">
        <w:rPr>
          <w:rFonts w:ascii="Times New Roman" w:hAnsi="Times New Roman"/>
        </w:rPr>
        <w:t xml:space="preserve"> </w:t>
      </w:r>
      <w:r w:rsidRPr="001B53A8">
        <w:rPr>
          <w:rFonts w:ascii="Times New Roman" w:hAnsi="Times New Roman"/>
        </w:rPr>
        <w:t>preuzimanju</w:t>
      </w:r>
      <w:r w:rsidR="00EF2179" w:rsidRPr="001B53A8">
        <w:rPr>
          <w:rFonts w:ascii="Times New Roman" w:hAnsi="Times New Roman"/>
        </w:rPr>
        <w:t xml:space="preserve"> </w:t>
      </w:r>
      <w:r w:rsidRPr="001B53A8">
        <w:rPr>
          <w:rFonts w:ascii="Times New Roman" w:hAnsi="Times New Roman"/>
        </w:rPr>
        <w:t>akcionarskih</w:t>
      </w:r>
      <w:r w:rsidR="00EF2179" w:rsidRPr="001B53A8">
        <w:rPr>
          <w:rFonts w:ascii="Times New Roman" w:hAnsi="Times New Roman"/>
        </w:rPr>
        <w:t xml:space="preserve"> </w:t>
      </w:r>
      <w:r w:rsidRPr="001B53A8">
        <w:rPr>
          <w:rFonts w:ascii="Times New Roman" w:hAnsi="Times New Roman"/>
        </w:rPr>
        <w:t>društava</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Zakona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o</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sprečavanju</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pranja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novca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finansiranja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terorističkih</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aktivnosti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te</w:t>
      </w:r>
      <w:r w:rsidR="00EF2179" w:rsidRPr="001B53A8">
        <w:rPr>
          <w:rFonts w:ascii="Times New Roman" w:eastAsia="Times New Roman" w:hAnsi="Times New Roman"/>
          <w:lang w:eastAsia="sr-Latn-CS"/>
        </w:rPr>
        <w:t xml:space="preserve"> </w:t>
      </w:r>
      <w:r w:rsidRPr="001B53A8">
        <w:rPr>
          <w:rFonts w:ascii="Times New Roman" w:hAnsi="Times New Roman"/>
        </w:rPr>
        <w:t>propisa</w:t>
      </w:r>
      <w:r w:rsidR="00EF2179" w:rsidRPr="001B53A8">
        <w:rPr>
          <w:rFonts w:ascii="Times New Roman" w:hAnsi="Times New Roman"/>
        </w:rPr>
        <w:t xml:space="preserve"> </w:t>
      </w:r>
      <w:r w:rsidRPr="001B53A8">
        <w:rPr>
          <w:rFonts w:ascii="Times New Roman" w:hAnsi="Times New Roman"/>
        </w:rPr>
        <w:t>donesenih</w:t>
      </w:r>
      <w:r w:rsidR="00EF2179" w:rsidRPr="001B53A8">
        <w:rPr>
          <w:rFonts w:ascii="Times New Roman" w:hAnsi="Times New Roman"/>
        </w:rPr>
        <w:t xml:space="preserve"> </w:t>
      </w:r>
      <w:r w:rsidRPr="001B53A8">
        <w:rPr>
          <w:rFonts w:ascii="Times New Roman" w:hAnsi="Times New Roman"/>
        </w:rPr>
        <w:t>na</w:t>
      </w:r>
      <w:r w:rsidR="00EF2179" w:rsidRPr="001B53A8">
        <w:rPr>
          <w:rFonts w:ascii="Times New Roman" w:hAnsi="Times New Roman"/>
        </w:rPr>
        <w:t xml:space="preserve"> </w:t>
      </w:r>
      <w:r w:rsidRPr="001B53A8">
        <w:rPr>
          <w:rFonts w:ascii="Times New Roman" w:hAnsi="Times New Roman"/>
        </w:rPr>
        <w:t>osnovu</w:t>
      </w:r>
      <w:r w:rsidR="00EF2179" w:rsidRPr="001B53A8">
        <w:rPr>
          <w:rFonts w:ascii="Times New Roman" w:hAnsi="Times New Roman"/>
        </w:rPr>
        <w:t xml:space="preserve"> </w:t>
      </w:r>
      <w:r w:rsidRPr="001B53A8">
        <w:rPr>
          <w:rFonts w:ascii="Times New Roman" w:hAnsi="Times New Roman"/>
        </w:rPr>
        <w:t>tih</w:t>
      </w:r>
      <w:r w:rsidR="00EF2179" w:rsidRPr="001B53A8">
        <w:rPr>
          <w:rFonts w:ascii="Times New Roman" w:hAnsi="Times New Roman"/>
        </w:rPr>
        <w:t xml:space="preserve"> </w:t>
      </w:r>
      <w:r w:rsidRPr="001B53A8">
        <w:rPr>
          <w:rFonts w:ascii="Times New Roman" w:hAnsi="Times New Roman"/>
        </w:rPr>
        <w:t>zakona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strane</w:t>
      </w:r>
      <w:r w:rsidR="00EF2179" w:rsidRPr="001B53A8">
        <w:rPr>
          <w:rFonts w:ascii="Times New Roman" w:hAnsi="Times New Roman"/>
        </w:rPr>
        <w:t xml:space="preserve"> </w:t>
      </w:r>
      <w:r w:rsidRPr="001B53A8">
        <w:rPr>
          <w:rFonts w:ascii="Times New Roman" w:hAnsi="Times New Roman"/>
        </w:rPr>
        <w:t>učesnika</w:t>
      </w:r>
      <w:r w:rsidR="00EF2179" w:rsidRPr="001B53A8">
        <w:rPr>
          <w:rFonts w:ascii="Times New Roman" w:hAnsi="Times New Roman"/>
        </w:rPr>
        <w:t xml:space="preserve"> </w:t>
      </w:r>
      <w:r w:rsidRPr="001B53A8">
        <w:rPr>
          <w:rFonts w:ascii="Times New Roman" w:hAnsi="Times New Roman"/>
        </w:rPr>
        <w:t>na</w:t>
      </w:r>
      <w:r w:rsidR="00EF2179" w:rsidRPr="001B53A8">
        <w:rPr>
          <w:rFonts w:ascii="Times New Roman" w:hAnsi="Times New Roman"/>
        </w:rPr>
        <w:t xml:space="preserve"> </w:t>
      </w:r>
      <w:r w:rsidRPr="001B53A8">
        <w:rPr>
          <w:rFonts w:ascii="Times New Roman" w:hAnsi="Times New Roman"/>
        </w:rPr>
        <w:t>tržištu</w:t>
      </w:r>
      <w:r w:rsidR="00EF2179" w:rsidRPr="001B53A8">
        <w:rPr>
          <w:rFonts w:ascii="Times New Roman" w:hAnsi="Times New Roman"/>
        </w:rPr>
        <w:t xml:space="preserve"> </w:t>
      </w:r>
      <w:r w:rsidRPr="001B53A8">
        <w:rPr>
          <w:rFonts w:ascii="Times New Roman" w:hAnsi="Times New Roman"/>
        </w:rPr>
        <w:t>hartija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vrijednosti</w:t>
      </w:r>
      <w:r w:rsidR="00EF2179" w:rsidRPr="001B53A8">
        <w:rPr>
          <w:rFonts w:ascii="Times New Roman" w:hAnsi="Times New Roman"/>
        </w:rPr>
        <w:t xml:space="preserve">. </w:t>
      </w:r>
    </w:p>
    <w:p w14:paraId="6C0B352C" w14:textId="5035B379" w:rsidR="00EF2179" w:rsidRPr="001B53A8" w:rsidRDefault="00003F34" w:rsidP="00EF2179">
      <w:pPr>
        <w:pStyle w:val="Style15"/>
        <w:widowControl/>
        <w:spacing w:before="120" w:line="240" w:lineRule="auto"/>
        <w:ind w:firstLine="567"/>
        <w:rPr>
          <w:rFonts w:ascii="Times New Roman" w:hAnsi="Times New Roman"/>
        </w:rPr>
      </w:pPr>
      <w:r w:rsidRPr="001B53A8">
        <w:rPr>
          <w:rFonts w:ascii="Times New Roman" w:hAnsi="Times New Roman"/>
        </w:rPr>
        <w:t>Pod</w:t>
      </w:r>
      <w:r w:rsidR="00EF2179" w:rsidRPr="001B53A8">
        <w:rPr>
          <w:rFonts w:ascii="Times New Roman" w:hAnsi="Times New Roman"/>
        </w:rPr>
        <w:t xml:space="preserve"> </w:t>
      </w:r>
      <w:r w:rsidRPr="001B53A8">
        <w:rPr>
          <w:rFonts w:ascii="Times New Roman" w:hAnsi="Times New Roman"/>
        </w:rPr>
        <w:t>učesnicima</w:t>
      </w:r>
      <w:r w:rsidR="00EF2179" w:rsidRPr="001B53A8">
        <w:rPr>
          <w:rFonts w:ascii="Times New Roman" w:hAnsi="Times New Roman"/>
        </w:rPr>
        <w:t xml:space="preserve"> </w:t>
      </w:r>
      <w:r w:rsidRPr="001B53A8">
        <w:rPr>
          <w:rFonts w:ascii="Times New Roman" w:hAnsi="Times New Roman"/>
        </w:rPr>
        <w:t>na</w:t>
      </w:r>
      <w:r w:rsidR="00EF2179" w:rsidRPr="001B53A8">
        <w:rPr>
          <w:rFonts w:ascii="Times New Roman" w:hAnsi="Times New Roman"/>
        </w:rPr>
        <w:t xml:space="preserve"> </w:t>
      </w:r>
      <w:r w:rsidRPr="001B53A8">
        <w:rPr>
          <w:rFonts w:ascii="Times New Roman" w:hAnsi="Times New Roman"/>
        </w:rPr>
        <w:t>tržištu</w:t>
      </w:r>
      <w:r w:rsidR="00EF2179" w:rsidRPr="001B53A8">
        <w:rPr>
          <w:rFonts w:ascii="Times New Roman" w:hAnsi="Times New Roman"/>
        </w:rPr>
        <w:t xml:space="preserve"> </w:t>
      </w:r>
      <w:r w:rsidRPr="001B53A8">
        <w:rPr>
          <w:rFonts w:ascii="Times New Roman" w:hAnsi="Times New Roman"/>
        </w:rPr>
        <w:t>hartija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vrijednosti</w:t>
      </w:r>
      <w:r w:rsidR="00EF2179" w:rsidRPr="001B53A8">
        <w:rPr>
          <w:rFonts w:ascii="Times New Roman" w:hAnsi="Times New Roman"/>
        </w:rPr>
        <w:t xml:space="preserve"> </w:t>
      </w:r>
      <w:r w:rsidRPr="001B53A8">
        <w:rPr>
          <w:rFonts w:ascii="Times New Roman" w:hAnsi="Times New Roman"/>
        </w:rPr>
        <w:t>u</w:t>
      </w:r>
      <w:r w:rsidR="00EF2179" w:rsidRPr="001B53A8">
        <w:rPr>
          <w:rFonts w:ascii="Times New Roman" w:hAnsi="Times New Roman"/>
        </w:rPr>
        <w:t xml:space="preserve"> </w:t>
      </w:r>
      <w:r w:rsidRPr="001B53A8">
        <w:rPr>
          <w:rFonts w:ascii="Times New Roman" w:hAnsi="Times New Roman"/>
        </w:rPr>
        <w:t>smislu</w:t>
      </w:r>
      <w:r w:rsidR="00EF2179" w:rsidRPr="001B53A8">
        <w:rPr>
          <w:rFonts w:ascii="Times New Roman" w:hAnsi="Times New Roman"/>
        </w:rPr>
        <w:t xml:space="preserve"> </w:t>
      </w:r>
      <w:r w:rsidRPr="001B53A8">
        <w:rPr>
          <w:rFonts w:ascii="Times New Roman" w:hAnsi="Times New Roman"/>
        </w:rPr>
        <w:t>Pravilnika</w:t>
      </w:r>
      <w:r w:rsidR="00EF2179" w:rsidRPr="001B53A8">
        <w:rPr>
          <w:rFonts w:ascii="Times New Roman" w:hAnsi="Times New Roman"/>
        </w:rPr>
        <w:t xml:space="preserve"> </w:t>
      </w:r>
      <w:r w:rsidRPr="001B53A8">
        <w:rPr>
          <w:rFonts w:ascii="Times New Roman" w:hAnsi="Times New Roman"/>
        </w:rPr>
        <w:t>o</w:t>
      </w:r>
      <w:r w:rsidR="00EF2179" w:rsidRPr="001B53A8">
        <w:rPr>
          <w:rFonts w:ascii="Times New Roman" w:hAnsi="Times New Roman"/>
        </w:rPr>
        <w:t xml:space="preserve"> </w:t>
      </w:r>
      <w:r w:rsidRPr="001B53A8">
        <w:rPr>
          <w:rFonts w:ascii="Times New Roman" w:hAnsi="Times New Roman"/>
        </w:rPr>
        <w:t>nadzoru</w:t>
      </w:r>
      <w:r w:rsidR="00EF2179" w:rsidRPr="001B53A8">
        <w:rPr>
          <w:rFonts w:ascii="Times New Roman" w:hAnsi="Times New Roman"/>
        </w:rPr>
        <w:t xml:space="preserve"> </w:t>
      </w:r>
      <w:r w:rsidRPr="001B53A8">
        <w:rPr>
          <w:rStyle w:val="FontStyle151"/>
          <w:rFonts w:ascii="Times New Roman" w:hAnsi="Times New Roman" w:cs="Times New Roman"/>
          <w:sz w:val="24"/>
          <w:lang w:eastAsia="sr-Latn-CS"/>
        </w:rPr>
        <w:t>smatraju</w:t>
      </w:r>
      <w:r w:rsidR="00EF2179" w:rsidRPr="001B53A8">
        <w:rPr>
          <w:rFonts w:ascii="Times New Roman" w:hAnsi="Times New Roman"/>
        </w:rPr>
        <w:t xml:space="preserve"> </w:t>
      </w:r>
      <w:r w:rsidRPr="001B53A8">
        <w:rPr>
          <w:rFonts w:ascii="Times New Roman" w:hAnsi="Times New Roman"/>
        </w:rPr>
        <w:t>se</w:t>
      </w:r>
      <w:r w:rsidR="00EF2179" w:rsidRPr="001B53A8">
        <w:rPr>
          <w:rFonts w:ascii="Times New Roman" w:hAnsi="Times New Roman"/>
        </w:rPr>
        <w:t xml:space="preserve">: </w:t>
      </w:r>
      <w:r w:rsidRPr="001B53A8">
        <w:rPr>
          <w:rFonts w:ascii="Times New Roman" w:hAnsi="Times New Roman"/>
        </w:rPr>
        <w:t>berzanski</w:t>
      </w:r>
      <w:r w:rsidR="00EF2179" w:rsidRPr="001B53A8">
        <w:rPr>
          <w:rFonts w:ascii="Times New Roman" w:hAnsi="Times New Roman"/>
        </w:rPr>
        <w:t xml:space="preserve"> </w:t>
      </w:r>
      <w:r w:rsidRPr="001B53A8">
        <w:rPr>
          <w:rFonts w:ascii="Times New Roman" w:hAnsi="Times New Roman"/>
        </w:rPr>
        <w:t>posrednici</w:t>
      </w:r>
      <w:r w:rsidR="00EF2179" w:rsidRPr="001B53A8">
        <w:rPr>
          <w:rFonts w:ascii="Times New Roman" w:hAnsi="Times New Roman"/>
        </w:rPr>
        <w:t xml:space="preserve">, </w:t>
      </w:r>
      <w:r w:rsidRPr="001B53A8">
        <w:rPr>
          <w:rFonts w:ascii="Times New Roman" w:hAnsi="Times New Roman"/>
        </w:rPr>
        <w:t>kastodi</w:t>
      </w:r>
      <w:r w:rsidR="00EF2179" w:rsidRPr="001B53A8">
        <w:rPr>
          <w:rFonts w:ascii="Times New Roman" w:hAnsi="Times New Roman"/>
        </w:rPr>
        <w:t xml:space="preserve"> </w:t>
      </w:r>
      <w:r w:rsidRPr="001B53A8">
        <w:rPr>
          <w:rFonts w:ascii="Times New Roman" w:hAnsi="Times New Roman"/>
        </w:rPr>
        <w:t>banke</w:t>
      </w:r>
      <w:r w:rsidR="00EF2179" w:rsidRPr="001B53A8">
        <w:rPr>
          <w:rFonts w:ascii="Times New Roman" w:hAnsi="Times New Roman"/>
        </w:rPr>
        <w:t xml:space="preserve">, </w:t>
      </w:r>
      <w:r w:rsidRPr="001B53A8">
        <w:rPr>
          <w:rFonts w:ascii="Times New Roman" w:hAnsi="Times New Roman"/>
        </w:rPr>
        <w:t>društva</w:t>
      </w:r>
      <w:r w:rsidR="00EF2179" w:rsidRPr="001B53A8">
        <w:rPr>
          <w:rFonts w:ascii="Times New Roman" w:hAnsi="Times New Roman"/>
        </w:rPr>
        <w:t xml:space="preserve"> </w:t>
      </w:r>
      <w:r w:rsidRPr="001B53A8">
        <w:rPr>
          <w:rFonts w:ascii="Times New Roman" w:hAnsi="Times New Roman"/>
        </w:rPr>
        <w:t>za</w:t>
      </w:r>
      <w:r w:rsidR="00EF2179" w:rsidRPr="001B53A8">
        <w:rPr>
          <w:rFonts w:ascii="Times New Roman" w:hAnsi="Times New Roman"/>
        </w:rPr>
        <w:t xml:space="preserve"> </w:t>
      </w:r>
      <w:r w:rsidRPr="001B53A8">
        <w:rPr>
          <w:rFonts w:ascii="Times New Roman" w:hAnsi="Times New Roman"/>
        </w:rPr>
        <w:t>upravlјanje</w:t>
      </w:r>
      <w:r w:rsidR="00EF2179" w:rsidRPr="001B53A8">
        <w:rPr>
          <w:rFonts w:ascii="Times New Roman" w:hAnsi="Times New Roman"/>
        </w:rPr>
        <w:t xml:space="preserve"> </w:t>
      </w:r>
      <w:r w:rsidRPr="001B53A8">
        <w:rPr>
          <w:rFonts w:ascii="Times New Roman" w:hAnsi="Times New Roman"/>
        </w:rPr>
        <w:t>investicionim</w:t>
      </w:r>
      <w:r w:rsidR="00EF2179" w:rsidRPr="001B53A8">
        <w:rPr>
          <w:rFonts w:ascii="Times New Roman" w:hAnsi="Times New Roman"/>
        </w:rPr>
        <w:t xml:space="preserve"> </w:t>
      </w:r>
      <w:r w:rsidRPr="001B53A8">
        <w:rPr>
          <w:rFonts w:ascii="Times New Roman" w:hAnsi="Times New Roman"/>
        </w:rPr>
        <w:t>fondovima</w:t>
      </w:r>
      <w:r w:rsidR="00EF2179" w:rsidRPr="001B53A8">
        <w:rPr>
          <w:rFonts w:ascii="Times New Roman" w:hAnsi="Times New Roman"/>
        </w:rPr>
        <w:t xml:space="preserve">, </w:t>
      </w:r>
      <w:r w:rsidRPr="001B53A8">
        <w:rPr>
          <w:rFonts w:ascii="Times New Roman" w:hAnsi="Times New Roman"/>
        </w:rPr>
        <w:t>investicioni</w:t>
      </w:r>
      <w:r w:rsidR="00EF2179" w:rsidRPr="001B53A8">
        <w:rPr>
          <w:rFonts w:ascii="Times New Roman" w:hAnsi="Times New Roman"/>
        </w:rPr>
        <w:t xml:space="preserve"> </w:t>
      </w:r>
      <w:r w:rsidRPr="001B53A8">
        <w:rPr>
          <w:rFonts w:ascii="Times New Roman" w:hAnsi="Times New Roman"/>
        </w:rPr>
        <w:t>fondovi</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banke</w:t>
      </w:r>
      <w:r w:rsidR="00EF2179" w:rsidRPr="001B53A8">
        <w:rPr>
          <w:rFonts w:ascii="Times New Roman" w:hAnsi="Times New Roman"/>
        </w:rPr>
        <w:t xml:space="preserve"> </w:t>
      </w:r>
      <w:r w:rsidRPr="001B53A8">
        <w:rPr>
          <w:rFonts w:ascii="Times New Roman" w:hAnsi="Times New Roman"/>
        </w:rPr>
        <w:t>depozitari</w:t>
      </w:r>
      <w:r w:rsidR="00EF2179" w:rsidRPr="001B53A8">
        <w:rPr>
          <w:rFonts w:ascii="Times New Roman" w:hAnsi="Times New Roman"/>
        </w:rPr>
        <w:t xml:space="preserve">, </w:t>
      </w:r>
      <w:r w:rsidRPr="001B53A8">
        <w:rPr>
          <w:rFonts w:ascii="Times New Roman" w:hAnsi="Times New Roman"/>
        </w:rPr>
        <w:t>berza</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druga</w:t>
      </w:r>
      <w:r w:rsidR="00EF2179" w:rsidRPr="001B53A8">
        <w:rPr>
          <w:rFonts w:ascii="Times New Roman" w:hAnsi="Times New Roman"/>
        </w:rPr>
        <w:t xml:space="preserve"> </w:t>
      </w:r>
      <w:r w:rsidRPr="001B53A8">
        <w:rPr>
          <w:rFonts w:ascii="Times New Roman" w:hAnsi="Times New Roman"/>
        </w:rPr>
        <w:t>uređena</w:t>
      </w:r>
      <w:r w:rsidR="00EF2179" w:rsidRPr="001B53A8">
        <w:rPr>
          <w:rFonts w:ascii="Times New Roman" w:hAnsi="Times New Roman"/>
        </w:rPr>
        <w:t xml:space="preserve"> </w:t>
      </w:r>
      <w:r w:rsidRPr="001B53A8">
        <w:rPr>
          <w:rFonts w:ascii="Times New Roman" w:hAnsi="Times New Roman"/>
        </w:rPr>
        <w:t>javna</w:t>
      </w:r>
      <w:r w:rsidR="00EF2179" w:rsidRPr="001B53A8">
        <w:rPr>
          <w:rFonts w:ascii="Times New Roman" w:hAnsi="Times New Roman"/>
        </w:rPr>
        <w:t xml:space="preserve"> </w:t>
      </w:r>
      <w:r w:rsidRPr="001B53A8">
        <w:rPr>
          <w:rFonts w:ascii="Times New Roman" w:hAnsi="Times New Roman"/>
        </w:rPr>
        <w:t>tržišta</w:t>
      </w:r>
      <w:r w:rsidR="00EF2179" w:rsidRPr="001B53A8">
        <w:rPr>
          <w:rFonts w:ascii="Times New Roman" w:hAnsi="Times New Roman"/>
        </w:rPr>
        <w:t xml:space="preserve">, </w:t>
      </w:r>
      <w:r w:rsidRPr="001B53A8">
        <w:rPr>
          <w:rFonts w:ascii="Times New Roman" w:hAnsi="Times New Roman"/>
        </w:rPr>
        <w:t>Centralni</w:t>
      </w:r>
      <w:r w:rsidR="00EF2179" w:rsidRPr="001B53A8">
        <w:rPr>
          <w:rFonts w:ascii="Times New Roman" w:hAnsi="Times New Roman"/>
        </w:rPr>
        <w:t xml:space="preserve"> </w:t>
      </w:r>
      <w:r w:rsidRPr="001B53A8">
        <w:rPr>
          <w:rFonts w:ascii="Times New Roman" w:hAnsi="Times New Roman"/>
        </w:rPr>
        <w:t>registar</w:t>
      </w:r>
      <w:r w:rsidR="00EF2179" w:rsidRPr="001B53A8">
        <w:rPr>
          <w:rFonts w:ascii="Times New Roman" w:hAnsi="Times New Roman"/>
        </w:rPr>
        <w:t xml:space="preserve"> </w:t>
      </w:r>
      <w:r w:rsidRPr="001B53A8">
        <w:rPr>
          <w:rFonts w:ascii="Times New Roman" w:hAnsi="Times New Roman"/>
        </w:rPr>
        <w:t>hartija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vrijednosti</w:t>
      </w:r>
      <w:r w:rsidR="00EF2179" w:rsidRPr="001B53A8">
        <w:rPr>
          <w:rFonts w:ascii="Times New Roman" w:hAnsi="Times New Roman"/>
        </w:rPr>
        <w:t xml:space="preserve">, </w:t>
      </w:r>
      <w:r w:rsidRPr="001B53A8">
        <w:rPr>
          <w:rFonts w:ascii="Times New Roman" w:hAnsi="Times New Roman"/>
        </w:rPr>
        <w:t>emitenti</w:t>
      </w:r>
      <w:r w:rsidR="00EF2179" w:rsidRPr="001B53A8">
        <w:rPr>
          <w:rFonts w:ascii="Times New Roman" w:hAnsi="Times New Roman"/>
        </w:rPr>
        <w:t xml:space="preserve"> </w:t>
      </w:r>
      <w:r w:rsidRPr="001B53A8">
        <w:rPr>
          <w:rFonts w:ascii="Times New Roman" w:hAnsi="Times New Roman"/>
        </w:rPr>
        <w:t>hartija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vrijednosti</w:t>
      </w:r>
      <w:r w:rsidR="00EF2179" w:rsidRPr="001B53A8">
        <w:rPr>
          <w:rFonts w:ascii="Times New Roman" w:hAnsi="Times New Roman"/>
        </w:rPr>
        <w:t xml:space="preserve"> </w:t>
      </w:r>
      <w:r w:rsidRPr="001B53A8">
        <w:rPr>
          <w:rFonts w:ascii="Times New Roman" w:hAnsi="Times New Roman"/>
        </w:rPr>
        <w:t>u</w:t>
      </w:r>
      <w:r w:rsidR="00EF2179" w:rsidRPr="001B53A8">
        <w:rPr>
          <w:rFonts w:ascii="Times New Roman" w:hAnsi="Times New Roman"/>
        </w:rPr>
        <w:t xml:space="preserve"> </w:t>
      </w:r>
      <w:r w:rsidRPr="001B53A8">
        <w:rPr>
          <w:rFonts w:ascii="Times New Roman" w:hAnsi="Times New Roman"/>
        </w:rPr>
        <w:t>vezi</w:t>
      </w:r>
      <w:r w:rsidR="00EF2179" w:rsidRPr="001B53A8">
        <w:rPr>
          <w:rFonts w:ascii="Times New Roman" w:hAnsi="Times New Roman"/>
        </w:rPr>
        <w:t xml:space="preserve"> </w:t>
      </w:r>
      <w:r w:rsidRPr="001B53A8">
        <w:rPr>
          <w:rFonts w:ascii="Times New Roman" w:hAnsi="Times New Roman"/>
        </w:rPr>
        <w:t>s</w:t>
      </w:r>
      <w:r w:rsidR="00EF2179" w:rsidRPr="001B53A8">
        <w:rPr>
          <w:rFonts w:ascii="Times New Roman" w:hAnsi="Times New Roman"/>
        </w:rPr>
        <w:t xml:space="preserve">a </w:t>
      </w:r>
      <w:r w:rsidRPr="001B53A8">
        <w:rPr>
          <w:rFonts w:ascii="Times New Roman" w:hAnsi="Times New Roman"/>
        </w:rPr>
        <w:t>emisijama</w:t>
      </w:r>
      <w:r w:rsidR="00EF2179" w:rsidRPr="001B53A8">
        <w:rPr>
          <w:rFonts w:ascii="Times New Roman" w:hAnsi="Times New Roman"/>
        </w:rPr>
        <w:t xml:space="preserve"> </w:t>
      </w:r>
      <w:r w:rsidRPr="001B53A8">
        <w:rPr>
          <w:rFonts w:ascii="Times New Roman" w:hAnsi="Times New Roman"/>
        </w:rPr>
        <w:t>hartija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vrijednosti</w:t>
      </w:r>
      <w:r w:rsidR="00EF2179" w:rsidRPr="001B53A8">
        <w:rPr>
          <w:rFonts w:ascii="Times New Roman" w:hAnsi="Times New Roman"/>
        </w:rPr>
        <w:t xml:space="preserve">, </w:t>
      </w:r>
      <w:r w:rsidRPr="001B53A8">
        <w:rPr>
          <w:rFonts w:ascii="Times New Roman" w:hAnsi="Times New Roman"/>
        </w:rPr>
        <w:t>upisima</w:t>
      </w:r>
      <w:r w:rsidR="00EF2179" w:rsidRPr="001B53A8">
        <w:rPr>
          <w:rFonts w:ascii="Times New Roman" w:hAnsi="Times New Roman"/>
        </w:rPr>
        <w:t xml:space="preserve"> </w:t>
      </w:r>
      <w:r w:rsidRPr="001B53A8">
        <w:rPr>
          <w:rFonts w:ascii="Times New Roman" w:hAnsi="Times New Roman"/>
        </w:rPr>
        <w:t>u</w:t>
      </w:r>
      <w:r w:rsidR="00EF2179" w:rsidRPr="001B53A8">
        <w:rPr>
          <w:rFonts w:ascii="Times New Roman" w:hAnsi="Times New Roman"/>
        </w:rPr>
        <w:t xml:space="preserve"> </w:t>
      </w:r>
      <w:r w:rsidRPr="001B53A8">
        <w:rPr>
          <w:rFonts w:ascii="Times New Roman" w:hAnsi="Times New Roman"/>
        </w:rPr>
        <w:t>Registar</w:t>
      </w:r>
      <w:r w:rsidR="00EF2179" w:rsidRPr="001B53A8">
        <w:rPr>
          <w:rFonts w:ascii="Times New Roman" w:hAnsi="Times New Roman"/>
        </w:rPr>
        <w:t xml:space="preserve"> </w:t>
      </w:r>
      <w:r w:rsidRPr="001B53A8">
        <w:rPr>
          <w:rFonts w:ascii="Times New Roman" w:hAnsi="Times New Roman"/>
        </w:rPr>
        <w:t>emitenata</w:t>
      </w:r>
      <w:r w:rsidR="00EF2179" w:rsidRPr="001B53A8">
        <w:rPr>
          <w:rFonts w:ascii="Times New Roman" w:hAnsi="Times New Roman"/>
        </w:rPr>
        <w:t xml:space="preserve"> </w:t>
      </w:r>
      <w:r w:rsidRPr="001B53A8">
        <w:rPr>
          <w:rFonts w:ascii="Times New Roman" w:hAnsi="Times New Roman"/>
        </w:rPr>
        <w:t>hartija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vrijednosti</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objavlјivanjem</w:t>
      </w:r>
      <w:r w:rsidR="00EF2179" w:rsidRPr="001B53A8">
        <w:rPr>
          <w:rFonts w:ascii="Times New Roman" w:hAnsi="Times New Roman"/>
        </w:rPr>
        <w:t xml:space="preserve"> </w:t>
      </w:r>
      <w:r w:rsidRPr="001B53A8">
        <w:rPr>
          <w:rFonts w:ascii="Times New Roman" w:hAnsi="Times New Roman"/>
        </w:rPr>
        <w:t>finansijskih</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drugih</w:t>
      </w:r>
      <w:r w:rsidR="00EF2179" w:rsidRPr="001B53A8">
        <w:rPr>
          <w:rFonts w:ascii="Times New Roman" w:hAnsi="Times New Roman"/>
        </w:rPr>
        <w:t xml:space="preserve"> </w:t>
      </w:r>
      <w:r w:rsidRPr="001B53A8">
        <w:rPr>
          <w:rFonts w:ascii="Times New Roman" w:hAnsi="Times New Roman"/>
        </w:rPr>
        <w:t>propisanih</w:t>
      </w:r>
      <w:r w:rsidR="00EF2179" w:rsidRPr="001B53A8">
        <w:rPr>
          <w:rFonts w:ascii="Times New Roman" w:hAnsi="Times New Roman"/>
        </w:rPr>
        <w:t xml:space="preserve"> </w:t>
      </w:r>
      <w:r w:rsidRPr="001B53A8">
        <w:rPr>
          <w:rFonts w:ascii="Times New Roman" w:hAnsi="Times New Roman"/>
        </w:rPr>
        <w:t>izvještaja</w:t>
      </w:r>
      <w:r w:rsidR="00EF2179" w:rsidRPr="001B53A8">
        <w:rPr>
          <w:rFonts w:ascii="Times New Roman" w:hAnsi="Times New Roman"/>
        </w:rPr>
        <w:t xml:space="preserve">, </w:t>
      </w:r>
      <w:r w:rsidRPr="001B53A8">
        <w:rPr>
          <w:rFonts w:ascii="Times New Roman" w:hAnsi="Times New Roman"/>
        </w:rPr>
        <w:t>lica</w:t>
      </w:r>
      <w:r w:rsidR="00EF2179" w:rsidRPr="001B53A8">
        <w:rPr>
          <w:rFonts w:ascii="Times New Roman" w:hAnsi="Times New Roman"/>
        </w:rPr>
        <w:t xml:space="preserve"> </w:t>
      </w:r>
      <w:r w:rsidRPr="001B53A8">
        <w:rPr>
          <w:rFonts w:ascii="Times New Roman" w:hAnsi="Times New Roman"/>
        </w:rPr>
        <w:t>koja</w:t>
      </w:r>
      <w:r w:rsidR="00EF2179" w:rsidRPr="001B53A8">
        <w:rPr>
          <w:rFonts w:ascii="Times New Roman" w:hAnsi="Times New Roman"/>
        </w:rPr>
        <w:t xml:space="preserve"> </w:t>
      </w:r>
      <w:r w:rsidRPr="001B53A8">
        <w:rPr>
          <w:rFonts w:ascii="Times New Roman" w:hAnsi="Times New Roman"/>
        </w:rPr>
        <w:t>imaju</w:t>
      </w:r>
      <w:r w:rsidR="00EF2179" w:rsidRPr="001B53A8">
        <w:rPr>
          <w:rFonts w:ascii="Times New Roman" w:hAnsi="Times New Roman"/>
        </w:rPr>
        <w:t xml:space="preserve"> </w:t>
      </w:r>
      <w:r w:rsidRPr="001B53A8">
        <w:rPr>
          <w:rFonts w:ascii="Times New Roman" w:hAnsi="Times New Roman"/>
        </w:rPr>
        <w:t>dozvolu</w:t>
      </w:r>
      <w:r w:rsidR="00EF2179" w:rsidRPr="001B53A8">
        <w:rPr>
          <w:rFonts w:ascii="Times New Roman" w:hAnsi="Times New Roman"/>
        </w:rPr>
        <w:t xml:space="preserve"> </w:t>
      </w:r>
      <w:r w:rsidRPr="001B53A8">
        <w:rPr>
          <w:rFonts w:ascii="Times New Roman" w:hAnsi="Times New Roman"/>
        </w:rPr>
        <w:t>za</w:t>
      </w:r>
      <w:r w:rsidR="00EF2179" w:rsidRPr="001B53A8">
        <w:rPr>
          <w:rFonts w:ascii="Times New Roman" w:hAnsi="Times New Roman"/>
        </w:rPr>
        <w:t xml:space="preserve"> </w:t>
      </w:r>
      <w:r w:rsidRPr="001B53A8">
        <w:rPr>
          <w:rFonts w:ascii="Times New Roman" w:hAnsi="Times New Roman"/>
        </w:rPr>
        <w:t>obavlјanje</w:t>
      </w:r>
      <w:r w:rsidR="00EF2179" w:rsidRPr="001B53A8">
        <w:rPr>
          <w:rFonts w:ascii="Times New Roman" w:hAnsi="Times New Roman"/>
        </w:rPr>
        <w:t xml:space="preserve"> </w:t>
      </w:r>
      <w:r w:rsidRPr="001B53A8">
        <w:rPr>
          <w:rFonts w:ascii="Times New Roman" w:hAnsi="Times New Roman"/>
        </w:rPr>
        <w:t>poslova</w:t>
      </w:r>
      <w:r w:rsidR="00EF2179" w:rsidRPr="001B53A8">
        <w:rPr>
          <w:rFonts w:ascii="Times New Roman" w:hAnsi="Times New Roman"/>
        </w:rPr>
        <w:t xml:space="preserve"> </w:t>
      </w:r>
      <w:r w:rsidRPr="001B53A8">
        <w:rPr>
          <w:rFonts w:ascii="Times New Roman" w:hAnsi="Times New Roman"/>
        </w:rPr>
        <w:t>brokera</w:t>
      </w:r>
      <w:r w:rsidR="00EF2179" w:rsidRPr="001B53A8">
        <w:rPr>
          <w:rFonts w:ascii="Times New Roman" w:hAnsi="Times New Roman"/>
        </w:rPr>
        <w:t xml:space="preserve">, </w:t>
      </w:r>
      <w:r w:rsidRPr="001B53A8">
        <w:rPr>
          <w:rFonts w:ascii="Times New Roman" w:hAnsi="Times New Roman"/>
        </w:rPr>
        <w:t>investicionih</w:t>
      </w:r>
      <w:r w:rsidR="00EF2179" w:rsidRPr="001B53A8">
        <w:rPr>
          <w:rFonts w:ascii="Times New Roman" w:hAnsi="Times New Roman"/>
        </w:rPr>
        <w:t xml:space="preserve"> </w:t>
      </w:r>
      <w:r w:rsidRPr="001B53A8">
        <w:rPr>
          <w:rFonts w:ascii="Times New Roman" w:hAnsi="Times New Roman"/>
        </w:rPr>
        <w:t>savjetnika</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investicionih</w:t>
      </w:r>
      <w:r w:rsidR="00EF2179" w:rsidRPr="001B53A8">
        <w:rPr>
          <w:rFonts w:ascii="Times New Roman" w:hAnsi="Times New Roman"/>
        </w:rPr>
        <w:t xml:space="preserve"> </w:t>
      </w:r>
      <w:r w:rsidRPr="001B53A8">
        <w:rPr>
          <w:rFonts w:ascii="Times New Roman" w:hAnsi="Times New Roman"/>
        </w:rPr>
        <w:t>menadžera</w:t>
      </w:r>
      <w:r w:rsidR="00EF2179" w:rsidRPr="001B53A8">
        <w:rPr>
          <w:rFonts w:ascii="Times New Roman" w:hAnsi="Times New Roman"/>
        </w:rPr>
        <w:t xml:space="preserve">, </w:t>
      </w:r>
      <w:r w:rsidRPr="001B53A8">
        <w:rPr>
          <w:rFonts w:ascii="Times New Roman" w:hAnsi="Times New Roman"/>
        </w:rPr>
        <w:t>sticaoci</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učesnici</w:t>
      </w:r>
      <w:r w:rsidR="00EF2179" w:rsidRPr="001B53A8">
        <w:rPr>
          <w:rFonts w:ascii="Times New Roman" w:hAnsi="Times New Roman"/>
        </w:rPr>
        <w:t xml:space="preserve"> </w:t>
      </w:r>
      <w:r w:rsidRPr="001B53A8">
        <w:rPr>
          <w:rFonts w:ascii="Times New Roman" w:hAnsi="Times New Roman"/>
        </w:rPr>
        <w:t>u</w:t>
      </w:r>
      <w:r w:rsidR="00EF2179" w:rsidRPr="001B53A8">
        <w:rPr>
          <w:rFonts w:ascii="Times New Roman" w:hAnsi="Times New Roman"/>
        </w:rPr>
        <w:t xml:space="preserve"> </w:t>
      </w:r>
      <w:r w:rsidRPr="001B53A8">
        <w:rPr>
          <w:rFonts w:ascii="Times New Roman" w:hAnsi="Times New Roman"/>
        </w:rPr>
        <w:t>postupku</w:t>
      </w:r>
      <w:r w:rsidR="00EF2179" w:rsidRPr="001B53A8">
        <w:rPr>
          <w:rFonts w:ascii="Times New Roman" w:hAnsi="Times New Roman"/>
        </w:rPr>
        <w:t xml:space="preserve"> </w:t>
      </w:r>
      <w:r w:rsidRPr="001B53A8">
        <w:rPr>
          <w:rFonts w:ascii="Times New Roman" w:hAnsi="Times New Roman"/>
        </w:rPr>
        <w:t>preuzimanja</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drugi</w:t>
      </w:r>
      <w:r w:rsidR="00EF2179" w:rsidRPr="001B53A8">
        <w:rPr>
          <w:rFonts w:ascii="Times New Roman" w:hAnsi="Times New Roman"/>
        </w:rPr>
        <w:t xml:space="preserve"> </w:t>
      </w:r>
      <w:r w:rsidRPr="001B53A8">
        <w:rPr>
          <w:rFonts w:ascii="Times New Roman" w:hAnsi="Times New Roman"/>
        </w:rPr>
        <w:t>učesnici</w:t>
      </w:r>
      <w:r w:rsidR="00EF2179" w:rsidRPr="001B53A8">
        <w:rPr>
          <w:rFonts w:ascii="Times New Roman" w:hAnsi="Times New Roman"/>
        </w:rPr>
        <w:t xml:space="preserve"> </w:t>
      </w:r>
      <w:r w:rsidRPr="001B53A8">
        <w:rPr>
          <w:rFonts w:ascii="Times New Roman" w:hAnsi="Times New Roman"/>
        </w:rPr>
        <w:t>u</w:t>
      </w:r>
      <w:r w:rsidR="00EF2179" w:rsidRPr="001B53A8">
        <w:rPr>
          <w:rFonts w:ascii="Times New Roman" w:hAnsi="Times New Roman"/>
        </w:rPr>
        <w:t xml:space="preserve"> </w:t>
      </w:r>
      <w:r w:rsidRPr="001B53A8">
        <w:rPr>
          <w:rFonts w:ascii="Times New Roman" w:hAnsi="Times New Roman"/>
        </w:rPr>
        <w:t>smislu</w:t>
      </w:r>
      <w:r w:rsidR="00EF2179" w:rsidRPr="001B53A8">
        <w:rPr>
          <w:rFonts w:ascii="Times New Roman" w:hAnsi="Times New Roman"/>
        </w:rPr>
        <w:t xml:space="preserve"> </w:t>
      </w:r>
      <w:r w:rsidRPr="001B53A8">
        <w:rPr>
          <w:rFonts w:ascii="Times New Roman" w:hAnsi="Times New Roman"/>
        </w:rPr>
        <w:t>odredaba</w:t>
      </w:r>
      <w:r w:rsidR="00EF2179" w:rsidRPr="001B53A8">
        <w:rPr>
          <w:rFonts w:ascii="Times New Roman" w:hAnsi="Times New Roman"/>
        </w:rPr>
        <w:t xml:space="preserve"> </w:t>
      </w:r>
      <w:r w:rsidRPr="001B53A8">
        <w:rPr>
          <w:rFonts w:ascii="Times New Roman" w:hAnsi="Times New Roman"/>
        </w:rPr>
        <w:t>zakona</w:t>
      </w:r>
      <w:r w:rsidR="00EF2179" w:rsidRPr="001B53A8">
        <w:rPr>
          <w:rFonts w:ascii="Times New Roman" w:hAnsi="Times New Roman"/>
        </w:rPr>
        <w:t xml:space="preserve"> </w:t>
      </w:r>
      <w:r w:rsidRPr="001B53A8">
        <w:rPr>
          <w:rFonts w:ascii="Times New Roman" w:hAnsi="Times New Roman"/>
        </w:rPr>
        <w:t>kojim</w:t>
      </w:r>
      <w:r w:rsidR="00EF2179" w:rsidRPr="001B53A8">
        <w:rPr>
          <w:rFonts w:ascii="Times New Roman" w:hAnsi="Times New Roman"/>
        </w:rPr>
        <w:t xml:space="preserve"> </w:t>
      </w:r>
      <w:r w:rsidRPr="001B53A8">
        <w:rPr>
          <w:rFonts w:ascii="Times New Roman" w:hAnsi="Times New Roman"/>
        </w:rPr>
        <w:t>se</w:t>
      </w:r>
      <w:r w:rsidR="00EF2179" w:rsidRPr="001B53A8">
        <w:rPr>
          <w:rFonts w:ascii="Times New Roman" w:hAnsi="Times New Roman"/>
        </w:rPr>
        <w:t xml:space="preserve"> </w:t>
      </w:r>
      <w:r w:rsidRPr="001B53A8">
        <w:rPr>
          <w:rFonts w:ascii="Times New Roman" w:hAnsi="Times New Roman"/>
        </w:rPr>
        <w:t>uređuje</w:t>
      </w:r>
      <w:r w:rsidR="00EF2179" w:rsidRPr="001B53A8">
        <w:rPr>
          <w:rFonts w:ascii="Times New Roman" w:hAnsi="Times New Roman"/>
        </w:rPr>
        <w:t xml:space="preserve"> </w:t>
      </w:r>
      <w:r w:rsidRPr="001B53A8">
        <w:rPr>
          <w:rFonts w:ascii="Times New Roman" w:hAnsi="Times New Roman"/>
        </w:rPr>
        <w:t>preuzimanje</w:t>
      </w:r>
      <w:r w:rsidR="00EF2179" w:rsidRPr="001B53A8">
        <w:rPr>
          <w:rFonts w:ascii="Times New Roman" w:hAnsi="Times New Roman"/>
        </w:rPr>
        <w:t xml:space="preserve"> </w:t>
      </w:r>
      <w:r w:rsidRPr="001B53A8">
        <w:rPr>
          <w:rFonts w:ascii="Times New Roman" w:hAnsi="Times New Roman"/>
        </w:rPr>
        <w:t>akcionarskih</w:t>
      </w:r>
      <w:r w:rsidR="00EF2179" w:rsidRPr="001B53A8">
        <w:rPr>
          <w:rFonts w:ascii="Times New Roman" w:hAnsi="Times New Roman"/>
        </w:rPr>
        <w:t xml:space="preserve"> </w:t>
      </w:r>
      <w:r w:rsidRPr="001B53A8">
        <w:rPr>
          <w:rFonts w:ascii="Times New Roman" w:hAnsi="Times New Roman"/>
        </w:rPr>
        <w:t>društava</w:t>
      </w:r>
      <w:r w:rsidR="00EF2179" w:rsidRPr="001B53A8">
        <w:rPr>
          <w:rFonts w:ascii="Times New Roman" w:hAnsi="Times New Roman"/>
        </w:rPr>
        <w:t xml:space="preserve">, </w:t>
      </w:r>
      <w:r w:rsidRPr="001B53A8">
        <w:rPr>
          <w:rFonts w:ascii="Times New Roman" w:hAnsi="Times New Roman"/>
        </w:rPr>
        <w:t>prodavci</w:t>
      </w:r>
      <w:r w:rsidR="00EF2179" w:rsidRPr="001B53A8">
        <w:rPr>
          <w:rFonts w:ascii="Times New Roman" w:hAnsi="Times New Roman"/>
        </w:rPr>
        <w:t xml:space="preserve">, </w:t>
      </w:r>
      <w:r w:rsidRPr="001B53A8">
        <w:rPr>
          <w:rFonts w:ascii="Times New Roman" w:hAnsi="Times New Roman"/>
        </w:rPr>
        <w:t>kupci</w:t>
      </w:r>
      <w:r w:rsidR="00EF2179" w:rsidRPr="001B53A8">
        <w:rPr>
          <w:rFonts w:ascii="Times New Roman" w:hAnsi="Times New Roman"/>
        </w:rPr>
        <w:t xml:space="preserve">, </w:t>
      </w:r>
      <w:r w:rsidRPr="001B53A8">
        <w:rPr>
          <w:rFonts w:ascii="Times New Roman" w:hAnsi="Times New Roman"/>
        </w:rPr>
        <w:t>drugi</w:t>
      </w:r>
      <w:r w:rsidR="00EF2179" w:rsidRPr="001B53A8">
        <w:rPr>
          <w:rFonts w:ascii="Times New Roman" w:hAnsi="Times New Roman"/>
        </w:rPr>
        <w:t xml:space="preserve"> </w:t>
      </w:r>
      <w:r w:rsidRPr="001B53A8">
        <w:rPr>
          <w:rFonts w:ascii="Times New Roman" w:hAnsi="Times New Roman"/>
        </w:rPr>
        <w:t>sticaoci</w:t>
      </w:r>
      <w:r w:rsidR="00EF2179" w:rsidRPr="001B53A8">
        <w:rPr>
          <w:rFonts w:ascii="Times New Roman" w:hAnsi="Times New Roman"/>
        </w:rPr>
        <w:t xml:space="preserve"> </w:t>
      </w:r>
      <w:r w:rsidRPr="001B53A8">
        <w:rPr>
          <w:rFonts w:ascii="Times New Roman" w:hAnsi="Times New Roman"/>
        </w:rPr>
        <w:t>hartija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Style w:val="FontStyle151"/>
          <w:rFonts w:ascii="Times New Roman" w:hAnsi="Times New Roman" w:cs="Times New Roman"/>
          <w:sz w:val="24"/>
          <w:lang w:eastAsia="sr-Latn-CS"/>
        </w:rPr>
        <w:t>vrijednosti</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druga</w:t>
      </w:r>
      <w:r w:rsidR="00EF2179" w:rsidRPr="001B53A8">
        <w:rPr>
          <w:rFonts w:ascii="Times New Roman" w:hAnsi="Times New Roman"/>
        </w:rPr>
        <w:t xml:space="preserve"> </w:t>
      </w:r>
      <w:r w:rsidRPr="001B53A8">
        <w:rPr>
          <w:rFonts w:ascii="Times New Roman" w:hAnsi="Times New Roman"/>
        </w:rPr>
        <w:t>lica</w:t>
      </w:r>
      <w:r w:rsidR="00EF2179" w:rsidRPr="001B53A8">
        <w:rPr>
          <w:rFonts w:ascii="Times New Roman" w:hAnsi="Times New Roman"/>
        </w:rPr>
        <w:t xml:space="preserve"> </w:t>
      </w:r>
      <w:r w:rsidRPr="001B53A8">
        <w:rPr>
          <w:rFonts w:ascii="Times New Roman" w:hAnsi="Times New Roman"/>
        </w:rPr>
        <w:t>koja</w:t>
      </w:r>
      <w:r w:rsidR="00EF2179" w:rsidRPr="001B53A8">
        <w:rPr>
          <w:rFonts w:ascii="Times New Roman" w:hAnsi="Times New Roman"/>
        </w:rPr>
        <w:t xml:space="preserve"> </w:t>
      </w:r>
      <w:r w:rsidRPr="001B53A8">
        <w:rPr>
          <w:rFonts w:ascii="Times New Roman" w:hAnsi="Times New Roman"/>
        </w:rPr>
        <w:t>učestvuju</w:t>
      </w:r>
      <w:r w:rsidR="00EF2179" w:rsidRPr="001B53A8">
        <w:rPr>
          <w:rFonts w:ascii="Times New Roman" w:hAnsi="Times New Roman"/>
        </w:rPr>
        <w:t xml:space="preserve"> </w:t>
      </w:r>
      <w:r w:rsidRPr="001B53A8">
        <w:rPr>
          <w:rFonts w:ascii="Times New Roman" w:hAnsi="Times New Roman"/>
        </w:rPr>
        <w:t>na</w:t>
      </w:r>
      <w:r w:rsidR="00EF2179" w:rsidRPr="001B53A8">
        <w:rPr>
          <w:rFonts w:ascii="Times New Roman" w:hAnsi="Times New Roman"/>
        </w:rPr>
        <w:t xml:space="preserve"> </w:t>
      </w:r>
      <w:r w:rsidRPr="001B53A8">
        <w:rPr>
          <w:rFonts w:ascii="Times New Roman" w:hAnsi="Times New Roman"/>
        </w:rPr>
        <w:t>tržištu</w:t>
      </w:r>
      <w:r w:rsidR="00EF2179" w:rsidRPr="001B53A8">
        <w:rPr>
          <w:rFonts w:ascii="Times New Roman" w:hAnsi="Times New Roman"/>
        </w:rPr>
        <w:t xml:space="preserve"> </w:t>
      </w:r>
      <w:r w:rsidRPr="001B53A8">
        <w:rPr>
          <w:rFonts w:ascii="Times New Roman" w:hAnsi="Times New Roman"/>
        </w:rPr>
        <w:t>hartija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vrijednosti</w:t>
      </w:r>
      <w:r w:rsidR="00EF2179" w:rsidRPr="001B53A8">
        <w:rPr>
          <w:rStyle w:val="FootnoteReference"/>
          <w:rFonts w:ascii="Times New Roman" w:hAnsi="Times New Roman"/>
        </w:rPr>
        <w:footnoteReference w:id="27"/>
      </w:r>
      <w:r w:rsidR="00EF2179" w:rsidRPr="001B53A8">
        <w:rPr>
          <w:rFonts w:ascii="Times New Roman" w:hAnsi="Times New Roman"/>
        </w:rPr>
        <w:t xml:space="preserve">. </w:t>
      </w:r>
      <w:r w:rsidRPr="001B53A8">
        <w:rPr>
          <w:rFonts w:ascii="Times New Roman" w:hAnsi="Times New Roman"/>
        </w:rPr>
        <w:t>Pod</w:t>
      </w:r>
      <w:r w:rsidR="00EF2179" w:rsidRPr="001B53A8">
        <w:rPr>
          <w:rFonts w:ascii="Times New Roman" w:hAnsi="Times New Roman"/>
        </w:rPr>
        <w:t xml:space="preserve"> </w:t>
      </w:r>
      <w:r w:rsidRPr="001B53A8">
        <w:rPr>
          <w:rStyle w:val="FontStyle151"/>
          <w:rFonts w:ascii="Times New Roman" w:hAnsi="Times New Roman" w:cs="Times New Roman"/>
          <w:sz w:val="24"/>
          <w:lang w:eastAsia="sr-Latn-CS"/>
        </w:rPr>
        <w:t>učesnicima</w:t>
      </w:r>
      <w:r w:rsidR="00EF2179" w:rsidRPr="001B53A8">
        <w:rPr>
          <w:rFonts w:ascii="Times New Roman" w:hAnsi="Times New Roman"/>
        </w:rPr>
        <w:t xml:space="preserve"> </w:t>
      </w:r>
      <w:r w:rsidRPr="001B53A8">
        <w:rPr>
          <w:rFonts w:ascii="Times New Roman" w:hAnsi="Times New Roman"/>
        </w:rPr>
        <w:t>na</w:t>
      </w:r>
      <w:r w:rsidR="00EF2179" w:rsidRPr="001B53A8">
        <w:rPr>
          <w:rFonts w:ascii="Times New Roman" w:hAnsi="Times New Roman"/>
        </w:rPr>
        <w:t xml:space="preserve"> </w:t>
      </w:r>
      <w:r w:rsidRPr="001B53A8">
        <w:rPr>
          <w:rFonts w:ascii="Times New Roman" w:hAnsi="Times New Roman"/>
        </w:rPr>
        <w:t>tržištu</w:t>
      </w:r>
      <w:r w:rsidR="00EF2179" w:rsidRPr="001B53A8">
        <w:rPr>
          <w:rFonts w:ascii="Times New Roman" w:hAnsi="Times New Roman"/>
        </w:rPr>
        <w:t xml:space="preserve"> </w:t>
      </w:r>
      <w:r w:rsidRPr="001B53A8">
        <w:rPr>
          <w:rFonts w:ascii="Times New Roman" w:hAnsi="Times New Roman"/>
        </w:rPr>
        <w:t>hartija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vrijednosti</w:t>
      </w:r>
      <w:r w:rsidR="00EF2179" w:rsidRPr="001B53A8">
        <w:rPr>
          <w:rFonts w:ascii="Times New Roman" w:hAnsi="Times New Roman"/>
        </w:rPr>
        <w:t xml:space="preserve"> </w:t>
      </w:r>
      <w:r w:rsidRPr="001B53A8">
        <w:rPr>
          <w:rFonts w:ascii="Times New Roman" w:hAnsi="Times New Roman"/>
        </w:rPr>
        <w:t>smatraju</w:t>
      </w:r>
      <w:r w:rsidR="00EF2179" w:rsidRPr="001B53A8">
        <w:rPr>
          <w:rFonts w:ascii="Times New Roman" w:hAnsi="Times New Roman"/>
        </w:rPr>
        <w:t xml:space="preserve"> </w:t>
      </w:r>
      <w:r w:rsidRPr="001B53A8">
        <w:rPr>
          <w:rFonts w:ascii="Times New Roman" w:hAnsi="Times New Roman"/>
        </w:rPr>
        <w:t>se</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lica</w:t>
      </w:r>
      <w:r w:rsidR="00EF2179" w:rsidRPr="001B53A8">
        <w:rPr>
          <w:rFonts w:ascii="Times New Roman" w:hAnsi="Times New Roman"/>
        </w:rPr>
        <w:t xml:space="preserve"> </w:t>
      </w:r>
      <w:r w:rsidRPr="001B53A8">
        <w:rPr>
          <w:rFonts w:ascii="Times New Roman" w:hAnsi="Times New Roman"/>
        </w:rPr>
        <w:t>koja</w:t>
      </w:r>
      <w:r w:rsidR="00EF2179" w:rsidRPr="001B53A8">
        <w:rPr>
          <w:rFonts w:ascii="Times New Roman" w:hAnsi="Times New Roman"/>
        </w:rPr>
        <w:t xml:space="preserve"> </w:t>
      </w:r>
      <w:r w:rsidRPr="001B53A8">
        <w:rPr>
          <w:rFonts w:ascii="Times New Roman" w:hAnsi="Times New Roman"/>
        </w:rPr>
        <w:t>imaju</w:t>
      </w:r>
      <w:r w:rsidR="00EF2179" w:rsidRPr="001B53A8">
        <w:rPr>
          <w:rFonts w:ascii="Times New Roman" w:hAnsi="Times New Roman"/>
        </w:rPr>
        <w:t xml:space="preserve"> </w:t>
      </w:r>
      <w:r w:rsidRPr="001B53A8">
        <w:rPr>
          <w:rFonts w:ascii="Times New Roman" w:hAnsi="Times New Roman"/>
        </w:rPr>
        <w:t>kvalifikovano</w:t>
      </w:r>
      <w:r w:rsidR="00EF2179" w:rsidRPr="001B53A8">
        <w:rPr>
          <w:rFonts w:ascii="Times New Roman" w:hAnsi="Times New Roman"/>
        </w:rPr>
        <w:t xml:space="preserve"> </w:t>
      </w:r>
      <w:r w:rsidRPr="001B53A8">
        <w:rPr>
          <w:rFonts w:ascii="Times New Roman" w:hAnsi="Times New Roman"/>
        </w:rPr>
        <w:t>učešće</w:t>
      </w:r>
      <w:r w:rsidR="00EF2179" w:rsidRPr="001B53A8">
        <w:rPr>
          <w:rFonts w:ascii="Times New Roman" w:hAnsi="Times New Roman"/>
        </w:rPr>
        <w:t xml:space="preserve">, </w:t>
      </w:r>
      <w:r w:rsidRPr="001B53A8">
        <w:rPr>
          <w:rFonts w:ascii="Times New Roman" w:hAnsi="Times New Roman"/>
        </w:rPr>
        <w:t>izuzev</w:t>
      </w:r>
      <w:r w:rsidR="00EF2179" w:rsidRPr="001B53A8">
        <w:rPr>
          <w:rFonts w:ascii="Times New Roman" w:hAnsi="Times New Roman"/>
        </w:rPr>
        <w:t xml:space="preserve"> </w:t>
      </w:r>
      <w:r w:rsidRPr="001B53A8">
        <w:rPr>
          <w:rFonts w:ascii="Times New Roman" w:hAnsi="Times New Roman"/>
        </w:rPr>
        <w:t>Republike</w:t>
      </w:r>
      <w:r w:rsidR="00EF2179" w:rsidRPr="001B53A8">
        <w:rPr>
          <w:rFonts w:ascii="Times New Roman" w:hAnsi="Times New Roman"/>
        </w:rPr>
        <w:t xml:space="preserve"> </w:t>
      </w:r>
      <w:r w:rsidRPr="001B53A8">
        <w:rPr>
          <w:rFonts w:ascii="Times New Roman" w:hAnsi="Times New Roman"/>
        </w:rPr>
        <w:t>Srpske</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druga</w:t>
      </w:r>
      <w:r w:rsidR="00EF2179" w:rsidRPr="001B53A8">
        <w:rPr>
          <w:rFonts w:ascii="Times New Roman" w:hAnsi="Times New Roman"/>
        </w:rPr>
        <w:t xml:space="preserve"> </w:t>
      </w:r>
      <w:r w:rsidRPr="001B53A8">
        <w:rPr>
          <w:rFonts w:ascii="Times New Roman" w:hAnsi="Times New Roman"/>
        </w:rPr>
        <w:t>lica</w:t>
      </w:r>
      <w:r w:rsidR="00EF2179" w:rsidRPr="001B53A8">
        <w:rPr>
          <w:rFonts w:ascii="Times New Roman" w:hAnsi="Times New Roman"/>
        </w:rPr>
        <w:t xml:space="preserve"> </w:t>
      </w:r>
      <w:r w:rsidRPr="001B53A8">
        <w:rPr>
          <w:rFonts w:ascii="Times New Roman" w:hAnsi="Times New Roman"/>
        </w:rPr>
        <w:t>koja</w:t>
      </w:r>
      <w:r w:rsidR="00EF2179" w:rsidRPr="001B53A8">
        <w:rPr>
          <w:rFonts w:ascii="Times New Roman" w:hAnsi="Times New Roman"/>
        </w:rPr>
        <w:t xml:space="preserve"> </w:t>
      </w:r>
      <w:r w:rsidRPr="001B53A8">
        <w:rPr>
          <w:rFonts w:ascii="Times New Roman" w:hAnsi="Times New Roman"/>
        </w:rPr>
        <w:t>se</w:t>
      </w:r>
      <w:r w:rsidR="00EF2179" w:rsidRPr="001B53A8">
        <w:rPr>
          <w:rFonts w:ascii="Times New Roman" w:hAnsi="Times New Roman"/>
        </w:rPr>
        <w:t xml:space="preserve"> </w:t>
      </w:r>
      <w:r w:rsidRPr="001B53A8">
        <w:rPr>
          <w:rFonts w:ascii="Times New Roman" w:hAnsi="Times New Roman"/>
        </w:rPr>
        <w:t>smatraju</w:t>
      </w:r>
      <w:r w:rsidR="00EF2179" w:rsidRPr="001B53A8">
        <w:rPr>
          <w:rFonts w:ascii="Times New Roman" w:hAnsi="Times New Roman"/>
        </w:rPr>
        <w:t xml:space="preserve"> </w:t>
      </w:r>
      <w:r w:rsidRPr="001B53A8">
        <w:rPr>
          <w:rFonts w:ascii="Times New Roman" w:hAnsi="Times New Roman"/>
        </w:rPr>
        <w:t>povezanim</w:t>
      </w:r>
      <w:r w:rsidR="00EF2179" w:rsidRPr="001B53A8">
        <w:rPr>
          <w:rFonts w:ascii="Times New Roman" w:hAnsi="Times New Roman"/>
        </w:rPr>
        <w:t xml:space="preserve"> </w:t>
      </w:r>
      <w:r w:rsidRPr="001B53A8">
        <w:rPr>
          <w:rFonts w:ascii="Times New Roman" w:hAnsi="Times New Roman"/>
        </w:rPr>
        <w:t>s</w:t>
      </w:r>
      <w:r w:rsidR="00EF2179" w:rsidRPr="001B53A8">
        <w:rPr>
          <w:rFonts w:ascii="Times New Roman" w:hAnsi="Times New Roman"/>
        </w:rPr>
        <w:t xml:space="preserve"> </w:t>
      </w:r>
      <w:r w:rsidRPr="001B53A8">
        <w:rPr>
          <w:rFonts w:ascii="Times New Roman" w:hAnsi="Times New Roman"/>
        </w:rPr>
        <w:t>nadziranim</w:t>
      </w:r>
      <w:r w:rsidR="00EF2179" w:rsidRPr="001B53A8">
        <w:rPr>
          <w:rFonts w:ascii="Times New Roman" w:hAnsi="Times New Roman"/>
        </w:rPr>
        <w:t xml:space="preserve"> </w:t>
      </w:r>
      <w:r w:rsidRPr="001B53A8">
        <w:rPr>
          <w:rFonts w:ascii="Times New Roman" w:hAnsi="Times New Roman"/>
        </w:rPr>
        <w:t>licem</w:t>
      </w:r>
      <w:r w:rsidR="00EF2179" w:rsidRPr="001B53A8">
        <w:rPr>
          <w:rFonts w:ascii="Times New Roman" w:hAnsi="Times New Roman"/>
        </w:rPr>
        <w:t xml:space="preserve"> </w:t>
      </w:r>
      <w:r w:rsidRPr="001B53A8">
        <w:rPr>
          <w:rFonts w:ascii="Times New Roman" w:hAnsi="Times New Roman"/>
        </w:rPr>
        <w:t>u</w:t>
      </w:r>
      <w:r w:rsidR="00EF2179" w:rsidRPr="001B53A8">
        <w:rPr>
          <w:rFonts w:ascii="Times New Roman" w:hAnsi="Times New Roman"/>
        </w:rPr>
        <w:t xml:space="preserve"> </w:t>
      </w:r>
      <w:r w:rsidRPr="001B53A8">
        <w:rPr>
          <w:rFonts w:ascii="Times New Roman" w:hAnsi="Times New Roman"/>
        </w:rPr>
        <w:t>smislu</w:t>
      </w:r>
      <w:r w:rsidR="00EF2179" w:rsidRPr="001B53A8">
        <w:rPr>
          <w:rFonts w:ascii="Times New Roman" w:hAnsi="Times New Roman"/>
        </w:rPr>
        <w:t xml:space="preserve"> </w:t>
      </w:r>
      <w:r w:rsidRPr="001B53A8">
        <w:rPr>
          <w:rFonts w:ascii="Times New Roman" w:hAnsi="Times New Roman"/>
        </w:rPr>
        <w:t>odredbi</w:t>
      </w:r>
      <w:r w:rsidR="00EF2179" w:rsidRPr="001B53A8">
        <w:rPr>
          <w:rFonts w:ascii="Times New Roman" w:hAnsi="Times New Roman"/>
        </w:rPr>
        <w:t xml:space="preserve"> </w:t>
      </w:r>
      <w:r w:rsidRPr="001B53A8">
        <w:rPr>
          <w:rFonts w:ascii="Times New Roman" w:hAnsi="Times New Roman"/>
        </w:rPr>
        <w:t>zakona</w:t>
      </w:r>
      <w:r w:rsidR="00EF2179" w:rsidRPr="001B53A8">
        <w:rPr>
          <w:rFonts w:ascii="Times New Roman" w:hAnsi="Times New Roman"/>
        </w:rPr>
        <w:t xml:space="preserve"> </w:t>
      </w:r>
      <w:r w:rsidRPr="001B53A8">
        <w:rPr>
          <w:rFonts w:ascii="Times New Roman" w:hAnsi="Times New Roman"/>
        </w:rPr>
        <w:t>kojima</w:t>
      </w:r>
      <w:r w:rsidR="00EF2179" w:rsidRPr="001B53A8">
        <w:rPr>
          <w:rFonts w:ascii="Times New Roman" w:hAnsi="Times New Roman"/>
        </w:rPr>
        <w:t xml:space="preserve"> </w:t>
      </w:r>
      <w:r w:rsidRPr="001B53A8">
        <w:rPr>
          <w:rFonts w:ascii="Times New Roman" w:hAnsi="Times New Roman"/>
        </w:rPr>
        <w:t>se</w:t>
      </w:r>
      <w:r w:rsidR="00EF2179" w:rsidRPr="001B53A8">
        <w:rPr>
          <w:rFonts w:ascii="Times New Roman" w:hAnsi="Times New Roman"/>
        </w:rPr>
        <w:t xml:space="preserve"> </w:t>
      </w:r>
      <w:r w:rsidRPr="001B53A8">
        <w:rPr>
          <w:rFonts w:ascii="Times New Roman" w:hAnsi="Times New Roman"/>
        </w:rPr>
        <w:t>uređuje</w:t>
      </w:r>
      <w:r w:rsidR="00EF2179" w:rsidRPr="001B53A8">
        <w:rPr>
          <w:rFonts w:ascii="Times New Roman" w:hAnsi="Times New Roman"/>
        </w:rPr>
        <w:t xml:space="preserve"> </w:t>
      </w:r>
      <w:r w:rsidRPr="001B53A8">
        <w:rPr>
          <w:rStyle w:val="FontStyle151"/>
          <w:rFonts w:ascii="Times New Roman" w:hAnsi="Times New Roman" w:cs="Times New Roman"/>
          <w:sz w:val="24"/>
          <w:lang w:eastAsia="sr-Latn-CS"/>
        </w:rPr>
        <w:t>poslovanje</w:t>
      </w:r>
      <w:r w:rsidR="00EF2179" w:rsidRPr="001B53A8">
        <w:rPr>
          <w:rFonts w:ascii="Times New Roman" w:hAnsi="Times New Roman"/>
        </w:rPr>
        <w:t xml:space="preserve"> </w:t>
      </w:r>
      <w:r w:rsidRPr="001B53A8">
        <w:rPr>
          <w:rFonts w:ascii="Times New Roman" w:hAnsi="Times New Roman"/>
        </w:rPr>
        <w:t>privrednih</w:t>
      </w:r>
      <w:r w:rsidR="00EF2179" w:rsidRPr="001B53A8">
        <w:rPr>
          <w:rFonts w:ascii="Times New Roman" w:hAnsi="Times New Roman"/>
        </w:rPr>
        <w:t xml:space="preserve"> </w:t>
      </w:r>
      <w:r w:rsidRPr="001B53A8">
        <w:rPr>
          <w:rFonts w:ascii="Times New Roman" w:hAnsi="Times New Roman"/>
        </w:rPr>
        <w:t>društava</w:t>
      </w:r>
      <w:r w:rsidR="00EF2179" w:rsidRPr="001B53A8">
        <w:rPr>
          <w:rFonts w:ascii="Times New Roman" w:hAnsi="Times New Roman"/>
        </w:rPr>
        <w:t xml:space="preserve">, </w:t>
      </w:r>
      <w:r w:rsidRPr="001B53A8">
        <w:rPr>
          <w:rFonts w:ascii="Times New Roman" w:hAnsi="Times New Roman"/>
        </w:rPr>
        <w:t>tržište</w:t>
      </w:r>
      <w:r w:rsidR="00EF2179" w:rsidRPr="001B53A8">
        <w:rPr>
          <w:rFonts w:ascii="Times New Roman" w:hAnsi="Times New Roman"/>
        </w:rPr>
        <w:t xml:space="preserve"> </w:t>
      </w:r>
      <w:r w:rsidRPr="001B53A8">
        <w:rPr>
          <w:rFonts w:ascii="Times New Roman" w:hAnsi="Times New Roman"/>
        </w:rPr>
        <w:t>hartija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vrijednosti</w:t>
      </w:r>
      <w:r w:rsidR="00EF2179" w:rsidRPr="001B53A8">
        <w:rPr>
          <w:rFonts w:ascii="Times New Roman" w:hAnsi="Times New Roman"/>
        </w:rPr>
        <w:t xml:space="preserve">, </w:t>
      </w:r>
      <w:r w:rsidRPr="001B53A8">
        <w:rPr>
          <w:rFonts w:ascii="Times New Roman" w:hAnsi="Times New Roman"/>
        </w:rPr>
        <w:t>poslovanje</w:t>
      </w:r>
      <w:r w:rsidR="00EF2179" w:rsidRPr="001B53A8">
        <w:rPr>
          <w:rFonts w:ascii="Times New Roman" w:hAnsi="Times New Roman"/>
        </w:rPr>
        <w:t xml:space="preserve"> </w:t>
      </w:r>
      <w:r w:rsidRPr="001B53A8">
        <w:rPr>
          <w:rFonts w:ascii="Times New Roman" w:hAnsi="Times New Roman"/>
        </w:rPr>
        <w:t>investicionih</w:t>
      </w:r>
      <w:r w:rsidR="00EF2179" w:rsidRPr="001B53A8">
        <w:rPr>
          <w:rFonts w:ascii="Times New Roman" w:hAnsi="Times New Roman"/>
        </w:rPr>
        <w:t xml:space="preserve"> </w:t>
      </w:r>
      <w:r w:rsidRPr="001B53A8">
        <w:rPr>
          <w:rFonts w:ascii="Times New Roman" w:hAnsi="Times New Roman"/>
        </w:rPr>
        <w:t>fondova</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preuzimanje</w:t>
      </w:r>
      <w:r w:rsidR="00EF2179" w:rsidRPr="001B53A8">
        <w:rPr>
          <w:rFonts w:ascii="Times New Roman" w:hAnsi="Times New Roman"/>
        </w:rPr>
        <w:t xml:space="preserve"> </w:t>
      </w:r>
      <w:r w:rsidRPr="001B53A8">
        <w:rPr>
          <w:rFonts w:ascii="Times New Roman" w:hAnsi="Times New Roman"/>
        </w:rPr>
        <w:t>akcionarskih</w:t>
      </w:r>
      <w:r w:rsidR="00EF2179" w:rsidRPr="001B53A8">
        <w:rPr>
          <w:rFonts w:ascii="Times New Roman" w:hAnsi="Times New Roman"/>
        </w:rPr>
        <w:t xml:space="preserve"> </w:t>
      </w:r>
      <w:r w:rsidRPr="001B53A8">
        <w:rPr>
          <w:rFonts w:ascii="Times New Roman" w:hAnsi="Times New Roman"/>
        </w:rPr>
        <w:t>društava</w:t>
      </w:r>
      <w:r w:rsidR="00EF2179" w:rsidRPr="001B53A8">
        <w:rPr>
          <w:rStyle w:val="FootnoteReference"/>
          <w:rFonts w:ascii="Times New Roman" w:hAnsi="Times New Roman"/>
        </w:rPr>
        <w:footnoteReference w:id="28"/>
      </w:r>
      <w:r w:rsidR="00EF2179" w:rsidRPr="001B53A8">
        <w:rPr>
          <w:rFonts w:ascii="Times New Roman" w:hAnsi="Times New Roman"/>
        </w:rPr>
        <w:t xml:space="preserve">. </w:t>
      </w:r>
    </w:p>
    <w:p w14:paraId="1E4BC496" w14:textId="0C7EAF52" w:rsidR="00643CDC" w:rsidRPr="001B53A8" w:rsidRDefault="00003F34" w:rsidP="00643CDC">
      <w:pPr>
        <w:pStyle w:val="Style15"/>
        <w:widowControl/>
        <w:spacing w:before="120" w:line="240" w:lineRule="auto"/>
        <w:ind w:firstLine="567"/>
        <w:rPr>
          <w:rFonts w:ascii="Times New Roman" w:hAnsi="Times New Roman"/>
        </w:rPr>
      </w:pPr>
      <w:r w:rsidRPr="001B53A8">
        <w:rPr>
          <w:rFonts w:ascii="Times New Roman" w:hAnsi="Times New Roman"/>
        </w:rPr>
        <w:t>Pored</w:t>
      </w:r>
      <w:r w:rsidR="00643CDC" w:rsidRPr="001B53A8">
        <w:rPr>
          <w:rFonts w:ascii="Times New Roman" w:hAnsi="Times New Roman"/>
        </w:rPr>
        <w:t xml:space="preserve"> </w:t>
      </w:r>
      <w:r w:rsidRPr="001B53A8">
        <w:rPr>
          <w:rFonts w:ascii="Times New Roman" w:hAnsi="Times New Roman"/>
        </w:rPr>
        <w:t>navedenih</w:t>
      </w:r>
      <w:r w:rsidR="00643CDC" w:rsidRPr="001B53A8">
        <w:rPr>
          <w:rFonts w:ascii="Times New Roman" w:hAnsi="Times New Roman"/>
        </w:rPr>
        <w:t xml:space="preserve"> </w:t>
      </w:r>
      <w:r w:rsidRPr="001B53A8">
        <w:rPr>
          <w:rFonts w:ascii="Times New Roman" w:hAnsi="Times New Roman"/>
        </w:rPr>
        <w:t>učesnika</w:t>
      </w:r>
      <w:r w:rsidR="00643CDC" w:rsidRPr="001B53A8">
        <w:rPr>
          <w:rFonts w:ascii="Times New Roman" w:hAnsi="Times New Roman"/>
        </w:rPr>
        <w:t xml:space="preserve">, </w:t>
      </w:r>
      <w:r w:rsidRPr="001B53A8">
        <w:rPr>
          <w:rFonts w:ascii="Times New Roman" w:hAnsi="Times New Roman"/>
        </w:rPr>
        <w:t>Komisija</w:t>
      </w:r>
      <w:r w:rsidR="00643CDC" w:rsidRPr="001B53A8">
        <w:rPr>
          <w:rFonts w:ascii="Times New Roman" w:hAnsi="Times New Roman"/>
        </w:rPr>
        <w:t xml:space="preserve"> </w:t>
      </w:r>
      <w:r w:rsidRPr="001B53A8">
        <w:rPr>
          <w:rFonts w:ascii="Times New Roman" w:hAnsi="Times New Roman"/>
        </w:rPr>
        <w:t>je</w:t>
      </w:r>
      <w:r w:rsidR="00643CDC" w:rsidRPr="001B53A8">
        <w:rPr>
          <w:rFonts w:ascii="Times New Roman" w:hAnsi="Times New Roman"/>
        </w:rPr>
        <w:t xml:space="preserve"> </w:t>
      </w:r>
      <w:r w:rsidRPr="001B53A8">
        <w:rPr>
          <w:rFonts w:ascii="Times New Roman" w:hAnsi="Times New Roman"/>
        </w:rPr>
        <w:t>ovlašćena</w:t>
      </w:r>
      <w:r w:rsidR="00643CDC" w:rsidRPr="001B53A8">
        <w:rPr>
          <w:rFonts w:ascii="Times New Roman" w:hAnsi="Times New Roman"/>
        </w:rPr>
        <w:t xml:space="preserve"> </w:t>
      </w:r>
      <w:r w:rsidRPr="001B53A8">
        <w:rPr>
          <w:rFonts w:ascii="Times New Roman" w:hAnsi="Times New Roman"/>
        </w:rPr>
        <w:t>da</w:t>
      </w:r>
      <w:r w:rsidR="00643CDC" w:rsidRPr="001B53A8">
        <w:rPr>
          <w:rFonts w:ascii="Times New Roman" w:hAnsi="Times New Roman"/>
        </w:rPr>
        <w:t xml:space="preserve"> </w:t>
      </w:r>
      <w:r w:rsidRPr="001B53A8">
        <w:rPr>
          <w:rFonts w:ascii="Times New Roman" w:hAnsi="Times New Roman"/>
        </w:rPr>
        <w:t>vrši</w:t>
      </w:r>
      <w:r w:rsidR="00643CDC" w:rsidRPr="001B53A8">
        <w:rPr>
          <w:rFonts w:ascii="Times New Roman" w:hAnsi="Times New Roman"/>
        </w:rPr>
        <w:t>:</w:t>
      </w:r>
    </w:p>
    <w:p w14:paraId="042DDD61" w14:textId="12269E13" w:rsidR="00643CDC" w:rsidRPr="001B53A8" w:rsidRDefault="00003F34" w:rsidP="00643CDC">
      <w:pPr>
        <w:pStyle w:val="Style15"/>
        <w:widowControl/>
        <w:numPr>
          <w:ilvl w:val="0"/>
          <w:numId w:val="49"/>
        </w:numPr>
        <w:spacing w:line="240" w:lineRule="auto"/>
        <w:ind w:left="851" w:hanging="284"/>
        <w:rPr>
          <w:rFonts w:ascii="Times New Roman" w:hAnsi="Times New Roman"/>
        </w:rPr>
      </w:pPr>
      <w:r w:rsidRPr="001B53A8">
        <w:rPr>
          <w:rFonts w:ascii="Times New Roman" w:hAnsi="Times New Roman"/>
        </w:rPr>
        <w:t>nadzor</w:t>
      </w:r>
      <w:r w:rsidR="00643CDC" w:rsidRPr="001B53A8">
        <w:rPr>
          <w:rFonts w:ascii="Times New Roman" w:hAnsi="Times New Roman"/>
        </w:rPr>
        <w:t xml:space="preserve"> </w:t>
      </w:r>
      <w:r w:rsidRPr="001B53A8">
        <w:rPr>
          <w:rFonts w:ascii="Times New Roman" w:hAnsi="Times New Roman"/>
        </w:rPr>
        <w:t>nad</w:t>
      </w:r>
      <w:r w:rsidR="00643CDC" w:rsidRPr="001B53A8">
        <w:rPr>
          <w:rFonts w:ascii="Times New Roman" w:hAnsi="Times New Roman"/>
        </w:rPr>
        <w:t xml:space="preserve"> </w:t>
      </w:r>
      <w:r w:rsidRPr="001B53A8">
        <w:rPr>
          <w:rFonts w:ascii="Times New Roman" w:hAnsi="Times New Roman"/>
        </w:rPr>
        <w:t>radom</w:t>
      </w:r>
      <w:r w:rsidR="00643CDC" w:rsidRPr="001B53A8">
        <w:rPr>
          <w:rFonts w:ascii="Times New Roman" w:hAnsi="Times New Roman"/>
        </w:rPr>
        <w:t xml:space="preserve"> </w:t>
      </w:r>
      <w:r w:rsidRPr="001B53A8">
        <w:rPr>
          <w:rFonts w:ascii="Times New Roman" w:hAnsi="Times New Roman"/>
        </w:rPr>
        <w:t>društva</w:t>
      </w:r>
      <w:r w:rsidR="00643CDC" w:rsidRPr="001B53A8">
        <w:rPr>
          <w:rFonts w:ascii="Times New Roman" w:hAnsi="Times New Roman"/>
        </w:rPr>
        <w:t xml:space="preserve"> </w:t>
      </w:r>
      <w:r w:rsidRPr="001B53A8">
        <w:rPr>
          <w:rFonts w:ascii="Times New Roman" w:hAnsi="Times New Roman"/>
        </w:rPr>
        <w:t>za</w:t>
      </w:r>
      <w:r w:rsidR="00643CDC" w:rsidRPr="001B53A8">
        <w:rPr>
          <w:rFonts w:ascii="Times New Roman" w:hAnsi="Times New Roman"/>
        </w:rPr>
        <w:t xml:space="preserve"> </w:t>
      </w:r>
      <w:r w:rsidRPr="001B53A8">
        <w:rPr>
          <w:rFonts w:ascii="Times New Roman" w:hAnsi="Times New Roman"/>
        </w:rPr>
        <w:t>faktoring</w:t>
      </w:r>
      <w:r w:rsidR="00643CDC" w:rsidRPr="001B53A8">
        <w:rPr>
          <w:rFonts w:ascii="Times New Roman" w:hAnsi="Times New Roman"/>
        </w:rPr>
        <w:t xml:space="preserve">, </w:t>
      </w:r>
      <w:r w:rsidRPr="001B53A8">
        <w:rPr>
          <w:rFonts w:ascii="Times New Roman" w:hAnsi="Times New Roman"/>
        </w:rPr>
        <w:t>te</w:t>
      </w:r>
      <w:r w:rsidR="00643CDC" w:rsidRPr="001B53A8">
        <w:rPr>
          <w:rFonts w:ascii="Times New Roman" w:hAnsi="Times New Roman"/>
        </w:rPr>
        <w:t xml:space="preserve"> </w:t>
      </w:r>
    </w:p>
    <w:p w14:paraId="6D7FCFFC" w14:textId="64393CA2" w:rsidR="00643CDC" w:rsidRPr="001B53A8" w:rsidRDefault="00003F34" w:rsidP="00643CDC">
      <w:pPr>
        <w:pStyle w:val="Style15"/>
        <w:widowControl/>
        <w:numPr>
          <w:ilvl w:val="0"/>
          <w:numId w:val="49"/>
        </w:numPr>
        <w:spacing w:line="240" w:lineRule="auto"/>
        <w:ind w:left="851" w:hanging="284"/>
        <w:rPr>
          <w:rFonts w:ascii="Times New Roman" w:hAnsi="Times New Roman"/>
        </w:rPr>
      </w:pPr>
      <w:r w:rsidRPr="001B53A8">
        <w:rPr>
          <w:rFonts w:ascii="Times New Roman" w:hAnsi="Times New Roman"/>
        </w:rPr>
        <w:t>nadzor</w:t>
      </w:r>
      <w:r w:rsidR="00643CDC" w:rsidRPr="001B53A8">
        <w:rPr>
          <w:rFonts w:ascii="Times New Roman" w:hAnsi="Times New Roman"/>
        </w:rPr>
        <w:t xml:space="preserve"> </w:t>
      </w:r>
      <w:r w:rsidRPr="001B53A8">
        <w:rPr>
          <w:rFonts w:ascii="Times New Roman" w:hAnsi="Times New Roman"/>
        </w:rPr>
        <w:t>nad</w:t>
      </w:r>
      <w:r w:rsidR="00643CDC" w:rsidRPr="001B53A8">
        <w:rPr>
          <w:rFonts w:ascii="Times New Roman" w:hAnsi="Times New Roman"/>
        </w:rPr>
        <w:t xml:space="preserve"> </w:t>
      </w:r>
      <w:r w:rsidRPr="001B53A8">
        <w:rPr>
          <w:rFonts w:ascii="Times New Roman" w:hAnsi="Times New Roman"/>
        </w:rPr>
        <w:t>usklađenosti</w:t>
      </w:r>
      <w:r w:rsidR="00643CDC" w:rsidRPr="001B53A8">
        <w:rPr>
          <w:rFonts w:ascii="Times New Roman" w:hAnsi="Times New Roman"/>
        </w:rPr>
        <w:t xml:space="preserve"> </w:t>
      </w:r>
      <w:r w:rsidRPr="001B53A8">
        <w:rPr>
          <w:rFonts w:ascii="Times New Roman" w:hAnsi="Times New Roman"/>
        </w:rPr>
        <w:t>poslovanja</w:t>
      </w:r>
      <w:r w:rsidR="00643CDC" w:rsidRPr="001B53A8">
        <w:rPr>
          <w:rFonts w:ascii="Times New Roman" w:hAnsi="Times New Roman"/>
        </w:rPr>
        <w:t xml:space="preserve"> </w:t>
      </w:r>
      <w:r w:rsidRPr="001B53A8">
        <w:rPr>
          <w:rFonts w:ascii="Times New Roman" w:hAnsi="Times New Roman"/>
        </w:rPr>
        <w:t>sa</w:t>
      </w:r>
      <w:r w:rsidR="00643CDC" w:rsidRPr="001B53A8">
        <w:rPr>
          <w:rFonts w:ascii="Times New Roman" w:hAnsi="Times New Roman"/>
        </w:rPr>
        <w:t xml:space="preserve"> </w:t>
      </w:r>
      <w:r w:rsidRPr="001B53A8">
        <w:rPr>
          <w:rFonts w:ascii="Times New Roman" w:hAnsi="Times New Roman"/>
        </w:rPr>
        <w:t>zakonom</w:t>
      </w:r>
      <w:r w:rsidR="00643CDC" w:rsidRPr="001B53A8">
        <w:rPr>
          <w:rFonts w:ascii="Times New Roman" w:hAnsi="Times New Roman"/>
        </w:rPr>
        <w:t xml:space="preserve"> </w:t>
      </w:r>
      <w:r w:rsidRPr="001B53A8">
        <w:rPr>
          <w:rFonts w:ascii="Times New Roman" w:hAnsi="Times New Roman"/>
        </w:rPr>
        <w:t>i</w:t>
      </w:r>
      <w:r w:rsidR="00643CDC" w:rsidRPr="001B53A8">
        <w:rPr>
          <w:rFonts w:ascii="Times New Roman" w:hAnsi="Times New Roman"/>
        </w:rPr>
        <w:t xml:space="preserve"> </w:t>
      </w:r>
      <w:r w:rsidRPr="001B53A8">
        <w:rPr>
          <w:rFonts w:ascii="Times New Roman" w:hAnsi="Times New Roman"/>
        </w:rPr>
        <w:t>drugim</w:t>
      </w:r>
      <w:r w:rsidR="00643CDC" w:rsidRPr="001B53A8">
        <w:rPr>
          <w:rFonts w:ascii="Times New Roman" w:hAnsi="Times New Roman"/>
        </w:rPr>
        <w:t xml:space="preserve"> </w:t>
      </w:r>
      <w:r w:rsidRPr="001B53A8">
        <w:rPr>
          <w:rFonts w:ascii="Times New Roman" w:hAnsi="Times New Roman"/>
        </w:rPr>
        <w:t>propisima</w:t>
      </w:r>
      <w:r w:rsidR="00643CDC" w:rsidRPr="001B53A8">
        <w:rPr>
          <w:rFonts w:ascii="Times New Roman" w:hAnsi="Times New Roman"/>
        </w:rPr>
        <w:t xml:space="preserve"> </w:t>
      </w:r>
      <w:r w:rsidRPr="001B53A8">
        <w:rPr>
          <w:rFonts w:ascii="Times New Roman" w:hAnsi="Times New Roman"/>
        </w:rPr>
        <w:t>kojima</w:t>
      </w:r>
      <w:r w:rsidR="00643CDC" w:rsidRPr="001B53A8">
        <w:rPr>
          <w:rFonts w:ascii="Times New Roman" w:hAnsi="Times New Roman"/>
        </w:rPr>
        <w:t xml:space="preserve"> </w:t>
      </w:r>
      <w:r w:rsidRPr="001B53A8">
        <w:rPr>
          <w:rFonts w:ascii="Times New Roman" w:hAnsi="Times New Roman"/>
        </w:rPr>
        <w:t>se</w:t>
      </w:r>
      <w:r w:rsidR="00643CDC" w:rsidRPr="001B53A8">
        <w:rPr>
          <w:rFonts w:ascii="Times New Roman" w:hAnsi="Times New Roman"/>
        </w:rPr>
        <w:t xml:space="preserve"> </w:t>
      </w:r>
      <w:r w:rsidRPr="001B53A8">
        <w:rPr>
          <w:rFonts w:ascii="Times New Roman" w:hAnsi="Times New Roman"/>
        </w:rPr>
        <w:t>uređuje</w:t>
      </w:r>
      <w:r w:rsidR="00643CDC" w:rsidRPr="001B53A8">
        <w:rPr>
          <w:rFonts w:ascii="Times New Roman" w:hAnsi="Times New Roman"/>
        </w:rPr>
        <w:t xml:space="preserve"> </w:t>
      </w:r>
      <w:r w:rsidRPr="001B53A8">
        <w:rPr>
          <w:rFonts w:ascii="Times New Roman" w:hAnsi="Times New Roman"/>
        </w:rPr>
        <w:t>sprečavanje</w:t>
      </w:r>
      <w:r w:rsidR="00643CDC" w:rsidRPr="001B53A8">
        <w:rPr>
          <w:rFonts w:ascii="Times New Roman" w:hAnsi="Times New Roman"/>
        </w:rPr>
        <w:t xml:space="preserve"> </w:t>
      </w:r>
      <w:r w:rsidRPr="001B53A8">
        <w:rPr>
          <w:rFonts w:ascii="Times New Roman" w:hAnsi="Times New Roman"/>
        </w:rPr>
        <w:t>pranja</w:t>
      </w:r>
      <w:r w:rsidR="00643CDC" w:rsidRPr="001B53A8">
        <w:rPr>
          <w:rFonts w:ascii="Times New Roman" w:hAnsi="Times New Roman"/>
        </w:rPr>
        <w:t xml:space="preserve"> </w:t>
      </w:r>
      <w:r w:rsidRPr="001B53A8">
        <w:rPr>
          <w:rFonts w:ascii="Times New Roman" w:hAnsi="Times New Roman"/>
        </w:rPr>
        <w:t>novca</w:t>
      </w:r>
      <w:r w:rsidR="00643CDC" w:rsidRPr="001B53A8">
        <w:rPr>
          <w:rFonts w:ascii="Times New Roman" w:hAnsi="Times New Roman"/>
        </w:rPr>
        <w:t xml:space="preserve"> </w:t>
      </w:r>
      <w:r w:rsidRPr="001B53A8">
        <w:rPr>
          <w:rFonts w:ascii="Times New Roman" w:hAnsi="Times New Roman"/>
        </w:rPr>
        <w:t>i</w:t>
      </w:r>
      <w:r w:rsidR="00643CDC" w:rsidRPr="001B53A8">
        <w:rPr>
          <w:rFonts w:ascii="Times New Roman" w:hAnsi="Times New Roman"/>
        </w:rPr>
        <w:t xml:space="preserve"> </w:t>
      </w:r>
      <w:r w:rsidRPr="001B53A8">
        <w:rPr>
          <w:rFonts w:ascii="Times New Roman" w:hAnsi="Times New Roman"/>
        </w:rPr>
        <w:t>finansiranja</w:t>
      </w:r>
      <w:r w:rsidR="00643CDC" w:rsidRPr="001B53A8">
        <w:rPr>
          <w:rFonts w:ascii="Times New Roman" w:hAnsi="Times New Roman"/>
        </w:rPr>
        <w:t xml:space="preserve"> </w:t>
      </w:r>
      <w:r w:rsidRPr="001B53A8">
        <w:rPr>
          <w:rFonts w:ascii="Times New Roman" w:hAnsi="Times New Roman"/>
        </w:rPr>
        <w:t>terorističkih</w:t>
      </w:r>
      <w:r w:rsidR="00643CDC" w:rsidRPr="001B53A8">
        <w:rPr>
          <w:rFonts w:ascii="Times New Roman" w:hAnsi="Times New Roman"/>
        </w:rPr>
        <w:t xml:space="preserve"> </w:t>
      </w:r>
      <w:r w:rsidRPr="001B53A8">
        <w:rPr>
          <w:rFonts w:ascii="Times New Roman" w:hAnsi="Times New Roman"/>
        </w:rPr>
        <w:t>aktivnosti</w:t>
      </w:r>
      <w:r w:rsidR="00643CDC" w:rsidRPr="001B53A8">
        <w:rPr>
          <w:rFonts w:ascii="Times New Roman" w:hAnsi="Times New Roman"/>
        </w:rPr>
        <w:t xml:space="preserve">, </w:t>
      </w:r>
      <w:r w:rsidRPr="001B53A8">
        <w:rPr>
          <w:rFonts w:ascii="Times New Roman" w:hAnsi="Times New Roman"/>
        </w:rPr>
        <w:t>da</w:t>
      </w:r>
      <w:r w:rsidR="00643CDC" w:rsidRPr="001B53A8">
        <w:rPr>
          <w:rFonts w:ascii="Times New Roman" w:hAnsi="Times New Roman"/>
        </w:rPr>
        <w:t xml:space="preserve"> </w:t>
      </w:r>
      <w:r w:rsidRPr="001B53A8">
        <w:rPr>
          <w:rFonts w:ascii="Times New Roman" w:hAnsi="Times New Roman"/>
        </w:rPr>
        <w:t>preduzima</w:t>
      </w:r>
      <w:r w:rsidR="00643CDC" w:rsidRPr="001B53A8">
        <w:rPr>
          <w:rFonts w:ascii="Times New Roman" w:hAnsi="Times New Roman"/>
        </w:rPr>
        <w:t xml:space="preserve"> </w:t>
      </w:r>
      <w:r w:rsidRPr="001B53A8">
        <w:rPr>
          <w:rFonts w:ascii="Times New Roman" w:hAnsi="Times New Roman"/>
        </w:rPr>
        <w:t>mjere</w:t>
      </w:r>
      <w:r w:rsidR="00643CDC" w:rsidRPr="001B53A8">
        <w:rPr>
          <w:rFonts w:ascii="Times New Roman" w:hAnsi="Times New Roman"/>
        </w:rPr>
        <w:t xml:space="preserve"> </w:t>
      </w:r>
      <w:r w:rsidRPr="001B53A8">
        <w:rPr>
          <w:rFonts w:ascii="Times New Roman" w:hAnsi="Times New Roman"/>
        </w:rPr>
        <w:t>u</w:t>
      </w:r>
      <w:r w:rsidR="00643CDC" w:rsidRPr="001B53A8">
        <w:rPr>
          <w:rFonts w:ascii="Times New Roman" w:hAnsi="Times New Roman"/>
        </w:rPr>
        <w:t xml:space="preserve"> </w:t>
      </w:r>
      <w:r w:rsidRPr="001B53A8">
        <w:rPr>
          <w:rFonts w:ascii="Times New Roman" w:hAnsi="Times New Roman"/>
        </w:rPr>
        <w:t>vezi</w:t>
      </w:r>
      <w:r w:rsidR="00643CDC" w:rsidRPr="001B53A8">
        <w:rPr>
          <w:rFonts w:ascii="Times New Roman" w:hAnsi="Times New Roman"/>
        </w:rPr>
        <w:t xml:space="preserve"> </w:t>
      </w:r>
      <w:r w:rsidRPr="001B53A8">
        <w:rPr>
          <w:rFonts w:ascii="Times New Roman" w:hAnsi="Times New Roman"/>
        </w:rPr>
        <w:t>sa</w:t>
      </w:r>
      <w:r w:rsidR="00643CDC" w:rsidRPr="001B53A8">
        <w:rPr>
          <w:rFonts w:ascii="Times New Roman" w:hAnsi="Times New Roman"/>
        </w:rPr>
        <w:t xml:space="preserve"> </w:t>
      </w:r>
      <w:r w:rsidRPr="001B53A8">
        <w:rPr>
          <w:rFonts w:ascii="Times New Roman" w:hAnsi="Times New Roman"/>
        </w:rPr>
        <w:t>tim</w:t>
      </w:r>
      <w:r w:rsidR="00643CDC" w:rsidRPr="001B53A8">
        <w:rPr>
          <w:rFonts w:ascii="Times New Roman" w:hAnsi="Times New Roman"/>
        </w:rPr>
        <w:t xml:space="preserve"> </w:t>
      </w:r>
      <w:r w:rsidRPr="001B53A8">
        <w:rPr>
          <w:rFonts w:ascii="Times New Roman" w:hAnsi="Times New Roman"/>
        </w:rPr>
        <w:t>propisima</w:t>
      </w:r>
      <w:r w:rsidR="00643CDC" w:rsidRPr="001B53A8">
        <w:rPr>
          <w:rFonts w:ascii="Times New Roman" w:hAnsi="Times New Roman"/>
        </w:rPr>
        <w:t xml:space="preserve"> </w:t>
      </w:r>
      <w:r w:rsidRPr="001B53A8">
        <w:rPr>
          <w:rFonts w:ascii="Times New Roman" w:hAnsi="Times New Roman"/>
        </w:rPr>
        <w:t>nad</w:t>
      </w:r>
      <w:r w:rsidR="00643CDC" w:rsidRPr="001B53A8">
        <w:rPr>
          <w:rFonts w:ascii="Times New Roman" w:hAnsi="Times New Roman"/>
        </w:rPr>
        <w:t xml:space="preserve"> </w:t>
      </w:r>
      <w:r w:rsidRPr="001B53A8">
        <w:rPr>
          <w:rFonts w:ascii="Times New Roman" w:hAnsi="Times New Roman"/>
        </w:rPr>
        <w:t>licima</w:t>
      </w:r>
      <w:r w:rsidR="00643CDC" w:rsidRPr="001B53A8">
        <w:rPr>
          <w:rFonts w:ascii="Times New Roman" w:hAnsi="Times New Roman"/>
        </w:rPr>
        <w:t xml:space="preserve"> </w:t>
      </w:r>
      <w:r w:rsidRPr="001B53A8">
        <w:rPr>
          <w:rFonts w:ascii="Times New Roman" w:hAnsi="Times New Roman"/>
        </w:rPr>
        <w:t>koja</w:t>
      </w:r>
      <w:r w:rsidR="00643CDC" w:rsidRPr="001B53A8">
        <w:rPr>
          <w:rFonts w:ascii="Times New Roman" w:hAnsi="Times New Roman"/>
        </w:rPr>
        <w:t xml:space="preserve"> </w:t>
      </w:r>
      <w:r w:rsidRPr="001B53A8">
        <w:rPr>
          <w:rFonts w:ascii="Times New Roman" w:hAnsi="Times New Roman"/>
        </w:rPr>
        <w:t>su</w:t>
      </w:r>
      <w:r w:rsidR="00643CDC" w:rsidRPr="001B53A8">
        <w:rPr>
          <w:rFonts w:ascii="Times New Roman" w:hAnsi="Times New Roman"/>
        </w:rPr>
        <w:t xml:space="preserve"> </w:t>
      </w:r>
      <w:r w:rsidRPr="001B53A8">
        <w:rPr>
          <w:rFonts w:ascii="Times New Roman" w:hAnsi="Times New Roman"/>
        </w:rPr>
        <w:t>osnovana</w:t>
      </w:r>
      <w:r w:rsidR="00643CDC" w:rsidRPr="001B53A8">
        <w:rPr>
          <w:rFonts w:ascii="Times New Roman" w:hAnsi="Times New Roman"/>
        </w:rPr>
        <w:t xml:space="preserve"> </w:t>
      </w:r>
      <w:r w:rsidRPr="001B53A8">
        <w:rPr>
          <w:rFonts w:ascii="Times New Roman" w:hAnsi="Times New Roman"/>
        </w:rPr>
        <w:t>u</w:t>
      </w:r>
      <w:r w:rsidR="00643CDC" w:rsidRPr="001B53A8">
        <w:rPr>
          <w:rFonts w:ascii="Times New Roman" w:hAnsi="Times New Roman"/>
        </w:rPr>
        <w:t xml:space="preserve"> </w:t>
      </w:r>
      <w:r w:rsidRPr="001B53A8">
        <w:rPr>
          <w:rFonts w:ascii="Times New Roman" w:hAnsi="Times New Roman"/>
        </w:rPr>
        <w:t>Republici</w:t>
      </w:r>
      <w:r w:rsidR="00643CDC" w:rsidRPr="001B53A8">
        <w:rPr>
          <w:rFonts w:ascii="Times New Roman" w:hAnsi="Times New Roman"/>
        </w:rPr>
        <w:t xml:space="preserve"> </w:t>
      </w:r>
      <w:r w:rsidRPr="001B53A8">
        <w:rPr>
          <w:rFonts w:ascii="Times New Roman" w:hAnsi="Times New Roman"/>
        </w:rPr>
        <w:t>Srpskoj</w:t>
      </w:r>
      <w:r w:rsidR="00643CDC" w:rsidRPr="001B53A8">
        <w:rPr>
          <w:rFonts w:ascii="Times New Roman" w:hAnsi="Times New Roman"/>
        </w:rPr>
        <w:t xml:space="preserve"> </w:t>
      </w:r>
      <w:r w:rsidRPr="001B53A8">
        <w:rPr>
          <w:rFonts w:ascii="Times New Roman" w:hAnsi="Times New Roman"/>
        </w:rPr>
        <w:t>da</w:t>
      </w:r>
      <w:r w:rsidR="00643CDC" w:rsidRPr="001B53A8">
        <w:rPr>
          <w:rFonts w:ascii="Times New Roman" w:hAnsi="Times New Roman"/>
        </w:rPr>
        <w:t xml:space="preserve"> </w:t>
      </w:r>
      <w:r w:rsidRPr="001B53A8">
        <w:rPr>
          <w:rFonts w:ascii="Times New Roman" w:hAnsi="Times New Roman"/>
        </w:rPr>
        <w:t>pružaju</w:t>
      </w:r>
      <w:r w:rsidR="00643CDC" w:rsidRPr="001B53A8">
        <w:rPr>
          <w:rFonts w:ascii="Times New Roman" w:hAnsi="Times New Roman"/>
        </w:rPr>
        <w:t xml:space="preserve"> </w:t>
      </w:r>
      <w:r w:rsidRPr="001B53A8">
        <w:rPr>
          <w:rFonts w:ascii="Times New Roman" w:hAnsi="Times New Roman"/>
        </w:rPr>
        <w:t>usluge</w:t>
      </w:r>
      <w:r w:rsidR="00643CDC" w:rsidRPr="001B53A8">
        <w:rPr>
          <w:rFonts w:ascii="Times New Roman" w:hAnsi="Times New Roman"/>
        </w:rPr>
        <w:t xml:space="preserve"> </w:t>
      </w:r>
      <w:r w:rsidRPr="001B53A8">
        <w:rPr>
          <w:rFonts w:ascii="Times New Roman" w:hAnsi="Times New Roman"/>
        </w:rPr>
        <w:t>povezane</w:t>
      </w:r>
      <w:r w:rsidR="00643CDC" w:rsidRPr="001B53A8">
        <w:rPr>
          <w:rFonts w:ascii="Times New Roman" w:hAnsi="Times New Roman"/>
        </w:rPr>
        <w:t xml:space="preserve"> </w:t>
      </w:r>
      <w:r w:rsidRPr="001B53A8">
        <w:rPr>
          <w:rFonts w:ascii="Times New Roman" w:hAnsi="Times New Roman"/>
        </w:rPr>
        <w:t>sa</w:t>
      </w:r>
      <w:r w:rsidR="00643CDC" w:rsidRPr="001B53A8">
        <w:rPr>
          <w:rFonts w:ascii="Times New Roman" w:hAnsi="Times New Roman"/>
        </w:rPr>
        <w:t xml:space="preserve"> </w:t>
      </w:r>
      <w:r w:rsidRPr="001B53A8">
        <w:rPr>
          <w:rFonts w:ascii="Times New Roman" w:hAnsi="Times New Roman"/>
        </w:rPr>
        <w:t>virtuelnim</w:t>
      </w:r>
      <w:r w:rsidR="00643CDC" w:rsidRPr="001B53A8">
        <w:rPr>
          <w:rFonts w:ascii="Times New Roman" w:hAnsi="Times New Roman"/>
        </w:rPr>
        <w:t xml:space="preserve"> </w:t>
      </w:r>
      <w:r w:rsidRPr="001B53A8">
        <w:rPr>
          <w:rFonts w:ascii="Times New Roman" w:hAnsi="Times New Roman"/>
        </w:rPr>
        <w:t>valutama</w:t>
      </w:r>
      <w:r w:rsidR="00643CDC" w:rsidRPr="001B53A8">
        <w:rPr>
          <w:rFonts w:ascii="Times New Roman" w:hAnsi="Times New Roman"/>
        </w:rPr>
        <w:t xml:space="preserve">, </w:t>
      </w:r>
      <w:r w:rsidRPr="001B53A8">
        <w:rPr>
          <w:rFonts w:ascii="Times New Roman" w:hAnsi="Times New Roman"/>
        </w:rPr>
        <w:t>kao</w:t>
      </w:r>
      <w:r w:rsidR="00643CDC" w:rsidRPr="001B53A8">
        <w:rPr>
          <w:rFonts w:ascii="Times New Roman" w:hAnsi="Times New Roman"/>
        </w:rPr>
        <w:t xml:space="preserve"> </w:t>
      </w:r>
      <w:r w:rsidRPr="001B53A8">
        <w:rPr>
          <w:rFonts w:ascii="Times New Roman" w:hAnsi="Times New Roman"/>
        </w:rPr>
        <w:t>i</w:t>
      </w:r>
      <w:r w:rsidR="00643CDC" w:rsidRPr="001B53A8">
        <w:rPr>
          <w:rFonts w:ascii="Times New Roman" w:hAnsi="Times New Roman"/>
        </w:rPr>
        <w:t xml:space="preserve"> </w:t>
      </w:r>
      <w:r w:rsidRPr="001B53A8">
        <w:rPr>
          <w:rFonts w:ascii="Times New Roman" w:hAnsi="Times New Roman"/>
        </w:rPr>
        <w:t>nad</w:t>
      </w:r>
      <w:r w:rsidR="00643CDC" w:rsidRPr="001B53A8">
        <w:rPr>
          <w:rFonts w:ascii="Times New Roman" w:hAnsi="Times New Roman"/>
        </w:rPr>
        <w:t xml:space="preserve"> </w:t>
      </w:r>
      <w:r w:rsidRPr="001B53A8">
        <w:rPr>
          <w:rFonts w:ascii="Times New Roman" w:hAnsi="Times New Roman"/>
        </w:rPr>
        <w:t>subjektima</w:t>
      </w:r>
      <w:r w:rsidR="00643CDC" w:rsidRPr="001B53A8">
        <w:rPr>
          <w:rFonts w:ascii="Times New Roman" w:hAnsi="Times New Roman"/>
        </w:rPr>
        <w:t xml:space="preserve"> </w:t>
      </w:r>
      <w:r w:rsidRPr="001B53A8">
        <w:rPr>
          <w:rFonts w:ascii="Times New Roman" w:hAnsi="Times New Roman"/>
        </w:rPr>
        <w:t>sa</w:t>
      </w:r>
      <w:r w:rsidR="00643CDC" w:rsidRPr="001B53A8">
        <w:rPr>
          <w:rFonts w:ascii="Times New Roman" w:hAnsi="Times New Roman"/>
        </w:rPr>
        <w:t xml:space="preserve"> </w:t>
      </w:r>
      <w:r w:rsidRPr="001B53A8">
        <w:rPr>
          <w:rFonts w:ascii="Times New Roman" w:hAnsi="Times New Roman"/>
        </w:rPr>
        <w:t>sjedištem</w:t>
      </w:r>
      <w:r w:rsidR="00643CDC" w:rsidRPr="001B53A8">
        <w:rPr>
          <w:rFonts w:ascii="Times New Roman" w:hAnsi="Times New Roman"/>
        </w:rPr>
        <w:t xml:space="preserve"> </w:t>
      </w:r>
      <w:r w:rsidRPr="001B53A8">
        <w:rPr>
          <w:rFonts w:ascii="Times New Roman" w:hAnsi="Times New Roman"/>
        </w:rPr>
        <w:t>izvan</w:t>
      </w:r>
      <w:r w:rsidR="00643CDC" w:rsidRPr="001B53A8">
        <w:rPr>
          <w:rFonts w:ascii="Times New Roman" w:hAnsi="Times New Roman"/>
        </w:rPr>
        <w:t xml:space="preserve"> </w:t>
      </w:r>
      <w:r w:rsidRPr="001B53A8">
        <w:rPr>
          <w:rFonts w:ascii="Times New Roman" w:hAnsi="Times New Roman"/>
        </w:rPr>
        <w:t>Republike</w:t>
      </w:r>
      <w:r w:rsidR="00643CDC" w:rsidRPr="001B53A8">
        <w:rPr>
          <w:rFonts w:ascii="Times New Roman" w:hAnsi="Times New Roman"/>
        </w:rPr>
        <w:t xml:space="preserve"> </w:t>
      </w:r>
      <w:r w:rsidRPr="001B53A8">
        <w:rPr>
          <w:rFonts w:ascii="Times New Roman" w:hAnsi="Times New Roman"/>
        </w:rPr>
        <w:t>Srpske</w:t>
      </w:r>
      <w:r w:rsidR="00643CDC" w:rsidRPr="001B53A8">
        <w:rPr>
          <w:rFonts w:ascii="Times New Roman" w:hAnsi="Times New Roman"/>
        </w:rPr>
        <w:t xml:space="preserve">, </w:t>
      </w:r>
      <w:r w:rsidRPr="001B53A8">
        <w:rPr>
          <w:rFonts w:ascii="Times New Roman" w:hAnsi="Times New Roman"/>
        </w:rPr>
        <w:t>a</w:t>
      </w:r>
      <w:r w:rsidR="00643CDC" w:rsidRPr="001B53A8">
        <w:rPr>
          <w:rFonts w:ascii="Times New Roman" w:hAnsi="Times New Roman"/>
        </w:rPr>
        <w:t xml:space="preserve"> </w:t>
      </w:r>
      <w:r w:rsidRPr="001B53A8">
        <w:rPr>
          <w:rFonts w:ascii="Times New Roman" w:hAnsi="Times New Roman"/>
        </w:rPr>
        <w:t>koji</w:t>
      </w:r>
      <w:r w:rsidR="00643CDC" w:rsidRPr="001B53A8">
        <w:rPr>
          <w:rFonts w:ascii="Times New Roman" w:hAnsi="Times New Roman"/>
        </w:rPr>
        <w:t xml:space="preserve"> </w:t>
      </w:r>
      <w:r w:rsidRPr="001B53A8">
        <w:rPr>
          <w:rFonts w:ascii="Times New Roman" w:hAnsi="Times New Roman"/>
        </w:rPr>
        <w:t>putem</w:t>
      </w:r>
      <w:r w:rsidR="00643CDC" w:rsidRPr="001B53A8">
        <w:rPr>
          <w:rFonts w:ascii="Times New Roman" w:hAnsi="Times New Roman"/>
        </w:rPr>
        <w:t xml:space="preserve"> </w:t>
      </w:r>
      <w:r w:rsidRPr="001B53A8">
        <w:rPr>
          <w:rFonts w:ascii="Times New Roman" w:hAnsi="Times New Roman"/>
        </w:rPr>
        <w:t>ogranka</w:t>
      </w:r>
      <w:r w:rsidR="00643CDC" w:rsidRPr="001B53A8">
        <w:rPr>
          <w:rFonts w:ascii="Times New Roman" w:hAnsi="Times New Roman"/>
        </w:rPr>
        <w:t xml:space="preserve"> </w:t>
      </w:r>
      <w:r w:rsidRPr="001B53A8">
        <w:rPr>
          <w:rFonts w:ascii="Times New Roman" w:hAnsi="Times New Roman"/>
        </w:rPr>
        <w:t>pružaju</w:t>
      </w:r>
      <w:r w:rsidR="00643CDC" w:rsidRPr="001B53A8">
        <w:rPr>
          <w:rFonts w:ascii="Times New Roman" w:hAnsi="Times New Roman"/>
        </w:rPr>
        <w:t xml:space="preserve"> </w:t>
      </w:r>
      <w:r w:rsidRPr="001B53A8">
        <w:rPr>
          <w:rFonts w:ascii="Times New Roman" w:hAnsi="Times New Roman"/>
        </w:rPr>
        <w:t>te</w:t>
      </w:r>
      <w:r w:rsidR="00643CDC" w:rsidRPr="001B53A8">
        <w:rPr>
          <w:rFonts w:ascii="Times New Roman" w:hAnsi="Times New Roman"/>
        </w:rPr>
        <w:t xml:space="preserve"> </w:t>
      </w:r>
      <w:r w:rsidRPr="001B53A8">
        <w:rPr>
          <w:rFonts w:ascii="Times New Roman" w:hAnsi="Times New Roman"/>
        </w:rPr>
        <w:t>usluge</w:t>
      </w:r>
      <w:r w:rsidR="00643CDC" w:rsidRPr="001B53A8">
        <w:rPr>
          <w:rFonts w:ascii="Times New Roman" w:hAnsi="Times New Roman"/>
        </w:rPr>
        <w:t xml:space="preserve"> </w:t>
      </w:r>
      <w:r w:rsidRPr="001B53A8">
        <w:rPr>
          <w:rFonts w:ascii="Times New Roman" w:hAnsi="Times New Roman"/>
        </w:rPr>
        <w:t>u</w:t>
      </w:r>
      <w:r w:rsidR="00643CDC" w:rsidRPr="001B53A8">
        <w:rPr>
          <w:rFonts w:ascii="Times New Roman" w:hAnsi="Times New Roman"/>
        </w:rPr>
        <w:t xml:space="preserve"> </w:t>
      </w:r>
      <w:r w:rsidRPr="001B53A8">
        <w:rPr>
          <w:rFonts w:ascii="Times New Roman" w:hAnsi="Times New Roman"/>
        </w:rPr>
        <w:t>Republici</w:t>
      </w:r>
      <w:r w:rsidR="00643CDC" w:rsidRPr="001B53A8">
        <w:rPr>
          <w:rFonts w:ascii="Times New Roman" w:hAnsi="Times New Roman"/>
        </w:rPr>
        <w:t xml:space="preserve"> </w:t>
      </w:r>
      <w:r w:rsidRPr="001B53A8">
        <w:rPr>
          <w:rFonts w:ascii="Times New Roman" w:hAnsi="Times New Roman"/>
        </w:rPr>
        <w:t>Srpskoj</w:t>
      </w:r>
      <w:r w:rsidR="00643CDC" w:rsidRPr="001B53A8">
        <w:rPr>
          <w:rFonts w:ascii="Times New Roman" w:hAnsi="Times New Roman"/>
        </w:rPr>
        <w:t>.</w:t>
      </w:r>
    </w:p>
    <w:p w14:paraId="0503CE2D" w14:textId="676E6F87" w:rsidR="00EF2179" w:rsidRPr="001B53A8" w:rsidRDefault="00003F34" w:rsidP="00EF2179">
      <w:pPr>
        <w:pStyle w:val="Style15"/>
        <w:widowControl/>
        <w:spacing w:before="120" w:line="240" w:lineRule="auto"/>
        <w:ind w:firstLine="567"/>
        <w:rPr>
          <w:rFonts w:ascii="Times New Roman" w:hAnsi="Times New Roman"/>
        </w:rPr>
      </w:pPr>
      <w:r w:rsidRPr="001B53A8">
        <w:rPr>
          <w:rFonts w:ascii="Times New Roman" w:hAnsi="Times New Roman"/>
        </w:rPr>
        <w:t>Nadzor</w:t>
      </w:r>
      <w:r w:rsidR="00EF2179" w:rsidRPr="001B53A8">
        <w:rPr>
          <w:rFonts w:ascii="Times New Roman" w:hAnsi="Times New Roman"/>
        </w:rPr>
        <w:t xml:space="preserve"> </w:t>
      </w:r>
      <w:r w:rsidRPr="001B53A8">
        <w:rPr>
          <w:rFonts w:ascii="Times New Roman" w:hAnsi="Times New Roman"/>
        </w:rPr>
        <w:t>koji</w:t>
      </w:r>
      <w:r w:rsidR="00EF2179" w:rsidRPr="001B53A8">
        <w:rPr>
          <w:rFonts w:ascii="Times New Roman" w:hAnsi="Times New Roman"/>
        </w:rPr>
        <w:t xml:space="preserve"> </w:t>
      </w:r>
      <w:r w:rsidRPr="001B53A8">
        <w:rPr>
          <w:rFonts w:ascii="Times New Roman" w:hAnsi="Times New Roman"/>
        </w:rPr>
        <w:t>provodi</w:t>
      </w:r>
      <w:r w:rsidR="00EF2179" w:rsidRPr="001B53A8">
        <w:rPr>
          <w:rFonts w:ascii="Times New Roman" w:hAnsi="Times New Roman"/>
        </w:rPr>
        <w:t xml:space="preserve"> </w:t>
      </w:r>
      <w:r w:rsidRPr="001B53A8">
        <w:rPr>
          <w:rFonts w:ascii="Times New Roman" w:hAnsi="Times New Roman"/>
        </w:rPr>
        <w:t>Komisija</w:t>
      </w:r>
      <w:r w:rsidR="00EF2179" w:rsidRPr="001B53A8">
        <w:rPr>
          <w:rFonts w:ascii="Times New Roman" w:hAnsi="Times New Roman"/>
        </w:rPr>
        <w:t xml:space="preserve"> </w:t>
      </w:r>
      <w:r w:rsidRPr="001B53A8">
        <w:rPr>
          <w:rFonts w:ascii="Times New Roman" w:hAnsi="Times New Roman"/>
        </w:rPr>
        <w:t>može</w:t>
      </w:r>
      <w:r w:rsidR="00EF2179" w:rsidRPr="001B53A8">
        <w:rPr>
          <w:rFonts w:ascii="Times New Roman" w:hAnsi="Times New Roman"/>
        </w:rPr>
        <w:t xml:space="preserve"> </w:t>
      </w:r>
      <w:r w:rsidRPr="001B53A8">
        <w:rPr>
          <w:rFonts w:ascii="Times New Roman" w:hAnsi="Times New Roman"/>
        </w:rPr>
        <w:t>da</w:t>
      </w:r>
      <w:r w:rsidR="00EF2179" w:rsidRPr="001B53A8">
        <w:rPr>
          <w:rFonts w:ascii="Times New Roman" w:hAnsi="Times New Roman"/>
        </w:rPr>
        <w:t xml:space="preserve"> </w:t>
      </w:r>
      <w:r w:rsidRPr="001B53A8">
        <w:rPr>
          <w:rFonts w:ascii="Times New Roman" w:hAnsi="Times New Roman"/>
        </w:rPr>
        <w:t>bude</w:t>
      </w:r>
      <w:r w:rsidR="00EF2179" w:rsidRPr="001B53A8">
        <w:rPr>
          <w:rFonts w:ascii="Times New Roman" w:hAnsi="Times New Roman"/>
        </w:rPr>
        <w:t xml:space="preserve"> </w:t>
      </w:r>
      <w:r w:rsidRPr="001B53A8">
        <w:rPr>
          <w:rFonts w:ascii="Times New Roman" w:hAnsi="Times New Roman"/>
        </w:rPr>
        <w:t>kontinuiran</w:t>
      </w:r>
      <w:r w:rsidR="00EF2179" w:rsidRPr="001B53A8">
        <w:rPr>
          <w:rFonts w:ascii="Times New Roman" w:hAnsi="Times New Roman"/>
        </w:rPr>
        <w:t xml:space="preserve">, </w:t>
      </w:r>
      <w:r w:rsidRPr="001B53A8">
        <w:rPr>
          <w:rFonts w:ascii="Times New Roman" w:hAnsi="Times New Roman"/>
        </w:rPr>
        <w:t>redovan</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vanredan</w:t>
      </w:r>
      <w:r w:rsidR="00EF2179" w:rsidRPr="001B53A8">
        <w:rPr>
          <w:rStyle w:val="FootnoteReference"/>
          <w:rFonts w:ascii="Times New Roman" w:hAnsi="Times New Roman"/>
        </w:rPr>
        <w:footnoteReference w:id="29"/>
      </w:r>
      <w:r w:rsidR="00EF2179" w:rsidRPr="001B53A8">
        <w:rPr>
          <w:rFonts w:ascii="Times New Roman" w:hAnsi="Times New Roman"/>
        </w:rPr>
        <w:t xml:space="preserve">. </w:t>
      </w:r>
      <w:r w:rsidRPr="001B53A8">
        <w:rPr>
          <w:rFonts w:ascii="Times New Roman" w:hAnsi="Times New Roman"/>
        </w:rPr>
        <w:t>U</w:t>
      </w:r>
      <w:r w:rsidR="00EF2179" w:rsidRPr="001B53A8">
        <w:rPr>
          <w:rFonts w:ascii="Times New Roman" w:hAnsi="Times New Roman"/>
        </w:rPr>
        <w:t xml:space="preserve"> </w:t>
      </w:r>
      <w:r w:rsidRPr="001B53A8">
        <w:rPr>
          <w:rFonts w:ascii="Times New Roman" w:hAnsi="Times New Roman"/>
        </w:rPr>
        <w:t>kontinuiranom</w:t>
      </w:r>
      <w:r w:rsidR="00EF2179" w:rsidRPr="001B53A8">
        <w:rPr>
          <w:rFonts w:ascii="Times New Roman" w:hAnsi="Times New Roman"/>
        </w:rPr>
        <w:t xml:space="preserve"> </w:t>
      </w:r>
      <w:r w:rsidRPr="001B53A8">
        <w:rPr>
          <w:rFonts w:ascii="Times New Roman" w:hAnsi="Times New Roman"/>
        </w:rPr>
        <w:t>nadzoru</w:t>
      </w:r>
      <w:r w:rsidR="00EF2179" w:rsidRPr="001B53A8">
        <w:rPr>
          <w:rFonts w:ascii="Times New Roman" w:hAnsi="Times New Roman"/>
        </w:rPr>
        <w:t xml:space="preserve"> </w:t>
      </w:r>
      <w:r w:rsidRPr="001B53A8">
        <w:rPr>
          <w:rFonts w:ascii="Times New Roman" w:hAnsi="Times New Roman"/>
        </w:rPr>
        <w:t>stalno</w:t>
      </w:r>
      <w:r w:rsidR="00EF2179" w:rsidRPr="001B53A8">
        <w:rPr>
          <w:rFonts w:ascii="Times New Roman" w:hAnsi="Times New Roman"/>
        </w:rPr>
        <w:t xml:space="preserve"> </w:t>
      </w:r>
      <w:r w:rsidRPr="001B53A8">
        <w:rPr>
          <w:rFonts w:ascii="Times New Roman" w:hAnsi="Times New Roman"/>
        </w:rPr>
        <w:t>se</w:t>
      </w:r>
      <w:r w:rsidR="00EF2179" w:rsidRPr="001B53A8">
        <w:rPr>
          <w:rFonts w:ascii="Times New Roman" w:hAnsi="Times New Roman"/>
        </w:rPr>
        <w:t xml:space="preserve"> </w:t>
      </w:r>
      <w:r w:rsidRPr="001B53A8">
        <w:rPr>
          <w:rFonts w:ascii="Times New Roman" w:hAnsi="Times New Roman"/>
        </w:rPr>
        <w:t>prati</w:t>
      </w:r>
      <w:r w:rsidR="00EF2179" w:rsidRPr="001B53A8">
        <w:rPr>
          <w:rFonts w:ascii="Times New Roman" w:hAnsi="Times New Roman"/>
        </w:rPr>
        <w:t xml:space="preserve"> </w:t>
      </w:r>
      <w:r w:rsidRPr="001B53A8">
        <w:rPr>
          <w:rFonts w:ascii="Times New Roman" w:hAnsi="Times New Roman"/>
        </w:rPr>
        <w:t>ponašanje</w:t>
      </w:r>
      <w:r w:rsidR="00EF2179" w:rsidRPr="001B53A8">
        <w:rPr>
          <w:rFonts w:ascii="Times New Roman" w:hAnsi="Times New Roman"/>
        </w:rPr>
        <w:t xml:space="preserve"> </w:t>
      </w:r>
      <w:r w:rsidRPr="001B53A8">
        <w:rPr>
          <w:rFonts w:ascii="Times New Roman" w:hAnsi="Times New Roman"/>
        </w:rPr>
        <w:t>učesnika</w:t>
      </w:r>
      <w:r w:rsidR="00EF2179" w:rsidRPr="001B53A8">
        <w:rPr>
          <w:rFonts w:ascii="Times New Roman" w:hAnsi="Times New Roman"/>
        </w:rPr>
        <w:t xml:space="preserve"> </w:t>
      </w:r>
      <w:r w:rsidRPr="001B53A8">
        <w:rPr>
          <w:rFonts w:ascii="Times New Roman" w:hAnsi="Times New Roman"/>
        </w:rPr>
        <w:t>na</w:t>
      </w:r>
      <w:r w:rsidR="00EF2179" w:rsidRPr="001B53A8">
        <w:rPr>
          <w:rFonts w:ascii="Times New Roman" w:hAnsi="Times New Roman"/>
        </w:rPr>
        <w:t xml:space="preserve"> </w:t>
      </w:r>
      <w:r w:rsidRPr="001B53A8">
        <w:rPr>
          <w:rFonts w:ascii="Times New Roman" w:hAnsi="Times New Roman"/>
        </w:rPr>
        <w:t>tržištu</w:t>
      </w:r>
      <w:r w:rsidR="00EF2179" w:rsidRPr="001B53A8">
        <w:rPr>
          <w:rFonts w:ascii="Times New Roman" w:hAnsi="Times New Roman"/>
        </w:rPr>
        <w:t xml:space="preserve"> </w:t>
      </w:r>
      <w:r w:rsidRPr="001B53A8">
        <w:rPr>
          <w:rFonts w:ascii="Times New Roman" w:hAnsi="Times New Roman"/>
        </w:rPr>
        <w:t>hartija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vrijednosti</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lastRenderedPageBreak/>
        <w:t>proučava</w:t>
      </w:r>
      <w:r w:rsidR="00EF2179" w:rsidRPr="001B53A8">
        <w:rPr>
          <w:rFonts w:ascii="Times New Roman" w:hAnsi="Times New Roman"/>
        </w:rPr>
        <w:t xml:space="preserve"> </w:t>
      </w:r>
      <w:r w:rsidRPr="001B53A8">
        <w:rPr>
          <w:rFonts w:ascii="Times New Roman" w:hAnsi="Times New Roman"/>
        </w:rPr>
        <w:t>stanje</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kretanje</w:t>
      </w:r>
      <w:r w:rsidR="00EF2179" w:rsidRPr="001B53A8">
        <w:rPr>
          <w:rFonts w:ascii="Times New Roman" w:hAnsi="Times New Roman"/>
        </w:rPr>
        <w:t xml:space="preserve"> </w:t>
      </w:r>
      <w:r w:rsidRPr="001B53A8">
        <w:rPr>
          <w:rFonts w:ascii="Times New Roman" w:hAnsi="Times New Roman"/>
        </w:rPr>
        <w:t>na</w:t>
      </w:r>
      <w:r w:rsidR="00EF2179" w:rsidRPr="001B53A8">
        <w:rPr>
          <w:rFonts w:ascii="Times New Roman" w:hAnsi="Times New Roman"/>
        </w:rPr>
        <w:t xml:space="preserve"> </w:t>
      </w:r>
      <w:r w:rsidRPr="001B53A8">
        <w:rPr>
          <w:rFonts w:ascii="Times New Roman" w:hAnsi="Times New Roman"/>
        </w:rPr>
        <w:t>tržištu</w:t>
      </w:r>
      <w:r w:rsidR="00EF2179" w:rsidRPr="001B53A8">
        <w:rPr>
          <w:rFonts w:ascii="Times New Roman" w:hAnsi="Times New Roman"/>
        </w:rPr>
        <w:t xml:space="preserve"> </w:t>
      </w:r>
      <w:r w:rsidRPr="001B53A8">
        <w:rPr>
          <w:rFonts w:ascii="Times New Roman" w:hAnsi="Times New Roman"/>
        </w:rPr>
        <w:t>hartija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vrijednosti</w:t>
      </w:r>
      <w:r w:rsidR="00EF2179" w:rsidRPr="001B53A8">
        <w:rPr>
          <w:rStyle w:val="FootnoteReference"/>
          <w:rFonts w:ascii="Times New Roman" w:hAnsi="Times New Roman"/>
        </w:rPr>
        <w:footnoteReference w:id="30"/>
      </w:r>
      <w:r w:rsidR="00EF2179" w:rsidRPr="001B53A8">
        <w:rPr>
          <w:rFonts w:ascii="Times New Roman" w:hAnsi="Times New Roman"/>
        </w:rPr>
        <w:t xml:space="preserve">, </w:t>
      </w:r>
      <w:r w:rsidRPr="001B53A8">
        <w:rPr>
          <w:rFonts w:ascii="Times New Roman" w:hAnsi="Times New Roman"/>
        </w:rPr>
        <w:t>a</w:t>
      </w:r>
      <w:r w:rsidR="00EF2179" w:rsidRPr="001B53A8">
        <w:rPr>
          <w:rFonts w:ascii="Times New Roman" w:hAnsi="Times New Roman"/>
        </w:rPr>
        <w:t xml:space="preserve"> </w:t>
      </w:r>
      <w:r w:rsidRPr="001B53A8">
        <w:rPr>
          <w:rFonts w:ascii="Times New Roman" w:hAnsi="Times New Roman"/>
        </w:rPr>
        <w:t>provodi</w:t>
      </w:r>
      <w:r w:rsidR="00EF2179" w:rsidRPr="001B53A8">
        <w:rPr>
          <w:rFonts w:ascii="Times New Roman" w:hAnsi="Times New Roman"/>
        </w:rPr>
        <w:t xml:space="preserve"> </w:t>
      </w:r>
      <w:r w:rsidRPr="001B53A8">
        <w:rPr>
          <w:rFonts w:ascii="Times New Roman" w:hAnsi="Times New Roman"/>
        </w:rPr>
        <w:t>se</w:t>
      </w:r>
      <w:r w:rsidR="00EF2179" w:rsidRPr="001B53A8">
        <w:rPr>
          <w:rFonts w:ascii="Times New Roman" w:hAnsi="Times New Roman"/>
        </w:rPr>
        <w:t xml:space="preserve"> </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prikuplјanjem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pregledom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analizom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provjerom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izvještaja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obavještenja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dokumentacije</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koje</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su</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nadzirana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lica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dužna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da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dostavlјaju</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Komisiji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u</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propisanim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rokovima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putem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elektronskog</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prikuplјanja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informacija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EPI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ili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na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drugi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način</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praćenjem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prikuplјanjem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provjerom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dokumentacije</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dobijene</w:t>
      </w:r>
      <w:r w:rsidR="00EF2179" w:rsidRPr="001B53A8">
        <w:rPr>
          <w:rFonts w:ascii="Times New Roman" w:eastAsia="Times New Roman" w:hAnsi="Times New Roman"/>
          <w:lang w:eastAsia="sr-Latn-CS"/>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učesnika</w:t>
      </w:r>
      <w:r w:rsidR="00EF2179" w:rsidRPr="001B53A8">
        <w:rPr>
          <w:rFonts w:ascii="Times New Roman" w:hAnsi="Times New Roman"/>
        </w:rPr>
        <w:t xml:space="preserve"> </w:t>
      </w:r>
      <w:r w:rsidRPr="001B53A8">
        <w:rPr>
          <w:rFonts w:ascii="Times New Roman" w:hAnsi="Times New Roman"/>
        </w:rPr>
        <w:t>na</w:t>
      </w:r>
      <w:r w:rsidR="00EF2179" w:rsidRPr="001B53A8">
        <w:rPr>
          <w:rFonts w:ascii="Times New Roman" w:hAnsi="Times New Roman"/>
        </w:rPr>
        <w:t xml:space="preserve"> </w:t>
      </w:r>
      <w:r w:rsidRPr="001B53A8">
        <w:rPr>
          <w:rFonts w:ascii="Times New Roman" w:hAnsi="Times New Roman"/>
        </w:rPr>
        <w:t>tržištu</w:t>
      </w:r>
      <w:r w:rsidR="00EF2179" w:rsidRPr="001B53A8">
        <w:rPr>
          <w:rFonts w:ascii="Times New Roman" w:hAnsi="Times New Roman"/>
        </w:rPr>
        <w:t xml:space="preserve"> </w:t>
      </w:r>
      <w:r w:rsidRPr="001B53A8">
        <w:rPr>
          <w:rFonts w:ascii="Times New Roman" w:hAnsi="Times New Roman"/>
        </w:rPr>
        <w:t>hartija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vrijednosti</w:t>
      </w:r>
      <w:r w:rsidR="00EF2179" w:rsidRPr="001B53A8">
        <w:rPr>
          <w:rFonts w:ascii="Times New Roman" w:hAnsi="Times New Roman"/>
        </w:rPr>
        <w:t xml:space="preserve"> </w:t>
      </w:r>
      <w:r w:rsidRPr="001B53A8">
        <w:rPr>
          <w:rFonts w:ascii="Times New Roman" w:eastAsia="Times New Roman" w:hAnsi="Times New Roman"/>
          <w:lang w:eastAsia="sr-Latn-CS"/>
        </w:rPr>
        <w:t>na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poseban</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zahtjev</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Komisije</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svakodnevnim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praćenjem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trgovanja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hartijama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od</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vrijednosti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na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berzi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u</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realnom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vremenu</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putem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nadzorne</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stanice</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analizom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aktiviranih</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signala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kao</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praćenjem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prikuplјanjem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provjerom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podataka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saznanja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iz</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drugih</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izvora</w:t>
      </w:r>
      <w:r w:rsidR="00EF2179" w:rsidRPr="001B53A8">
        <w:rPr>
          <w:rStyle w:val="FootnoteReference"/>
          <w:rFonts w:ascii="Times New Roman" w:hAnsi="Times New Roman"/>
        </w:rPr>
        <w:footnoteReference w:id="31"/>
      </w:r>
      <w:r w:rsidR="00EF2179" w:rsidRPr="001B53A8">
        <w:rPr>
          <w:rFonts w:ascii="Times New Roman" w:hAnsi="Times New Roman"/>
        </w:rPr>
        <w:t xml:space="preserve">. </w:t>
      </w:r>
      <w:r w:rsidRPr="001B53A8">
        <w:rPr>
          <w:rFonts w:ascii="Times New Roman" w:hAnsi="Times New Roman"/>
        </w:rPr>
        <w:t>Redovan</w:t>
      </w:r>
      <w:r w:rsidR="00EF2179" w:rsidRPr="001B53A8">
        <w:rPr>
          <w:rFonts w:ascii="Times New Roman" w:hAnsi="Times New Roman"/>
        </w:rPr>
        <w:t xml:space="preserve"> </w:t>
      </w:r>
      <w:r w:rsidRPr="001B53A8">
        <w:rPr>
          <w:rFonts w:ascii="Times New Roman" w:hAnsi="Times New Roman"/>
        </w:rPr>
        <w:t>nadzor</w:t>
      </w:r>
      <w:r w:rsidR="00EF2179" w:rsidRPr="001B53A8">
        <w:rPr>
          <w:rFonts w:ascii="Times New Roman" w:hAnsi="Times New Roman"/>
        </w:rPr>
        <w:t xml:space="preserve"> </w:t>
      </w:r>
      <w:r w:rsidRPr="001B53A8">
        <w:rPr>
          <w:rFonts w:ascii="Times New Roman" w:hAnsi="Times New Roman"/>
        </w:rPr>
        <w:t>vrši</w:t>
      </w:r>
      <w:r w:rsidR="00EF2179" w:rsidRPr="001B53A8">
        <w:rPr>
          <w:rFonts w:ascii="Times New Roman" w:hAnsi="Times New Roman"/>
        </w:rPr>
        <w:t xml:space="preserve"> </w:t>
      </w:r>
      <w:r w:rsidRPr="001B53A8">
        <w:rPr>
          <w:rFonts w:ascii="Times New Roman" w:hAnsi="Times New Roman"/>
        </w:rPr>
        <w:t>se</w:t>
      </w:r>
      <w:r w:rsidR="00EF2179" w:rsidRPr="001B53A8">
        <w:rPr>
          <w:rFonts w:ascii="Times New Roman" w:hAnsi="Times New Roman"/>
        </w:rPr>
        <w:t xml:space="preserve"> </w:t>
      </w:r>
      <w:r w:rsidRPr="001B53A8">
        <w:rPr>
          <w:rFonts w:ascii="Times New Roman" w:hAnsi="Times New Roman"/>
        </w:rPr>
        <w:t>nad</w:t>
      </w:r>
      <w:r w:rsidR="00EF2179" w:rsidRPr="001B53A8">
        <w:rPr>
          <w:rFonts w:ascii="Times New Roman" w:hAnsi="Times New Roman"/>
        </w:rPr>
        <w:t xml:space="preserve"> </w:t>
      </w:r>
      <w:r w:rsidRPr="001B53A8">
        <w:rPr>
          <w:rFonts w:ascii="Times New Roman" w:hAnsi="Times New Roman"/>
        </w:rPr>
        <w:t>ovlašćenim</w:t>
      </w:r>
      <w:r w:rsidR="00EF2179" w:rsidRPr="001B53A8">
        <w:rPr>
          <w:rFonts w:ascii="Times New Roman" w:hAnsi="Times New Roman"/>
        </w:rPr>
        <w:t xml:space="preserve"> </w:t>
      </w:r>
      <w:r w:rsidRPr="001B53A8">
        <w:rPr>
          <w:rFonts w:ascii="Times New Roman" w:hAnsi="Times New Roman"/>
        </w:rPr>
        <w:t>učesnicima</w:t>
      </w:r>
      <w:r w:rsidR="00EF2179" w:rsidRPr="001B53A8">
        <w:rPr>
          <w:rFonts w:ascii="Times New Roman" w:hAnsi="Times New Roman"/>
        </w:rPr>
        <w:t xml:space="preserve"> </w:t>
      </w:r>
      <w:r w:rsidRPr="001B53A8">
        <w:rPr>
          <w:rFonts w:ascii="Times New Roman" w:hAnsi="Times New Roman"/>
        </w:rPr>
        <w:t>na</w:t>
      </w:r>
      <w:r w:rsidR="00EF2179" w:rsidRPr="001B53A8">
        <w:rPr>
          <w:rFonts w:ascii="Times New Roman" w:hAnsi="Times New Roman"/>
        </w:rPr>
        <w:t xml:space="preserve"> </w:t>
      </w:r>
      <w:r w:rsidRPr="001B53A8">
        <w:rPr>
          <w:rFonts w:ascii="Times New Roman" w:hAnsi="Times New Roman"/>
        </w:rPr>
        <w:t>tržištu</w:t>
      </w:r>
      <w:r w:rsidR="00EF2179" w:rsidRPr="001B53A8">
        <w:rPr>
          <w:rFonts w:ascii="Times New Roman" w:hAnsi="Times New Roman"/>
        </w:rPr>
        <w:t xml:space="preserve"> </w:t>
      </w:r>
      <w:r w:rsidRPr="001B53A8">
        <w:rPr>
          <w:rFonts w:ascii="Times New Roman" w:hAnsi="Times New Roman"/>
        </w:rPr>
        <w:t>hartija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vrijednosti</w:t>
      </w:r>
      <w:r w:rsidR="00EF2179" w:rsidRPr="001B53A8">
        <w:rPr>
          <w:rFonts w:ascii="Times New Roman" w:hAnsi="Times New Roman"/>
        </w:rPr>
        <w:t xml:space="preserve"> </w:t>
      </w:r>
      <w:r w:rsidRPr="001B53A8">
        <w:rPr>
          <w:rFonts w:ascii="Times New Roman" w:hAnsi="Times New Roman"/>
        </w:rPr>
        <w:t>u</w:t>
      </w:r>
      <w:r w:rsidR="00EF2179" w:rsidRPr="001B53A8">
        <w:rPr>
          <w:rFonts w:ascii="Times New Roman" w:hAnsi="Times New Roman"/>
        </w:rPr>
        <w:t xml:space="preserve"> </w:t>
      </w:r>
      <w:r w:rsidRPr="001B53A8">
        <w:rPr>
          <w:rFonts w:ascii="Times New Roman" w:hAnsi="Times New Roman"/>
        </w:rPr>
        <w:t>skladu</w:t>
      </w:r>
      <w:r w:rsidR="00EF2179" w:rsidRPr="001B53A8">
        <w:rPr>
          <w:rFonts w:ascii="Times New Roman" w:hAnsi="Times New Roman"/>
        </w:rPr>
        <w:t xml:space="preserve"> </w:t>
      </w:r>
      <w:r w:rsidRPr="001B53A8">
        <w:rPr>
          <w:rFonts w:ascii="Times New Roman" w:hAnsi="Times New Roman"/>
        </w:rPr>
        <w:t>sa</w:t>
      </w:r>
      <w:r w:rsidR="00EF2179" w:rsidRPr="001B53A8">
        <w:rPr>
          <w:rFonts w:ascii="Times New Roman" w:hAnsi="Times New Roman"/>
        </w:rPr>
        <w:t xml:space="preserve"> </w:t>
      </w:r>
      <w:r w:rsidRPr="001B53A8">
        <w:rPr>
          <w:rFonts w:ascii="Times New Roman" w:hAnsi="Times New Roman"/>
        </w:rPr>
        <w:t>posebnim</w:t>
      </w:r>
      <w:r w:rsidR="00EF2179" w:rsidRPr="001B53A8">
        <w:rPr>
          <w:rFonts w:ascii="Times New Roman" w:hAnsi="Times New Roman"/>
        </w:rPr>
        <w:t xml:space="preserve"> </w:t>
      </w:r>
      <w:r w:rsidRPr="001B53A8">
        <w:rPr>
          <w:rFonts w:ascii="Times New Roman" w:hAnsi="Times New Roman"/>
        </w:rPr>
        <w:t>planom</w:t>
      </w:r>
      <w:r w:rsidR="00EF2179" w:rsidRPr="001B53A8">
        <w:rPr>
          <w:rFonts w:ascii="Times New Roman" w:hAnsi="Times New Roman"/>
        </w:rPr>
        <w:t xml:space="preserve"> </w:t>
      </w:r>
      <w:r w:rsidRPr="001B53A8">
        <w:rPr>
          <w:rFonts w:ascii="Times New Roman" w:hAnsi="Times New Roman"/>
        </w:rPr>
        <w:t>redovnog</w:t>
      </w:r>
      <w:r w:rsidR="00EF2179" w:rsidRPr="001B53A8">
        <w:rPr>
          <w:rFonts w:ascii="Times New Roman" w:hAnsi="Times New Roman"/>
        </w:rPr>
        <w:t xml:space="preserve"> </w:t>
      </w:r>
      <w:r w:rsidRPr="001B53A8">
        <w:rPr>
          <w:rFonts w:ascii="Times New Roman" w:hAnsi="Times New Roman"/>
        </w:rPr>
        <w:t>nadzora</w:t>
      </w:r>
      <w:r w:rsidR="00EF2179" w:rsidRPr="001B53A8">
        <w:rPr>
          <w:rFonts w:ascii="Times New Roman" w:hAnsi="Times New Roman"/>
        </w:rPr>
        <w:t xml:space="preserve">, </w:t>
      </w:r>
      <w:r w:rsidRPr="001B53A8">
        <w:rPr>
          <w:rFonts w:ascii="Times New Roman" w:hAnsi="Times New Roman"/>
        </w:rPr>
        <w:t>za</w:t>
      </w:r>
      <w:r w:rsidR="00EF2179" w:rsidRPr="001B53A8">
        <w:rPr>
          <w:rFonts w:ascii="Times New Roman" w:hAnsi="Times New Roman"/>
        </w:rPr>
        <w:t xml:space="preserve"> </w:t>
      </w:r>
      <w:r w:rsidRPr="001B53A8">
        <w:rPr>
          <w:rFonts w:ascii="Times New Roman" w:hAnsi="Times New Roman"/>
        </w:rPr>
        <w:t>svaku</w:t>
      </w:r>
      <w:r w:rsidR="00EF2179" w:rsidRPr="001B53A8">
        <w:rPr>
          <w:rFonts w:ascii="Times New Roman" w:hAnsi="Times New Roman"/>
        </w:rPr>
        <w:t xml:space="preserve"> </w:t>
      </w:r>
      <w:r w:rsidRPr="001B53A8">
        <w:rPr>
          <w:rFonts w:ascii="Times New Roman" w:hAnsi="Times New Roman"/>
        </w:rPr>
        <w:t>godinu</w:t>
      </w:r>
      <w:r w:rsidR="00EF2179" w:rsidRPr="001B53A8">
        <w:rPr>
          <w:rFonts w:ascii="Times New Roman" w:hAnsi="Times New Roman"/>
        </w:rPr>
        <w:t xml:space="preserve">, </w:t>
      </w:r>
      <w:r w:rsidRPr="001B53A8">
        <w:rPr>
          <w:rFonts w:ascii="Times New Roman" w:hAnsi="Times New Roman"/>
        </w:rPr>
        <w:t>koji</w:t>
      </w:r>
      <w:r w:rsidR="00EF2179" w:rsidRPr="001B53A8">
        <w:rPr>
          <w:rFonts w:ascii="Times New Roman" w:hAnsi="Times New Roman"/>
        </w:rPr>
        <w:t xml:space="preserve"> </w:t>
      </w:r>
      <w:r w:rsidRPr="001B53A8">
        <w:rPr>
          <w:rFonts w:ascii="Times New Roman" w:hAnsi="Times New Roman"/>
        </w:rPr>
        <w:t>usvaja</w:t>
      </w:r>
      <w:r w:rsidR="00EF2179" w:rsidRPr="001B53A8">
        <w:rPr>
          <w:rFonts w:ascii="Times New Roman" w:hAnsi="Times New Roman"/>
        </w:rPr>
        <w:t xml:space="preserve"> </w:t>
      </w:r>
      <w:r w:rsidRPr="001B53A8">
        <w:rPr>
          <w:rFonts w:ascii="Times New Roman" w:hAnsi="Times New Roman"/>
        </w:rPr>
        <w:t>Komisija</w:t>
      </w:r>
      <w:r w:rsidR="00EF2179" w:rsidRPr="001B53A8">
        <w:rPr>
          <w:rStyle w:val="FootnoteReference"/>
          <w:rFonts w:ascii="Times New Roman" w:hAnsi="Times New Roman"/>
        </w:rPr>
        <w:footnoteReference w:id="32"/>
      </w:r>
      <w:r w:rsidR="00EF2179" w:rsidRPr="001B53A8">
        <w:rPr>
          <w:rFonts w:ascii="Times New Roman" w:hAnsi="Times New Roman"/>
        </w:rPr>
        <w:t xml:space="preserve">, </w:t>
      </w:r>
      <w:r w:rsidRPr="001B53A8">
        <w:rPr>
          <w:rFonts w:ascii="Times New Roman" w:hAnsi="Times New Roman"/>
        </w:rPr>
        <w:t>a</w:t>
      </w:r>
      <w:r w:rsidR="00EF2179" w:rsidRPr="001B53A8">
        <w:rPr>
          <w:rFonts w:ascii="Times New Roman" w:hAnsi="Times New Roman"/>
        </w:rPr>
        <w:t xml:space="preserve"> </w:t>
      </w:r>
      <w:r w:rsidRPr="001B53A8">
        <w:rPr>
          <w:rFonts w:ascii="Times New Roman" w:hAnsi="Times New Roman"/>
        </w:rPr>
        <w:t>vanredan</w:t>
      </w:r>
      <w:r w:rsidR="00EF2179" w:rsidRPr="001B53A8">
        <w:rPr>
          <w:rFonts w:ascii="Times New Roman" w:hAnsi="Times New Roman"/>
        </w:rPr>
        <w:t xml:space="preserve"> </w:t>
      </w:r>
      <w:r w:rsidRPr="001B53A8">
        <w:rPr>
          <w:rFonts w:ascii="Times New Roman" w:hAnsi="Times New Roman"/>
        </w:rPr>
        <w:t>nadzor</w:t>
      </w:r>
      <w:r w:rsidR="00EF2179" w:rsidRPr="001B53A8">
        <w:rPr>
          <w:rFonts w:ascii="Times New Roman" w:hAnsi="Times New Roman"/>
        </w:rPr>
        <w:t xml:space="preserve"> </w:t>
      </w:r>
      <w:r w:rsidRPr="001B53A8">
        <w:rPr>
          <w:rFonts w:ascii="Times New Roman" w:hAnsi="Times New Roman"/>
        </w:rPr>
        <w:t>vrši</w:t>
      </w:r>
      <w:r w:rsidR="00EF2179" w:rsidRPr="001B53A8">
        <w:rPr>
          <w:rFonts w:ascii="Times New Roman" w:hAnsi="Times New Roman"/>
        </w:rPr>
        <w:t xml:space="preserve"> </w:t>
      </w:r>
      <w:r w:rsidRPr="001B53A8">
        <w:rPr>
          <w:rFonts w:ascii="Times New Roman" w:hAnsi="Times New Roman"/>
        </w:rPr>
        <w:t>se</w:t>
      </w:r>
      <w:r w:rsidR="00EF2179" w:rsidRPr="001B53A8">
        <w:rPr>
          <w:rFonts w:ascii="Times New Roman" w:hAnsi="Times New Roman"/>
        </w:rPr>
        <w:t xml:space="preserve"> </w:t>
      </w:r>
      <w:r w:rsidRPr="001B53A8">
        <w:rPr>
          <w:rFonts w:ascii="Times New Roman" w:hAnsi="Times New Roman"/>
        </w:rPr>
        <w:t>na</w:t>
      </w:r>
      <w:r w:rsidR="00EF2179" w:rsidRPr="001B53A8">
        <w:rPr>
          <w:rFonts w:ascii="Times New Roman" w:hAnsi="Times New Roman"/>
        </w:rPr>
        <w:t xml:space="preserve"> </w:t>
      </w:r>
      <w:r w:rsidRPr="001B53A8">
        <w:rPr>
          <w:rFonts w:ascii="Times New Roman" w:hAnsi="Times New Roman"/>
        </w:rPr>
        <w:t>osnovu</w:t>
      </w:r>
      <w:r w:rsidR="00EF2179" w:rsidRPr="001B53A8">
        <w:rPr>
          <w:rFonts w:ascii="Times New Roman" w:hAnsi="Times New Roman"/>
        </w:rPr>
        <w:t xml:space="preserve"> </w:t>
      </w:r>
      <w:r w:rsidRPr="001B53A8">
        <w:rPr>
          <w:rFonts w:ascii="Times New Roman" w:hAnsi="Times New Roman"/>
        </w:rPr>
        <w:t>indicija</w:t>
      </w:r>
      <w:r w:rsidR="00EF2179" w:rsidRPr="001B53A8">
        <w:rPr>
          <w:rFonts w:ascii="Times New Roman" w:hAnsi="Times New Roman"/>
        </w:rPr>
        <w:t xml:space="preserve"> </w:t>
      </w:r>
      <w:r w:rsidRPr="001B53A8">
        <w:rPr>
          <w:rFonts w:ascii="Times New Roman" w:hAnsi="Times New Roman"/>
        </w:rPr>
        <w:t>o</w:t>
      </w:r>
      <w:r w:rsidR="00EF2179" w:rsidRPr="001B53A8">
        <w:rPr>
          <w:rFonts w:ascii="Times New Roman" w:hAnsi="Times New Roman"/>
        </w:rPr>
        <w:t xml:space="preserve"> </w:t>
      </w:r>
      <w:r w:rsidRPr="001B53A8">
        <w:rPr>
          <w:rFonts w:ascii="Times New Roman" w:hAnsi="Times New Roman"/>
        </w:rPr>
        <w:t>mogućem</w:t>
      </w:r>
      <w:r w:rsidR="00EF2179" w:rsidRPr="001B53A8">
        <w:rPr>
          <w:rFonts w:ascii="Times New Roman" w:hAnsi="Times New Roman"/>
        </w:rPr>
        <w:t xml:space="preserve"> </w:t>
      </w:r>
      <w:r w:rsidRPr="001B53A8">
        <w:rPr>
          <w:rFonts w:ascii="Times New Roman" w:hAnsi="Times New Roman"/>
        </w:rPr>
        <w:t>kršenju</w:t>
      </w:r>
      <w:r w:rsidR="00EF2179" w:rsidRPr="001B53A8">
        <w:rPr>
          <w:rFonts w:ascii="Times New Roman" w:hAnsi="Times New Roman"/>
        </w:rPr>
        <w:t xml:space="preserve"> </w:t>
      </w:r>
      <w:r w:rsidRPr="001B53A8">
        <w:rPr>
          <w:rFonts w:ascii="Times New Roman" w:hAnsi="Times New Roman"/>
        </w:rPr>
        <w:t>zakona</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drugih</w:t>
      </w:r>
      <w:r w:rsidR="00EF2179" w:rsidRPr="001B53A8">
        <w:rPr>
          <w:rFonts w:ascii="Times New Roman" w:hAnsi="Times New Roman"/>
        </w:rPr>
        <w:t xml:space="preserve"> </w:t>
      </w:r>
      <w:r w:rsidRPr="001B53A8">
        <w:rPr>
          <w:rFonts w:ascii="Times New Roman" w:hAnsi="Times New Roman"/>
        </w:rPr>
        <w:t>propisa</w:t>
      </w:r>
      <w:r w:rsidR="00EF2179" w:rsidRPr="001B53A8">
        <w:rPr>
          <w:rStyle w:val="FootnoteReference"/>
          <w:rFonts w:ascii="Times New Roman" w:hAnsi="Times New Roman"/>
        </w:rPr>
        <w:footnoteReference w:id="33"/>
      </w:r>
      <w:r w:rsidR="00EF2179" w:rsidRPr="001B53A8">
        <w:rPr>
          <w:rFonts w:ascii="Times New Roman" w:hAnsi="Times New Roman"/>
        </w:rPr>
        <w:t xml:space="preserve">, </w:t>
      </w:r>
      <w:r w:rsidRPr="001B53A8">
        <w:rPr>
          <w:rFonts w:ascii="Times New Roman" w:hAnsi="Times New Roman"/>
        </w:rPr>
        <w:t>a</w:t>
      </w:r>
      <w:r w:rsidR="00EF2179" w:rsidRPr="001B53A8">
        <w:rPr>
          <w:rFonts w:ascii="Times New Roman" w:hAnsi="Times New Roman"/>
        </w:rPr>
        <w:t xml:space="preserve"> </w:t>
      </w:r>
      <w:r w:rsidRPr="001B53A8">
        <w:rPr>
          <w:rFonts w:ascii="Times New Roman" w:hAnsi="Times New Roman"/>
        </w:rPr>
        <w:t>po</w:t>
      </w:r>
      <w:r w:rsidR="00EF2179" w:rsidRPr="001B53A8">
        <w:rPr>
          <w:rFonts w:ascii="Times New Roman" w:hAnsi="Times New Roman"/>
        </w:rPr>
        <w:t xml:space="preserve"> </w:t>
      </w:r>
      <w:r w:rsidRPr="001B53A8">
        <w:rPr>
          <w:rFonts w:ascii="Times New Roman" w:hAnsi="Times New Roman"/>
        </w:rPr>
        <w:t>sopstvenoj</w:t>
      </w:r>
      <w:r w:rsidR="00EF2179" w:rsidRPr="001B53A8">
        <w:rPr>
          <w:rFonts w:ascii="Times New Roman" w:hAnsi="Times New Roman"/>
        </w:rPr>
        <w:t xml:space="preserve"> </w:t>
      </w:r>
      <w:r w:rsidRPr="001B53A8">
        <w:rPr>
          <w:rFonts w:ascii="Times New Roman" w:hAnsi="Times New Roman"/>
        </w:rPr>
        <w:t>inicijativi</w:t>
      </w:r>
      <w:r w:rsidR="00EF2179" w:rsidRPr="001B53A8">
        <w:rPr>
          <w:rFonts w:ascii="Times New Roman" w:hAnsi="Times New Roman"/>
        </w:rPr>
        <w:t xml:space="preserve"> </w:t>
      </w:r>
      <w:r w:rsidRPr="001B53A8">
        <w:rPr>
          <w:rFonts w:ascii="Times New Roman" w:hAnsi="Times New Roman"/>
        </w:rPr>
        <w:t>Komisije</w:t>
      </w:r>
      <w:r w:rsidR="00EF2179" w:rsidRPr="001B53A8">
        <w:rPr>
          <w:rFonts w:ascii="Times New Roman" w:hAnsi="Times New Roman"/>
        </w:rPr>
        <w:t xml:space="preserve">, </w:t>
      </w:r>
      <w:r w:rsidRPr="001B53A8">
        <w:rPr>
          <w:rFonts w:ascii="Times New Roman" w:hAnsi="Times New Roman"/>
        </w:rPr>
        <w:t>na</w:t>
      </w:r>
      <w:r w:rsidR="00EF2179" w:rsidRPr="001B53A8">
        <w:rPr>
          <w:rFonts w:ascii="Times New Roman" w:hAnsi="Times New Roman"/>
        </w:rPr>
        <w:t xml:space="preserve"> </w:t>
      </w:r>
      <w:r w:rsidRPr="001B53A8">
        <w:rPr>
          <w:rFonts w:ascii="Times New Roman" w:hAnsi="Times New Roman"/>
        </w:rPr>
        <w:t>zahtjev</w:t>
      </w:r>
      <w:r w:rsidR="00EF2179" w:rsidRPr="001B53A8">
        <w:rPr>
          <w:rFonts w:ascii="Times New Roman" w:hAnsi="Times New Roman"/>
        </w:rPr>
        <w:t xml:space="preserve"> </w:t>
      </w:r>
      <w:r w:rsidRPr="001B53A8">
        <w:rPr>
          <w:rFonts w:ascii="Times New Roman" w:hAnsi="Times New Roman"/>
        </w:rPr>
        <w:t>nadležnog</w:t>
      </w:r>
      <w:r w:rsidR="00EF2179" w:rsidRPr="001B53A8">
        <w:rPr>
          <w:rFonts w:ascii="Times New Roman" w:hAnsi="Times New Roman"/>
        </w:rPr>
        <w:t xml:space="preserve"> </w:t>
      </w:r>
      <w:r w:rsidRPr="001B53A8">
        <w:rPr>
          <w:rFonts w:ascii="Times New Roman" w:hAnsi="Times New Roman"/>
        </w:rPr>
        <w:t>državnog</w:t>
      </w:r>
      <w:r w:rsidR="00EF2179" w:rsidRPr="001B53A8">
        <w:rPr>
          <w:rFonts w:ascii="Times New Roman" w:hAnsi="Times New Roman"/>
        </w:rPr>
        <w:t xml:space="preserve"> </w:t>
      </w:r>
      <w:r w:rsidRPr="001B53A8">
        <w:rPr>
          <w:rFonts w:ascii="Times New Roman" w:hAnsi="Times New Roman"/>
        </w:rPr>
        <w:t>organa</w:t>
      </w:r>
      <w:r w:rsidR="00EF2179" w:rsidRPr="001B53A8">
        <w:rPr>
          <w:rFonts w:ascii="Times New Roman" w:hAnsi="Times New Roman"/>
        </w:rPr>
        <w:t xml:space="preserve"> </w:t>
      </w:r>
      <w:r w:rsidRPr="001B53A8">
        <w:rPr>
          <w:rFonts w:ascii="Times New Roman" w:hAnsi="Times New Roman"/>
        </w:rPr>
        <w:t>ili</w:t>
      </w:r>
      <w:r w:rsidR="00EF2179" w:rsidRPr="001B53A8">
        <w:rPr>
          <w:rFonts w:ascii="Times New Roman" w:hAnsi="Times New Roman"/>
        </w:rPr>
        <w:t xml:space="preserve"> </w:t>
      </w:r>
      <w:r w:rsidRPr="001B53A8">
        <w:rPr>
          <w:rFonts w:ascii="Times New Roman" w:hAnsi="Times New Roman"/>
        </w:rPr>
        <w:t>stranog</w:t>
      </w:r>
      <w:r w:rsidR="00EF2179" w:rsidRPr="001B53A8">
        <w:rPr>
          <w:rFonts w:ascii="Times New Roman" w:hAnsi="Times New Roman"/>
        </w:rPr>
        <w:t xml:space="preserve"> </w:t>
      </w:r>
      <w:r w:rsidRPr="001B53A8">
        <w:rPr>
          <w:rFonts w:ascii="Times New Roman" w:hAnsi="Times New Roman"/>
        </w:rPr>
        <w:t>regulatornog</w:t>
      </w:r>
      <w:r w:rsidR="00EF2179" w:rsidRPr="001B53A8">
        <w:rPr>
          <w:rFonts w:ascii="Times New Roman" w:hAnsi="Times New Roman"/>
        </w:rPr>
        <w:t xml:space="preserve"> </w:t>
      </w:r>
      <w:r w:rsidRPr="001B53A8">
        <w:rPr>
          <w:rFonts w:ascii="Times New Roman" w:hAnsi="Times New Roman"/>
        </w:rPr>
        <w:t>organa</w:t>
      </w:r>
      <w:r w:rsidR="00EF2179" w:rsidRPr="001B53A8">
        <w:rPr>
          <w:rFonts w:ascii="Times New Roman" w:hAnsi="Times New Roman"/>
        </w:rPr>
        <w:t xml:space="preserve"> </w:t>
      </w:r>
      <w:r w:rsidRPr="001B53A8">
        <w:rPr>
          <w:rFonts w:ascii="Times New Roman" w:hAnsi="Times New Roman"/>
        </w:rPr>
        <w:t>ili</w:t>
      </w:r>
      <w:r w:rsidR="00EF2179" w:rsidRPr="001B53A8">
        <w:rPr>
          <w:rFonts w:ascii="Times New Roman" w:hAnsi="Times New Roman"/>
        </w:rPr>
        <w:t xml:space="preserve"> </w:t>
      </w:r>
      <w:r w:rsidRPr="001B53A8">
        <w:rPr>
          <w:rFonts w:ascii="Times New Roman" w:hAnsi="Times New Roman"/>
        </w:rPr>
        <w:t>po</w:t>
      </w:r>
      <w:r w:rsidR="00EF2179" w:rsidRPr="001B53A8">
        <w:rPr>
          <w:rFonts w:ascii="Times New Roman" w:hAnsi="Times New Roman"/>
        </w:rPr>
        <w:t xml:space="preserve"> </w:t>
      </w:r>
      <w:r w:rsidRPr="001B53A8">
        <w:rPr>
          <w:rFonts w:ascii="Times New Roman" w:hAnsi="Times New Roman"/>
        </w:rPr>
        <w:t>prijavi</w:t>
      </w:r>
      <w:r w:rsidR="00EF2179" w:rsidRPr="001B53A8">
        <w:rPr>
          <w:rFonts w:ascii="Times New Roman" w:hAnsi="Times New Roman"/>
        </w:rPr>
        <w:t xml:space="preserve"> </w:t>
      </w:r>
      <w:r w:rsidRPr="001B53A8">
        <w:rPr>
          <w:rFonts w:ascii="Times New Roman" w:hAnsi="Times New Roman"/>
        </w:rPr>
        <w:t>drugih</w:t>
      </w:r>
      <w:r w:rsidR="00EF2179" w:rsidRPr="001B53A8">
        <w:rPr>
          <w:rFonts w:ascii="Times New Roman" w:hAnsi="Times New Roman"/>
        </w:rPr>
        <w:t xml:space="preserve"> </w:t>
      </w:r>
      <w:r w:rsidRPr="001B53A8">
        <w:rPr>
          <w:rFonts w:ascii="Times New Roman" w:hAnsi="Times New Roman"/>
        </w:rPr>
        <w:t>lica</w:t>
      </w:r>
      <w:r w:rsidR="00EF2179" w:rsidRPr="001B53A8">
        <w:rPr>
          <w:rFonts w:ascii="Times New Roman" w:hAnsi="Times New Roman"/>
        </w:rPr>
        <w:t xml:space="preserve"> (</w:t>
      </w:r>
      <w:r w:rsidRPr="001B53A8">
        <w:rPr>
          <w:rFonts w:ascii="Times New Roman" w:hAnsi="Times New Roman"/>
        </w:rPr>
        <w:t>vlasnika</w:t>
      </w:r>
      <w:r w:rsidR="00EF2179" w:rsidRPr="001B53A8">
        <w:rPr>
          <w:rFonts w:ascii="Times New Roman" w:hAnsi="Times New Roman"/>
        </w:rPr>
        <w:t xml:space="preserve"> </w:t>
      </w:r>
      <w:r w:rsidRPr="001B53A8">
        <w:rPr>
          <w:rFonts w:ascii="Times New Roman" w:hAnsi="Times New Roman"/>
        </w:rPr>
        <w:t>hartija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vrijednosti</w:t>
      </w:r>
      <w:r w:rsidR="00EF2179" w:rsidRPr="001B53A8">
        <w:rPr>
          <w:rFonts w:ascii="Times New Roman" w:hAnsi="Times New Roman"/>
        </w:rPr>
        <w:t xml:space="preserve">, </w:t>
      </w:r>
      <w:r w:rsidRPr="001B53A8">
        <w:rPr>
          <w:rFonts w:ascii="Times New Roman" w:hAnsi="Times New Roman"/>
        </w:rPr>
        <w:t>potencijalnih</w:t>
      </w:r>
      <w:r w:rsidR="00EF2179" w:rsidRPr="001B53A8">
        <w:rPr>
          <w:rFonts w:ascii="Times New Roman" w:hAnsi="Times New Roman"/>
        </w:rPr>
        <w:t xml:space="preserve"> </w:t>
      </w:r>
      <w:r w:rsidRPr="001B53A8">
        <w:rPr>
          <w:rFonts w:ascii="Times New Roman" w:hAnsi="Times New Roman"/>
        </w:rPr>
        <w:t>investitora</w:t>
      </w:r>
      <w:r w:rsidR="00EF2179" w:rsidRPr="001B53A8">
        <w:rPr>
          <w:rFonts w:ascii="Times New Roman" w:hAnsi="Times New Roman"/>
        </w:rPr>
        <w:t xml:space="preserve"> </w:t>
      </w:r>
      <w:r w:rsidRPr="001B53A8">
        <w:rPr>
          <w:rFonts w:ascii="Times New Roman" w:hAnsi="Times New Roman"/>
        </w:rPr>
        <w:t>u</w:t>
      </w:r>
      <w:r w:rsidR="00EF2179" w:rsidRPr="001B53A8">
        <w:rPr>
          <w:rFonts w:ascii="Times New Roman" w:hAnsi="Times New Roman"/>
        </w:rPr>
        <w:t xml:space="preserve"> </w:t>
      </w:r>
      <w:r w:rsidRPr="001B53A8">
        <w:rPr>
          <w:rFonts w:ascii="Times New Roman" w:hAnsi="Times New Roman"/>
        </w:rPr>
        <w:t>hartije</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vrijednosti</w:t>
      </w:r>
      <w:r w:rsidR="00EF2179" w:rsidRPr="001B53A8">
        <w:rPr>
          <w:rFonts w:ascii="Times New Roman" w:hAnsi="Times New Roman"/>
        </w:rPr>
        <w:t xml:space="preserve">, </w:t>
      </w:r>
      <w:r w:rsidRPr="001B53A8">
        <w:rPr>
          <w:rFonts w:ascii="Times New Roman" w:hAnsi="Times New Roman"/>
        </w:rPr>
        <w:t>učesnika</w:t>
      </w:r>
      <w:r w:rsidR="00EF2179" w:rsidRPr="001B53A8">
        <w:rPr>
          <w:rFonts w:ascii="Times New Roman" w:hAnsi="Times New Roman"/>
        </w:rPr>
        <w:t xml:space="preserve"> </w:t>
      </w:r>
      <w:r w:rsidRPr="001B53A8">
        <w:rPr>
          <w:rFonts w:ascii="Times New Roman" w:hAnsi="Times New Roman"/>
        </w:rPr>
        <w:t>na</w:t>
      </w:r>
      <w:r w:rsidR="00EF2179" w:rsidRPr="001B53A8">
        <w:rPr>
          <w:rFonts w:ascii="Times New Roman" w:hAnsi="Times New Roman"/>
        </w:rPr>
        <w:t xml:space="preserve"> </w:t>
      </w:r>
      <w:r w:rsidRPr="001B53A8">
        <w:rPr>
          <w:rFonts w:ascii="Times New Roman" w:hAnsi="Times New Roman"/>
        </w:rPr>
        <w:t>tržištu</w:t>
      </w:r>
      <w:r w:rsidR="00EF2179" w:rsidRPr="001B53A8">
        <w:rPr>
          <w:rFonts w:ascii="Times New Roman" w:hAnsi="Times New Roman"/>
        </w:rPr>
        <w:t xml:space="preserve"> </w:t>
      </w:r>
      <w:r w:rsidRPr="001B53A8">
        <w:rPr>
          <w:rFonts w:ascii="Times New Roman" w:hAnsi="Times New Roman"/>
        </w:rPr>
        <w:t>hartija</w:t>
      </w:r>
      <w:r w:rsidR="00EF2179" w:rsidRPr="001B53A8">
        <w:rPr>
          <w:rFonts w:ascii="Times New Roman" w:hAnsi="Times New Roman"/>
        </w:rPr>
        <w:t xml:space="preserve"> </w:t>
      </w:r>
      <w:r w:rsidRPr="001B53A8">
        <w:rPr>
          <w:rFonts w:ascii="Times New Roman" w:hAnsi="Times New Roman"/>
        </w:rPr>
        <w:t>od</w:t>
      </w:r>
      <w:r w:rsidR="00EF2179" w:rsidRPr="001B53A8">
        <w:rPr>
          <w:rFonts w:ascii="Times New Roman" w:hAnsi="Times New Roman"/>
        </w:rPr>
        <w:t xml:space="preserve"> </w:t>
      </w:r>
      <w:r w:rsidRPr="001B53A8">
        <w:rPr>
          <w:rFonts w:ascii="Times New Roman" w:hAnsi="Times New Roman"/>
        </w:rPr>
        <w:t>vrijednosti</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sl</w:t>
      </w:r>
      <w:r w:rsidR="00EF2179" w:rsidRPr="001B53A8">
        <w:rPr>
          <w:rFonts w:ascii="Times New Roman" w:hAnsi="Times New Roman"/>
        </w:rPr>
        <w:t xml:space="preserve">.), </w:t>
      </w:r>
      <w:r w:rsidRPr="001B53A8">
        <w:rPr>
          <w:rFonts w:ascii="Times New Roman" w:hAnsi="Times New Roman"/>
        </w:rPr>
        <w:t>uklјučujući</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anonimne</w:t>
      </w:r>
      <w:r w:rsidR="00EF2179" w:rsidRPr="001B53A8">
        <w:rPr>
          <w:rFonts w:ascii="Times New Roman" w:hAnsi="Times New Roman"/>
        </w:rPr>
        <w:t xml:space="preserve"> </w:t>
      </w:r>
      <w:r w:rsidRPr="001B53A8">
        <w:rPr>
          <w:rFonts w:ascii="Times New Roman" w:hAnsi="Times New Roman"/>
        </w:rPr>
        <w:t>prijave</w:t>
      </w:r>
      <w:r w:rsidR="00EF2179" w:rsidRPr="001B53A8">
        <w:rPr>
          <w:rStyle w:val="FootnoteReference"/>
          <w:rFonts w:ascii="Times New Roman" w:hAnsi="Times New Roman"/>
        </w:rPr>
        <w:footnoteReference w:id="34"/>
      </w:r>
      <w:r w:rsidR="00EF2179" w:rsidRPr="001B53A8">
        <w:rPr>
          <w:rFonts w:ascii="Times New Roman" w:hAnsi="Times New Roman"/>
        </w:rPr>
        <w:t>.</w:t>
      </w:r>
    </w:p>
    <w:p w14:paraId="7E094B1E" w14:textId="69CA10C0" w:rsidR="00EF2179" w:rsidRPr="001B53A8" w:rsidRDefault="00003F34" w:rsidP="00EF2179">
      <w:pPr>
        <w:pStyle w:val="Style15"/>
        <w:widowControl/>
        <w:spacing w:before="120" w:line="240" w:lineRule="auto"/>
        <w:ind w:firstLine="567"/>
        <w:rPr>
          <w:rFonts w:ascii="Times New Roman" w:eastAsia="Times New Roman" w:hAnsi="Times New Roman"/>
          <w:lang w:eastAsia="sr-Latn-CS"/>
        </w:rPr>
      </w:pPr>
      <w:r w:rsidRPr="001B53A8">
        <w:rPr>
          <w:rFonts w:ascii="Times New Roman" w:hAnsi="Times New Roman"/>
        </w:rPr>
        <w:t>S</w:t>
      </w:r>
      <w:r w:rsidR="00EF2179" w:rsidRPr="001B53A8">
        <w:rPr>
          <w:rFonts w:ascii="Times New Roman" w:hAnsi="Times New Roman"/>
        </w:rPr>
        <w:t xml:space="preserve"> </w:t>
      </w:r>
      <w:r w:rsidRPr="001B53A8">
        <w:rPr>
          <w:rFonts w:ascii="Times New Roman" w:hAnsi="Times New Roman"/>
        </w:rPr>
        <w:t>obzirom</w:t>
      </w:r>
      <w:r w:rsidR="00EF2179" w:rsidRPr="001B53A8">
        <w:rPr>
          <w:rFonts w:ascii="Times New Roman" w:hAnsi="Times New Roman"/>
        </w:rPr>
        <w:t xml:space="preserve"> </w:t>
      </w:r>
      <w:r w:rsidRPr="001B53A8">
        <w:rPr>
          <w:rFonts w:ascii="Times New Roman" w:hAnsi="Times New Roman"/>
        </w:rPr>
        <w:t>na</w:t>
      </w:r>
      <w:r w:rsidR="00EF2179" w:rsidRPr="001B53A8">
        <w:rPr>
          <w:rFonts w:ascii="Times New Roman" w:hAnsi="Times New Roman"/>
        </w:rPr>
        <w:t xml:space="preserve"> </w:t>
      </w:r>
      <w:r w:rsidRPr="001B53A8">
        <w:rPr>
          <w:rFonts w:ascii="Times New Roman" w:hAnsi="Times New Roman"/>
        </w:rPr>
        <w:t>način</w:t>
      </w:r>
      <w:r w:rsidR="00EF2179" w:rsidRPr="001B53A8">
        <w:rPr>
          <w:rFonts w:ascii="Times New Roman" w:hAnsi="Times New Roman"/>
        </w:rPr>
        <w:t xml:space="preserve"> </w:t>
      </w:r>
      <w:r w:rsidRPr="001B53A8">
        <w:rPr>
          <w:rFonts w:ascii="Times New Roman" w:hAnsi="Times New Roman"/>
        </w:rPr>
        <w:t>provođenja</w:t>
      </w:r>
      <w:r w:rsidR="00EF2179" w:rsidRPr="001B53A8">
        <w:rPr>
          <w:rFonts w:ascii="Times New Roman" w:hAnsi="Times New Roman"/>
        </w:rPr>
        <w:t xml:space="preserve">, </w:t>
      </w:r>
      <w:r w:rsidRPr="001B53A8">
        <w:rPr>
          <w:rFonts w:ascii="Times New Roman" w:hAnsi="Times New Roman"/>
        </w:rPr>
        <w:t>nadzor</w:t>
      </w:r>
      <w:r w:rsidR="00EF2179" w:rsidRPr="001B53A8">
        <w:rPr>
          <w:rFonts w:ascii="Times New Roman" w:hAnsi="Times New Roman"/>
        </w:rPr>
        <w:t xml:space="preserve"> </w:t>
      </w:r>
      <w:r w:rsidRPr="001B53A8">
        <w:rPr>
          <w:rFonts w:ascii="Times New Roman" w:hAnsi="Times New Roman"/>
        </w:rPr>
        <w:t>može</w:t>
      </w:r>
      <w:r w:rsidR="00EF2179" w:rsidRPr="001B53A8">
        <w:rPr>
          <w:rFonts w:ascii="Times New Roman" w:hAnsi="Times New Roman"/>
        </w:rPr>
        <w:t xml:space="preserve"> </w:t>
      </w:r>
      <w:r w:rsidRPr="001B53A8">
        <w:rPr>
          <w:rFonts w:ascii="Times New Roman" w:hAnsi="Times New Roman"/>
        </w:rPr>
        <w:t>da</w:t>
      </w:r>
      <w:r w:rsidR="00EF2179" w:rsidRPr="001B53A8">
        <w:rPr>
          <w:rFonts w:ascii="Times New Roman" w:hAnsi="Times New Roman"/>
        </w:rPr>
        <w:t xml:space="preserve"> </w:t>
      </w:r>
      <w:r w:rsidRPr="001B53A8">
        <w:rPr>
          <w:rFonts w:ascii="Times New Roman" w:hAnsi="Times New Roman"/>
        </w:rPr>
        <w:t>bude</w:t>
      </w:r>
      <w:r w:rsidR="00EF2179" w:rsidRPr="001B53A8">
        <w:rPr>
          <w:rFonts w:ascii="Times New Roman" w:hAnsi="Times New Roman"/>
        </w:rPr>
        <w:t xml:space="preserve"> </w:t>
      </w:r>
      <w:r w:rsidRPr="001B53A8">
        <w:rPr>
          <w:rFonts w:ascii="Times New Roman" w:hAnsi="Times New Roman"/>
        </w:rPr>
        <w:t>posredan</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neposredan</w:t>
      </w:r>
      <w:r w:rsidR="00EF2179" w:rsidRPr="001B53A8">
        <w:rPr>
          <w:rFonts w:ascii="Times New Roman" w:hAnsi="Times New Roman"/>
        </w:rPr>
        <w:t xml:space="preserve">; </w:t>
      </w:r>
      <w:r w:rsidRPr="001B53A8">
        <w:rPr>
          <w:rFonts w:ascii="Times New Roman" w:hAnsi="Times New Roman"/>
        </w:rPr>
        <w:t>posredan</w:t>
      </w:r>
      <w:r w:rsidR="00EF2179" w:rsidRPr="001B53A8">
        <w:rPr>
          <w:rFonts w:ascii="Times New Roman" w:hAnsi="Times New Roman"/>
        </w:rPr>
        <w:t xml:space="preserve"> </w:t>
      </w:r>
      <w:r w:rsidRPr="001B53A8">
        <w:rPr>
          <w:rFonts w:ascii="Times New Roman" w:hAnsi="Times New Roman"/>
        </w:rPr>
        <w:t>nadzor</w:t>
      </w:r>
      <w:r w:rsidR="00EF2179" w:rsidRPr="001B53A8">
        <w:rPr>
          <w:rFonts w:ascii="Times New Roman" w:hAnsi="Times New Roman"/>
        </w:rPr>
        <w:t xml:space="preserve"> </w:t>
      </w:r>
      <w:r w:rsidRPr="001B53A8">
        <w:rPr>
          <w:rFonts w:ascii="Times New Roman" w:hAnsi="Times New Roman"/>
        </w:rPr>
        <w:t>provodi</w:t>
      </w:r>
      <w:r w:rsidR="00EF2179" w:rsidRPr="001B53A8">
        <w:rPr>
          <w:rFonts w:ascii="Times New Roman" w:hAnsi="Times New Roman"/>
        </w:rPr>
        <w:t xml:space="preserve"> </w:t>
      </w:r>
      <w:r w:rsidRPr="001B53A8">
        <w:rPr>
          <w:rFonts w:ascii="Times New Roman" w:hAnsi="Times New Roman"/>
        </w:rPr>
        <w:t>se</w:t>
      </w:r>
      <w:r w:rsidR="00EF2179" w:rsidRPr="001B53A8">
        <w:rPr>
          <w:rFonts w:ascii="Times New Roman" w:hAnsi="Times New Roman"/>
        </w:rPr>
        <w:t xml:space="preserve"> </w:t>
      </w:r>
      <w:r w:rsidRPr="001B53A8">
        <w:rPr>
          <w:rFonts w:ascii="Times New Roman" w:hAnsi="Times New Roman"/>
        </w:rPr>
        <w:t>u</w:t>
      </w:r>
      <w:r w:rsidR="00EF2179" w:rsidRPr="001B53A8">
        <w:rPr>
          <w:rFonts w:ascii="Times New Roman" w:hAnsi="Times New Roman"/>
        </w:rPr>
        <w:t xml:space="preserve"> </w:t>
      </w:r>
      <w:r w:rsidRPr="001B53A8">
        <w:rPr>
          <w:rFonts w:ascii="Times New Roman" w:hAnsi="Times New Roman"/>
        </w:rPr>
        <w:t>sjedištu</w:t>
      </w:r>
      <w:r w:rsidR="00EF2179" w:rsidRPr="001B53A8">
        <w:rPr>
          <w:rFonts w:ascii="Times New Roman" w:hAnsi="Times New Roman"/>
        </w:rPr>
        <w:t xml:space="preserve"> </w:t>
      </w:r>
      <w:r w:rsidRPr="001B53A8">
        <w:rPr>
          <w:rFonts w:ascii="Times New Roman" w:hAnsi="Times New Roman"/>
        </w:rPr>
        <w:t>Komisije</w:t>
      </w:r>
      <w:r w:rsidR="00EF2179" w:rsidRPr="001B53A8">
        <w:rPr>
          <w:rFonts w:ascii="Times New Roman" w:hAnsi="Times New Roman"/>
        </w:rPr>
        <w:t xml:space="preserve"> </w:t>
      </w:r>
      <w:r w:rsidRPr="001B53A8">
        <w:rPr>
          <w:rFonts w:ascii="Times New Roman" w:hAnsi="Times New Roman"/>
        </w:rPr>
        <w:t>prikuplјanjem</w:t>
      </w:r>
      <w:r w:rsidR="00EF2179" w:rsidRPr="001B53A8">
        <w:rPr>
          <w:rFonts w:ascii="Times New Roman" w:hAnsi="Times New Roman"/>
        </w:rPr>
        <w:t xml:space="preserve">, </w:t>
      </w:r>
      <w:r w:rsidRPr="001B53A8">
        <w:rPr>
          <w:rFonts w:ascii="Times New Roman" w:hAnsi="Times New Roman"/>
        </w:rPr>
        <w:t>pregledom</w:t>
      </w:r>
      <w:r w:rsidR="00EF2179" w:rsidRPr="001B53A8">
        <w:rPr>
          <w:rFonts w:ascii="Times New Roman" w:hAnsi="Times New Roman"/>
        </w:rPr>
        <w:t xml:space="preserve">, </w:t>
      </w:r>
      <w:r w:rsidRPr="001B53A8">
        <w:rPr>
          <w:rFonts w:ascii="Times New Roman" w:hAnsi="Times New Roman"/>
        </w:rPr>
        <w:t>analizom</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provjerom</w:t>
      </w:r>
      <w:r w:rsidR="00EF2179" w:rsidRPr="001B53A8">
        <w:rPr>
          <w:rFonts w:ascii="Times New Roman" w:hAnsi="Times New Roman"/>
        </w:rPr>
        <w:t xml:space="preserve"> </w:t>
      </w:r>
      <w:r w:rsidRPr="001B53A8">
        <w:rPr>
          <w:rFonts w:ascii="Times New Roman" w:hAnsi="Times New Roman"/>
        </w:rPr>
        <w:t>izvještaja</w:t>
      </w:r>
      <w:r w:rsidR="00EF2179" w:rsidRPr="001B53A8">
        <w:rPr>
          <w:rFonts w:ascii="Times New Roman" w:hAnsi="Times New Roman"/>
        </w:rPr>
        <w:t xml:space="preserve">, </w:t>
      </w:r>
      <w:r w:rsidRPr="001B53A8">
        <w:rPr>
          <w:rFonts w:ascii="Times New Roman" w:hAnsi="Times New Roman"/>
        </w:rPr>
        <w:t>obavještenja</w:t>
      </w:r>
      <w:r w:rsidR="00EF2179" w:rsidRPr="001B53A8">
        <w:rPr>
          <w:rFonts w:ascii="Times New Roman" w:hAnsi="Times New Roman"/>
        </w:rPr>
        <w:t xml:space="preserve">, </w:t>
      </w:r>
      <w:r w:rsidRPr="001B53A8">
        <w:rPr>
          <w:rFonts w:ascii="Times New Roman" w:hAnsi="Times New Roman"/>
        </w:rPr>
        <w:t>dokumentacije</w:t>
      </w:r>
      <w:r w:rsidR="00EF2179" w:rsidRPr="001B53A8">
        <w:rPr>
          <w:rFonts w:ascii="Times New Roman" w:hAnsi="Times New Roman"/>
        </w:rPr>
        <w:t xml:space="preserve"> </w:t>
      </w:r>
      <w:r w:rsidRPr="001B53A8">
        <w:rPr>
          <w:rFonts w:ascii="Times New Roman" w:hAnsi="Times New Roman"/>
        </w:rPr>
        <w:t>i</w:t>
      </w:r>
      <w:r w:rsidR="00EF2179" w:rsidRPr="001B53A8">
        <w:rPr>
          <w:rFonts w:ascii="Times New Roman" w:hAnsi="Times New Roman"/>
        </w:rPr>
        <w:t xml:space="preserve"> </w:t>
      </w:r>
      <w:r w:rsidRPr="001B53A8">
        <w:rPr>
          <w:rFonts w:ascii="Times New Roman" w:hAnsi="Times New Roman"/>
        </w:rPr>
        <w:t>podataka</w:t>
      </w:r>
      <w:r w:rsidR="00EF2179" w:rsidRPr="001B53A8">
        <w:rPr>
          <w:rFonts w:ascii="Times New Roman" w:hAnsi="Times New Roman"/>
        </w:rPr>
        <w:t>;</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neposredan</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nadzor</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provodi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se</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u</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prostorijama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nadziranog</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lica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ili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pravnog</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lica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s</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kojim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je</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nadzirano</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lice</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direktno</w:t>
      </w:r>
      <w:r w:rsidR="00EF2179" w:rsidRPr="001B53A8">
        <w:rPr>
          <w:rFonts w:ascii="Times New Roman" w:eastAsia="Times New Roman" w:hAnsi="Times New Roman"/>
          <w:lang w:eastAsia="sr-Latn-CS"/>
        </w:rPr>
        <w:t xml:space="preserve"> </w:t>
      </w:r>
      <w:r w:rsidRPr="001B53A8">
        <w:rPr>
          <w:rStyle w:val="FontStyle151"/>
          <w:rFonts w:ascii="Times New Roman" w:hAnsi="Times New Roman" w:cs="Times New Roman"/>
          <w:sz w:val="24"/>
        </w:rPr>
        <w:t>ili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indirektno</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povezano</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poslovno</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upravlјački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ili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kapitalom</w:t>
      </w:r>
      <w:r w:rsidR="00EF2179" w:rsidRPr="001B53A8">
        <w:rPr>
          <w:rFonts w:ascii="Times New Roman" w:eastAsia="Times New Roman" w:hAnsi="Times New Roman"/>
          <w:lang w:eastAsia="sr-Latn-CS"/>
        </w:rPr>
        <w:t>,</w:t>
      </w:r>
      <w:r w:rsidR="00EF2179" w:rsidRPr="001B53A8">
        <w:rPr>
          <w:rFonts w:ascii="Times New Roman" w:eastAsia="Times New Roman" w:hAnsi="Times New Roman"/>
          <w:color w:val="FF0000"/>
          <w:lang w:eastAsia="sr-Latn-CS"/>
        </w:rPr>
        <w:t xml:space="preserve"> </w:t>
      </w:r>
      <w:r w:rsidRPr="001B53A8">
        <w:rPr>
          <w:rFonts w:ascii="Times New Roman" w:eastAsia="Times New Roman" w:hAnsi="Times New Roman"/>
          <w:lang w:eastAsia="sr-Latn-CS"/>
        </w:rPr>
        <w:t>uzimanjem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izjava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izjašnjenja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uvidom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u</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poslovnu</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dokumentaciju</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isprave</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poslovne</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knjige</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registre</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evidencije</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bez</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obzira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na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to</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da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li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se</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vode</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u</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materijalnom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ili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elektronskom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obliku</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te</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elektronska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druga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sredstva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komunikacije</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instalirana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kod</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nadziranog</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lica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kao</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uzimanjem</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izjava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izjašnjenja</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u</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sjedištu</w:t>
      </w:r>
      <w:r w:rsidR="00EF2179" w:rsidRPr="001B53A8">
        <w:rPr>
          <w:rFonts w:ascii="Times New Roman" w:eastAsia="Times New Roman" w:hAnsi="Times New Roman"/>
          <w:lang w:eastAsia="sr-Latn-CS"/>
        </w:rPr>
        <w:t xml:space="preserve"> </w:t>
      </w:r>
      <w:r w:rsidRPr="001B53A8">
        <w:rPr>
          <w:rFonts w:ascii="Times New Roman" w:eastAsia="Times New Roman" w:hAnsi="Times New Roman"/>
          <w:lang w:eastAsia="sr-Latn-CS"/>
        </w:rPr>
        <w:t>Komisije</w:t>
      </w:r>
      <w:r w:rsidR="00EF2179" w:rsidRPr="001B53A8">
        <w:rPr>
          <w:rStyle w:val="FootnoteReference"/>
          <w:rFonts w:ascii="Times New Roman" w:hAnsi="Times New Roman"/>
        </w:rPr>
        <w:footnoteReference w:id="35"/>
      </w:r>
      <w:r w:rsidR="00EF2179" w:rsidRPr="001B53A8">
        <w:rPr>
          <w:rFonts w:ascii="Times New Roman" w:eastAsia="Times New Roman" w:hAnsi="Times New Roman"/>
          <w:lang w:eastAsia="sr-Latn-CS"/>
        </w:rPr>
        <w:t>.</w:t>
      </w:r>
    </w:p>
    <w:p w14:paraId="605CBEE8" w14:textId="513CF546" w:rsidR="00643CDC" w:rsidRPr="001B53A8" w:rsidRDefault="00003F34" w:rsidP="00EF2179">
      <w:pPr>
        <w:pStyle w:val="Style15"/>
        <w:widowControl/>
        <w:spacing w:before="120" w:line="240" w:lineRule="auto"/>
        <w:ind w:firstLine="567"/>
        <w:rPr>
          <w:rFonts w:ascii="Times New Roman" w:hAnsi="Times New Roman"/>
        </w:rPr>
      </w:pPr>
      <w:r w:rsidRPr="001B53A8">
        <w:rPr>
          <w:rFonts w:ascii="Times New Roman" w:hAnsi="Times New Roman"/>
        </w:rPr>
        <w:t>U</w:t>
      </w:r>
      <w:r w:rsidR="00643CDC" w:rsidRPr="001B53A8">
        <w:rPr>
          <w:rFonts w:ascii="Times New Roman" w:hAnsi="Times New Roman"/>
        </w:rPr>
        <w:t xml:space="preserve"> </w:t>
      </w:r>
      <w:r w:rsidRPr="001B53A8">
        <w:rPr>
          <w:rFonts w:ascii="Times New Roman" w:hAnsi="Times New Roman"/>
        </w:rPr>
        <w:t>obavlјanju</w:t>
      </w:r>
      <w:r w:rsidR="00643CDC" w:rsidRPr="001B53A8">
        <w:rPr>
          <w:rFonts w:ascii="Times New Roman" w:hAnsi="Times New Roman"/>
        </w:rPr>
        <w:t xml:space="preserve"> </w:t>
      </w:r>
      <w:r w:rsidRPr="001B53A8">
        <w:rPr>
          <w:rFonts w:ascii="Times New Roman" w:hAnsi="Times New Roman"/>
        </w:rPr>
        <w:t>nadzornih</w:t>
      </w:r>
      <w:r w:rsidR="00643CDC" w:rsidRPr="001B53A8">
        <w:rPr>
          <w:rFonts w:ascii="Times New Roman" w:hAnsi="Times New Roman"/>
        </w:rPr>
        <w:t xml:space="preserve"> </w:t>
      </w:r>
      <w:r w:rsidRPr="001B53A8">
        <w:rPr>
          <w:rFonts w:ascii="Times New Roman" w:hAnsi="Times New Roman"/>
        </w:rPr>
        <w:t>ovlašćenja</w:t>
      </w:r>
      <w:r w:rsidR="00643CDC" w:rsidRPr="001B53A8">
        <w:rPr>
          <w:rFonts w:ascii="Times New Roman" w:hAnsi="Times New Roman"/>
        </w:rPr>
        <w:t xml:space="preserve">, </w:t>
      </w:r>
      <w:r w:rsidRPr="001B53A8">
        <w:rPr>
          <w:rFonts w:ascii="Times New Roman" w:hAnsi="Times New Roman"/>
        </w:rPr>
        <w:t>Komisija</w:t>
      </w:r>
      <w:r w:rsidR="00643CDC" w:rsidRPr="001B53A8">
        <w:rPr>
          <w:rFonts w:ascii="Times New Roman" w:hAnsi="Times New Roman"/>
        </w:rPr>
        <w:t xml:space="preserve"> </w:t>
      </w:r>
      <w:r w:rsidRPr="001B53A8">
        <w:rPr>
          <w:rFonts w:ascii="Times New Roman" w:hAnsi="Times New Roman"/>
        </w:rPr>
        <w:t>je</w:t>
      </w:r>
      <w:r w:rsidR="00643CDC" w:rsidRPr="001B53A8">
        <w:rPr>
          <w:rFonts w:ascii="Times New Roman" w:hAnsi="Times New Roman"/>
        </w:rPr>
        <w:t xml:space="preserve"> </w:t>
      </w:r>
      <w:r w:rsidRPr="001B53A8">
        <w:rPr>
          <w:rFonts w:ascii="Times New Roman" w:hAnsi="Times New Roman"/>
        </w:rPr>
        <w:t>u</w:t>
      </w:r>
      <w:r w:rsidR="00643CDC" w:rsidRPr="001B53A8">
        <w:rPr>
          <w:rFonts w:ascii="Times New Roman" w:hAnsi="Times New Roman"/>
        </w:rPr>
        <w:t xml:space="preserve"> </w:t>
      </w:r>
      <w:r w:rsidRPr="001B53A8">
        <w:rPr>
          <w:rFonts w:ascii="Times New Roman" w:hAnsi="Times New Roman"/>
        </w:rPr>
        <w:t>toku</w:t>
      </w:r>
      <w:r w:rsidR="00643CDC" w:rsidRPr="001B53A8">
        <w:rPr>
          <w:rFonts w:ascii="Times New Roman" w:hAnsi="Times New Roman"/>
        </w:rPr>
        <w:t xml:space="preserve"> 2023. </w:t>
      </w:r>
      <w:r w:rsidRPr="001B53A8">
        <w:rPr>
          <w:rFonts w:ascii="Times New Roman" w:hAnsi="Times New Roman"/>
        </w:rPr>
        <w:t>godine</w:t>
      </w:r>
      <w:r w:rsidR="00643CDC" w:rsidRPr="001B53A8">
        <w:rPr>
          <w:rFonts w:ascii="Times New Roman" w:hAnsi="Times New Roman"/>
        </w:rPr>
        <w:t xml:space="preserve"> </w:t>
      </w:r>
      <w:r w:rsidRPr="001B53A8">
        <w:rPr>
          <w:rFonts w:ascii="Times New Roman" w:hAnsi="Times New Roman"/>
        </w:rPr>
        <w:t>usvojila</w:t>
      </w:r>
      <w:r w:rsidR="00643CDC" w:rsidRPr="001B53A8">
        <w:rPr>
          <w:rFonts w:ascii="Times New Roman" w:hAnsi="Times New Roman"/>
        </w:rPr>
        <w:t xml:space="preserve"> </w:t>
      </w:r>
      <w:r w:rsidRPr="001B53A8">
        <w:rPr>
          <w:rFonts w:ascii="Times New Roman" w:hAnsi="Times New Roman"/>
        </w:rPr>
        <w:t>četrnaest</w:t>
      </w:r>
      <w:r w:rsidR="00643CDC" w:rsidRPr="001B53A8">
        <w:rPr>
          <w:rFonts w:ascii="Times New Roman" w:hAnsi="Times New Roman"/>
        </w:rPr>
        <w:t xml:space="preserve"> </w:t>
      </w:r>
      <w:r w:rsidRPr="001B53A8">
        <w:rPr>
          <w:rFonts w:ascii="Times New Roman" w:hAnsi="Times New Roman"/>
        </w:rPr>
        <w:t>izvještaja</w:t>
      </w:r>
      <w:r w:rsidR="00643CDC" w:rsidRPr="001B53A8">
        <w:rPr>
          <w:rFonts w:ascii="Times New Roman" w:hAnsi="Times New Roman"/>
        </w:rPr>
        <w:t xml:space="preserve"> </w:t>
      </w:r>
      <w:r w:rsidRPr="001B53A8">
        <w:rPr>
          <w:rFonts w:ascii="Times New Roman" w:hAnsi="Times New Roman"/>
        </w:rPr>
        <w:t>kontinuiranih</w:t>
      </w:r>
      <w:r w:rsidR="00643CDC" w:rsidRPr="001B53A8">
        <w:rPr>
          <w:rFonts w:ascii="Times New Roman" w:hAnsi="Times New Roman"/>
        </w:rPr>
        <w:t xml:space="preserve"> </w:t>
      </w:r>
      <w:r w:rsidRPr="001B53A8">
        <w:rPr>
          <w:rFonts w:ascii="Times New Roman" w:hAnsi="Times New Roman"/>
        </w:rPr>
        <w:t>nadzora</w:t>
      </w:r>
      <w:r w:rsidR="00643CDC" w:rsidRPr="001B53A8">
        <w:rPr>
          <w:rFonts w:ascii="Times New Roman" w:hAnsi="Times New Roman"/>
        </w:rPr>
        <w:t xml:space="preserve"> </w:t>
      </w:r>
      <w:r w:rsidRPr="001B53A8">
        <w:rPr>
          <w:rFonts w:ascii="Times New Roman" w:hAnsi="Times New Roman"/>
        </w:rPr>
        <w:t>u</w:t>
      </w:r>
      <w:r w:rsidR="00643CDC" w:rsidRPr="001B53A8">
        <w:rPr>
          <w:rFonts w:ascii="Times New Roman" w:hAnsi="Times New Roman"/>
        </w:rPr>
        <w:t xml:space="preserve"> </w:t>
      </w:r>
      <w:r w:rsidRPr="001B53A8">
        <w:rPr>
          <w:rFonts w:ascii="Times New Roman" w:hAnsi="Times New Roman"/>
        </w:rPr>
        <w:t>skladu</w:t>
      </w:r>
      <w:r w:rsidR="00643CDC" w:rsidRPr="001B53A8">
        <w:rPr>
          <w:rFonts w:ascii="Times New Roman" w:hAnsi="Times New Roman"/>
        </w:rPr>
        <w:t xml:space="preserve"> </w:t>
      </w:r>
      <w:r w:rsidRPr="001B53A8">
        <w:rPr>
          <w:rFonts w:ascii="Times New Roman" w:hAnsi="Times New Roman"/>
        </w:rPr>
        <w:t>sa</w:t>
      </w:r>
      <w:r w:rsidR="00643CDC" w:rsidRPr="001B53A8">
        <w:rPr>
          <w:rFonts w:ascii="Times New Roman" w:hAnsi="Times New Roman"/>
        </w:rPr>
        <w:t xml:space="preserve"> </w:t>
      </w:r>
      <w:r w:rsidRPr="001B53A8">
        <w:rPr>
          <w:rFonts w:ascii="Times New Roman" w:hAnsi="Times New Roman"/>
        </w:rPr>
        <w:t>članom</w:t>
      </w:r>
      <w:r w:rsidR="00643CDC" w:rsidRPr="001B53A8">
        <w:rPr>
          <w:rFonts w:ascii="Times New Roman" w:hAnsi="Times New Roman"/>
        </w:rPr>
        <w:t xml:space="preserve"> 11. </w:t>
      </w:r>
      <w:r w:rsidRPr="001B53A8">
        <w:rPr>
          <w:rFonts w:ascii="Times New Roman" w:hAnsi="Times New Roman"/>
        </w:rPr>
        <w:t>stav</w:t>
      </w:r>
      <w:r w:rsidR="00643CDC" w:rsidRPr="001B53A8">
        <w:rPr>
          <w:rFonts w:ascii="Times New Roman" w:hAnsi="Times New Roman"/>
        </w:rPr>
        <w:t xml:space="preserve"> 2. </w:t>
      </w:r>
      <w:r w:rsidRPr="001B53A8">
        <w:rPr>
          <w:rFonts w:ascii="Times New Roman" w:hAnsi="Times New Roman"/>
        </w:rPr>
        <w:t>Pravilnika</w:t>
      </w:r>
      <w:r w:rsidR="00643CDC" w:rsidRPr="001B53A8">
        <w:rPr>
          <w:rFonts w:ascii="Times New Roman" w:hAnsi="Times New Roman"/>
        </w:rPr>
        <w:t xml:space="preserve"> </w:t>
      </w:r>
      <w:r w:rsidRPr="001B53A8">
        <w:rPr>
          <w:rFonts w:ascii="Times New Roman" w:hAnsi="Times New Roman"/>
        </w:rPr>
        <w:t>o</w:t>
      </w:r>
      <w:r w:rsidR="00643CDC" w:rsidRPr="001B53A8">
        <w:rPr>
          <w:rFonts w:ascii="Times New Roman" w:hAnsi="Times New Roman"/>
        </w:rPr>
        <w:t xml:space="preserve"> </w:t>
      </w:r>
      <w:r w:rsidRPr="001B53A8">
        <w:rPr>
          <w:rFonts w:ascii="Times New Roman" w:hAnsi="Times New Roman"/>
        </w:rPr>
        <w:t>nadzoru</w:t>
      </w:r>
      <w:r w:rsidR="00643CDC" w:rsidRPr="001B53A8">
        <w:rPr>
          <w:rFonts w:ascii="Times New Roman" w:hAnsi="Times New Roman"/>
        </w:rPr>
        <w:t xml:space="preserve">, </w:t>
      </w:r>
      <w:r w:rsidRPr="001B53A8">
        <w:rPr>
          <w:rFonts w:ascii="Times New Roman" w:hAnsi="Times New Roman"/>
        </w:rPr>
        <w:t>i</w:t>
      </w:r>
      <w:r w:rsidR="00643CDC" w:rsidRPr="001B53A8">
        <w:rPr>
          <w:rFonts w:ascii="Times New Roman" w:hAnsi="Times New Roman"/>
        </w:rPr>
        <w:t xml:space="preserve"> </w:t>
      </w:r>
      <w:r w:rsidRPr="001B53A8">
        <w:rPr>
          <w:rFonts w:ascii="Times New Roman" w:hAnsi="Times New Roman"/>
        </w:rPr>
        <w:t>to</w:t>
      </w:r>
      <w:r w:rsidR="00643CDC" w:rsidRPr="001B53A8">
        <w:rPr>
          <w:rFonts w:ascii="Times New Roman" w:hAnsi="Times New Roman"/>
        </w:rPr>
        <w:t xml:space="preserve"> </w:t>
      </w:r>
      <w:r w:rsidRPr="001B53A8">
        <w:rPr>
          <w:rFonts w:ascii="Times New Roman" w:hAnsi="Times New Roman"/>
        </w:rPr>
        <w:t>jedan</w:t>
      </w:r>
      <w:r w:rsidR="00643CDC" w:rsidRPr="001B53A8">
        <w:rPr>
          <w:rFonts w:ascii="Times New Roman" w:hAnsi="Times New Roman"/>
        </w:rPr>
        <w:t xml:space="preserve"> </w:t>
      </w:r>
      <w:r w:rsidRPr="001B53A8">
        <w:rPr>
          <w:rFonts w:ascii="Times New Roman" w:hAnsi="Times New Roman"/>
        </w:rPr>
        <w:t>izvještaj</w:t>
      </w:r>
      <w:r w:rsidR="00643CDC" w:rsidRPr="001B53A8">
        <w:rPr>
          <w:rFonts w:ascii="Times New Roman" w:hAnsi="Times New Roman"/>
        </w:rPr>
        <w:t xml:space="preserve"> </w:t>
      </w:r>
      <w:r w:rsidRPr="001B53A8">
        <w:rPr>
          <w:rFonts w:ascii="Times New Roman" w:hAnsi="Times New Roman"/>
        </w:rPr>
        <w:t>kontinuiranog</w:t>
      </w:r>
      <w:r w:rsidR="00643CDC" w:rsidRPr="001B53A8">
        <w:rPr>
          <w:rFonts w:ascii="Times New Roman" w:hAnsi="Times New Roman"/>
        </w:rPr>
        <w:t xml:space="preserve"> </w:t>
      </w:r>
      <w:r w:rsidRPr="001B53A8">
        <w:rPr>
          <w:rFonts w:ascii="Times New Roman" w:hAnsi="Times New Roman"/>
        </w:rPr>
        <w:t>nadzora</w:t>
      </w:r>
      <w:r w:rsidR="00643CDC" w:rsidRPr="001B53A8">
        <w:rPr>
          <w:rFonts w:ascii="Times New Roman" w:hAnsi="Times New Roman"/>
        </w:rPr>
        <w:t xml:space="preserve"> </w:t>
      </w:r>
      <w:r w:rsidRPr="001B53A8">
        <w:rPr>
          <w:rFonts w:ascii="Times New Roman" w:hAnsi="Times New Roman"/>
        </w:rPr>
        <w:t>nad</w:t>
      </w:r>
      <w:r w:rsidR="00643CDC" w:rsidRPr="001B53A8">
        <w:rPr>
          <w:rFonts w:ascii="Times New Roman" w:hAnsi="Times New Roman"/>
        </w:rPr>
        <w:t xml:space="preserve"> </w:t>
      </w:r>
      <w:r w:rsidRPr="001B53A8">
        <w:rPr>
          <w:rFonts w:ascii="Times New Roman" w:hAnsi="Times New Roman"/>
        </w:rPr>
        <w:t>trgovanjem</w:t>
      </w:r>
      <w:r w:rsidR="00643CDC" w:rsidRPr="001B53A8">
        <w:rPr>
          <w:rFonts w:ascii="Times New Roman" w:hAnsi="Times New Roman"/>
        </w:rPr>
        <w:t xml:space="preserve"> </w:t>
      </w:r>
      <w:r w:rsidRPr="001B53A8">
        <w:rPr>
          <w:rFonts w:ascii="Times New Roman" w:hAnsi="Times New Roman"/>
        </w:rPr>
        <w:t>akcijama</w:t>
      </w:r>
      <w:r w:rsidR="00643CDC" w:rsidRPr="001B53A8">
        <w:rPr>
          <w:rFonts w:ascii="Times New Roman" w:hAnsi="Times New Roman"/>
        </w:rPr>
        <w:t xml:space="preserve"> </w:t>
      </w:r>
      <w:r w:rsidRPr="001B53A8">
        <w:rPr>
          <w:rFonts w:ascii="Times New Roman" w:hAnsi="Times New Roman"/>
        </w:rPr>
        <w:t>jednog</w:t>
      </w:r>
      <w:r w:rsidR="00643CDC" w:rsidRPr="001B53A8">
        <w:rPr>
          <w:rFonts w:ascii="Times New Roman" w:hAnsi="Times New Roman"/>
        </w:rPr>
        <w:t xml:space="preserve"> </w:t>
      </w:r>
      <w:r w:rsidRPr="001B53A8">
        <w:rPr>
          <w:rFonts w:ascii="Times New Roman" w:hAnsi="Times New Roman"/>
        </w:rPr>
        <w:t>emitenta</w:t>
      </w:r>
      <w:r w:rsidR="00643CDC" w:rsidRPr="001B53A8">
        <w:rPr>
          <w:rFonts w:ascii="Times New Roman" w:hAnsi="Times New Roman"/>
        </w:rPr>
        <w:t xml:space="preserve">, </w:t>
      </w:r>
      <w:r w:rsidRPr="001B53A8">
        <w:rPr>
          <w:rFonts w:ascii="Times New Roman" w:hAnsi="Times New Roman"/>
        </w:rPr>
        <w:t>dvanaest</w:t>
      </w:r>
      <w:r w:rsidR="00643CDC" w:rsidRPr="001B53A8">
        <w:rPr>
          <w:rFonts w:ascii="Times New Roman" w:hAnsi="Times New Roman"/>
        </w:rPr>
        <w:t xml:space="preserve"> </w:t>
      </w:r>
      <w:r w:rsidRPr="001B53A8">
        <w:rPr>
          <w:rFonts w:ascii="Times New Roman" w:hAnsi="Times New Roman"/>
        </w:rPr>
        <w:t>izvještaja</w:t>
      </w:r>
      <w:r w:rsidR="00643CDC" w:rsidRPr="001B53A8">
        <w:rPr>
          <w:rFonts w:ascii="Times New Roman" w:hAnsi="Times New Roman"/>
        </w:rPr>
        <w:t xml:space="preserve"> </w:t>
      </w:r>
      <w:r w:rsidRPr="001B53A8">
        <w:rPr>
          <w:rFonts w:ascii="Times New Roman" w:hAnsi="Times New Roman"/>
        </w:rPr>
        <w:t>kontinuiranih</w:t>
      </w:r>
      <w:r w:rsidR="00643CDC" w:rsidRPr="001B53A8">
        <w:rPr>
          <w:rFonts w:ascii="Times New Roman" w:hAnsi="Times New Roman"/>
        </w:rPr>
        <w:t xml:space="preserve"> </w:t>
      </w:r>
      <w:r w:rsidRPr="001B53A8">
        <w:rPr>
          <w:rFonts w:ascii="Times New Roman" w:hAnsi="Times New Roman"/>
        </w:rPr>
        <w:t>nadzora</w:t>
      </w:r>
      <w:r w:rsidR="00643CDC" w:rsidRPr="001B53A8">
        <w:rPr>
          <w:rFonts w:ascii="Times New Roman" w:hAnsi="Times New Roman"/>
        </w:rPr>
        <w:t xml:space="preserve"> </w:t>
      </w:r>
      <w:r w:rsidRPr="001B53A8">
        <w:rPr>
          <w:rFonts w:ascii="Times New Roman" w:hAnsi="Times New Roman"/>
        </w:rPr>
        <w:t>sa</w:t>
      </w:r>
      <w:r w:rsidR="00643CDC" w:rsidRPr="001B53A8">
        <w:rPr>
          <w:rFonts w:ascii="Times New Roman" w:hAnsi="Times New Roman"/>
        </w:rPr>
        <w:t xml:space="preserve"> </w:t>
      </w:r>
      <w:r w:rsidRPr="001B53A8">
        <w:rPr>
          <w:rFonts w:ascii="Times New Roman" w:hAnsi="Times New Roman"/>
        </w:rPr>
        <w:t>predmetom</w:t>
      </w:r>
      <w:r w:rsidR="00643CDC" w:rsidRPr="001B53A8">
        <w:rPr>
          <w:rFonts w:ascii="Times New Roman" w:hAnsi="Times New Roman"/>
        </w:rPr>
        <w:t xml:space="preserve"> </w:t>
      </w:r>
      <w:r w:rsidRPr="001B53A8">
        <w:rPr>
          <w:rFonts w:ascii="Times New Roman" w:hAnsi="Times New Roman"/>
        </w:rPr>
        <w:t>analiza</w:t>
      </w:r>
      <w:r w:rsidR="00643CDC" w:rsidRPr="001B53A8">
        <w:rPr>
          <w:rFonts w:ascii="Times New Roman" w:hAnsi="Times New Roman"/>
        </w:rPr>
        <w:t xml:space="preserve"> </w:t>
      </w:r>
      <w:r w:rsidRPr="001B53A8">
        <w:rPr>
          <w:rFonts w:ascii="Times New Roman" w:hAnsi="Times New Roman"/>
        </w:rPr>
        <w:t>mjesečnog</w:t>
      </w:r>
      <w:r w:rsidR="00643CDC" w:rsidRPr="001B53A8">
        <w:rPr>
          <w:rFonts w:ascii="Times New Roman" w:hAnsi="Times New Roman"/>
        </w:rPr>
        <w:t xml:space="preserve"> </w:t>
      </w:r>
      <w:r w:rsidRPr="001B53A8">
        <w:rPr>
          <w:rFonts w:ascii="Times New Roman" w:hAnsi="Times New Roman"/>
        </w:rPr>
        <w:t>trgovanja</w:t>
      </w:r>
      <w:r w:rsidR="00643CDC" w:rsidRPr="001B53A8">
        <w:rPr>
          <w:rFonts w:ascii="Times New Roman" w:hAnsi="Times New Roman"/>
        </w:rPr>
        <w:t xml:space="preserve"> </w:t>
      </w:r>
      <w:r w:rsidRPr="001B53A8">
        <w:rPr>
          <w:rFonts w:ascii="Times New Roman" w:hAnsi="Times New Roman"/>
        </w:rPr>
        <w:t>i</w:t>
      </w:r>
      <w:r w:rsidR="00643CDC" w:rsidRPr="001B53A8">
        <w:rPr>
          <w:rFonts w:ascii="Times New Roman" w:hAnsi="Times New Roman"/>
        </w:rPr>
        <w:t xml:space="preserve"> </w:t>
      </w:r>
      <w:r w:rsidRPr="001B53A8">
        <w:rPr>
          <w:rFonts w:ascii="Times New Roman" w:hAnsi="Times New Roman"/>
        </w:rPr>
        <w:t>stanja</w:t>
      </w:r>
      <w:r w:rsidR="00643CDC" w:rsidRPr="001B53A8">
        <w:rPr>
          <w:rFonts w:ascii="Times New Roman" w:hAnsi="Times New Roman"/>
        </w:rPr>
        <w:t xml:space="preserve"> </w:t>
      </w:r>
      <w:r w:rsidRPr="001B53A8">
        <w:rPr>
          <w:rFonts w:ascii="Times New Roman" w:hAnsi="Times New Roman"/>
        </w:rPr>
        <w:t>na</w:t>
      </w:r>
      <w:r w:rsidR="00643CDC" w:rsidRPr="001B53A8">
        <w:rPr>
          <w:rFonts w:ascii="Times New Roman" w:hAnsi="Times New Roman"/>
        </w:rPr>
        <w:t xml:space="preserve"> </w:t>
      </w:r>
      <w:r w:rsidRPr="001B53A8">
        <w:rPr>
          <w:rFonts w:ascii="Times New Roman" w:hAnsi="Times New Roman"/>
        </w:rPr>
        <w:t>Banjalučkoj</w:t>
      </w:r>
      <w:r w:rsidR="00643CDC" w:rsidRPr="001B53A8">
        <w:rPr>
          <w:rFonts w:ascii="Times New Roman" w:hAnsi="Times New Roman"/>
        </w:rPr>
        <w:t xml:space="preserve"> </w:t>
      </w:r>
      <w:r w:rsidRPr="001B53A8">
        <w:rPr>
          <w:rFonts w:ascii="Times New Roman" w:hAnsi="Times New Roman"/>
        </w:rPr>
        <w:t>berzi</w:t>
      </w:r>
      <w:r w:rsidR="00643CDC" w:rsidRPr="001B53A8">
        <w:rPr>
          <w:rFonts w:ascii="Times New Roman" w:hAnsi="Times New Roman"/>
        </w:rPr>
        <w:t xml:space="preserve">, </w:t>
      </w:r>
      <w:r w:rsidRPr="001B53A8">
        <w:rPr>
          <w:rFonts w:ascii="Times New Roman" w:hAnsi="Times New Roman"/>
        </w:rPr>
        <w:t>te</w:t>
      </w:r>
      <w:r w:rsidR="00643CDC" w:rsidRPr="001B53A8">
        <w:rPr>
          <w:rFonts w:ascii="Times New Roman" w:hAnsi="Times New Roman"/>
        </w:rPr>
        <w:t xml:space="preserve"> </w:t>
      </w:r>
      <w:r w:rsidRPr="001B53A8">
        <w:rPr>
          <w:rFonts w:ascii="Times New Roman" w:hAnsi="Times New Roman"/>
        </w:rPr>
        <w:t>jedan</w:t>
      </w:r>
      <w:r w:rsidR="00643CDC" w:rsidRPr="001B53A8">
        <w:rPr>
          <w:rFonts w:ascii="Times New Roman" w:hAnsi="Times New Roman"/>
        </w:rPr>
        <w:t xml:space="preserve"> </w:t>
      </w:r>
      <w:r w:rsidRPr="001B53A8">
        <w:rPr>
          <w:rFonts w:ascii="Times New Roman" w:hAnsi="Times New Roman"/>
        </w:rPr>
        <w:t>izvještaj</w:t>
      </w:r>
      <w:r w:rsidR="00643CDC" w:rsidRPr="001B53A8">
        <w:rPr>
          <w:rFonts w:ascii="Times New Roman" w:hAnsi="Times New Roman"/>
        </w:rPr>
        <w:t xml:space="preserve">  </w:t>
      </w:r>
      <w:r w:rsidRPr="001B53A8">
        <w:rPr>
          <w:rFonts w:ascii="Times New Roman" w:hAnsi="Times New Roman"/>
        </w:rPr>
        <w:t>kontinuiranog</w:t>
      </w:r>
      <w:r w:rsidR="00643CDC" w:rsidRPr="001B53A8">
        <w:rPr>
          <w:rFonts w:ascii="Times New Roman" w:hAnsi="Times New Roman"/>
        </w:rPr>
        <w:t xml:space="preserve"> </w:t>
      </w:r>
      <w:r w:rsidRPr="001B53A8">
        <w:rPr>
          <w:rFonts w:ascii="Times New Roman" w:hAnsi="Times New Roman"/>
        </w:rPr>
        <w:t>nadzora</w:t>
      </w:r>
      <w:r w:rsidR="00643CDC" w:rsidRPr="001B53A8">
        <w:rPr>
          <w:rFonts w:ascii="Times New Roman" w:hAnsi="Times New Roman"/>
        </w:rPr>
        <w:t xml:space="preserve"> </w:t>
      </w:r>
      <w:r w:rsidRPr="001B53A8">
        <w:rPr>
          <w:rFonts w:ascii="Times New Roman" w:hAnsi="Times New Roman"/>
        </w:rPr>
        <w:t>poslovanja</w:t>
      </w:r>
      <w:r w:rsidR="00643CDC" w:rsidRPr="001B53A8">
        <w:rPr>
          <w:rFonts w:ascii="Times New Roman" w:hAnsi="Times New Roman"/>
        </w:rPr>
        <w:t xml:space="preserve"> </w:t>
      </w:r>
      <w:r w:rsidRPr="001B53A8">
        <w:rPr>
          <w:rFonts w:ascii="Times New Roman" w:hAnsi="Times New Roman"/>
        </w:rPr>
        <w:t>svih</w:t>
      </w:r>
      <w:r w:rsidR="00643CDC" w:rsidRPr="001B53A8">
        <w:rPr>
          <w:rFonts w:ascii="Times New Roman" w:hAnsi="Times New Roman"/>
        </w:rPr>
        <w:t xml:space="preserve"> </w:t>
      </w:r>
      <w:r w:rsidRPr="001B53A8">
        <w:rPr>
          <w:rFonts w:ascii="Times New Roman" w:hAnsi="Times New Roman"/>
        </w:rPr>
        <w:t>ovlašćenih</w:t>
      </w:r>
      <w:r w:rsidR="00643CDC" w:rsidRPr="001B53A8">
        <w:rPr>
          <w:rFonts w:ascii="Times New Roman" w:hAnsi="Times New Roman"/>
        </w:rPr>
        <w:t xml:space="preserve"> </w:t>
      </w:r>
      <w:r w:rsidRPr="001B53A8">
        <w:rPr>
          <w:rFonts w:ascii="Times New Roman" w:hAnsi="Times New Roman"/>
        </w:rPr>
        <w:t>učesnika</w:t>
      </w:r>
      <w:r w:rsidR="00643CDC" w:rsidRPr="001B53A8">
        <w:rPr>
          <w:rFonts w:ascii="Times New Roman" w:hAnsi="Times New Roman"/>
        </w:rPr>
        <w:t xml:space="preserve"> </w:t>
      </w:r>
      <w:r w:rsidRPr="001B53A8">
        <w:rPr>
          <w:rFonts w:ascii="Times New Roman" w:hAnsi="Times New Roman"/>
        </w:rPr>
        <w:t>na</w:t>
      </w:r>
      <w:r w:rsidR="00643CDC" w:rsidRPr="001B53A8">
        <w:rPr>
          <w:rFonts w:ascii="Times New Roman" w:hAnsi="Times New Roman"/>
        </w:rPr>
        <w:t xml:space="preserve"> </w:t>
      </w:r>
      <w:r w:rsidRPr="001B53A8">
        <w:rPr>
          <w:rFonts w:ascii="Times New Roman" w:hAnsi="Times New Roman"/>
        </w:rPr>
        <w:t>tržištu</w:t>
      </w:r>
      <w:r w:rsidR="00643CDC" w:rsidRPr="001B53A8">
        <w:rPr>
          <w:rFonts w:ascii="Times New Roman" w:hAnsi="Times New Roman"/>
        </w:rPr>
        <w:t xml:space="preserve"> </w:t>
      </w:r>
      <w:r w:rsidRPr="001B53A8">
        <w:rPr>
          <w:rFonts w:ascii="Times New Roman" w:hAnsi="Times New Roman"/>
        </w:rPr>
        <w:t>hartija</w:t>
      </w:r>
      <w:r w:rsidR="00643CDC" w:rsidRPr="001B53A8">
        <w:rPr>
          <w:rFonts w:ascii="Times New Roman" w:hAnsi="Times New Roman"/>
        </w:rPr>
        <w:t xml:space="preserve"> </w:t>
      </w:r>
      <w:r w:rsidRPr="001B53A8">
        <w:rPr>
          <w:rFonts w:ascii="Times New Roman" w:hAnsi="Times New Roman"/>
        </w:rPr>
        <w:t>od</w:t>
      </w:r>
      <w:r w:rsidR="00643CDC" w:rsidRPr="001B53A8">
        <w:rPr>
          <w:rFonts w:ascii="Times New Roman" w:hAnsi="Times New Roman"/>
        </w:rPr>
        <w:t xml:space="preserve"> </w:t>
      </w:r>
      <w:r w:rsidRPr="001B53A8">
        <w:rPr>
          <w:rFonts w:ascii="Times New Roman" w:hAnsi="Times New Roman"/>
        </w:rPr>
        <w:t>vrijednosti</w:t>
      </w:r>
      <w:r w:rsidR="00643CDC" w:rsidRPr="001B53A8">
        <w:rPr>
          <w:rFonts w:ascii="Times New Roman" w:hAnsi="Times New Roman"/>
        </w:rPr>
        <w:t>.</w:t>
      </w:r>
    </w:p>
    <w:p w14:paraId="0B731312" w14:textId="219BB0B4" w:rsidR="003E0284" w:rsidRPr="001B53A8" w:rsidRDefault="00003F34" w:rsidP="003E0284">
      <w:pPr>
        <w:pStyle w:val="Style15"/>
        <w:widowControl/>
        <w:spacing w:before="120" w:line="240" w:lineRule="auto"/>
        <w:ind w:firstLine="567"/>
        <w:rPr>
          <w:rFonts w:ascii="Times New Roman" w:hAnsi="Times New Roman"/>
        </w:rPr>
      </w:pPr>
      <w:r w:rsidRPr="001B53A8">
        <w:rPr>
          <w:rFonts w:ascii="Times New Roman" w:hAnsi="Times New Roman"/>
        </w:rPr>
        <w:t>U</w:t>
      </w:r>
      <w:r w:rsidR="003E0284" w:rsidRPr="001B53A8">
        <w:rPr>
          <w:rFonts w:ascii="Times New Roman" w:hAnsi="Times New Roman"/>
        </w:rPr>
        <w:t xml:space="preserve"> </w:t>
      </w:r>
      <w:r w:rsidRPr="001B53A8">
        <w:rPr>
          <w:rFonts w:ascii="Times New Roman" w:hAnsi="Times New Roman"/>
        </w:rPr>
        <w:t>toku</w:t>
      </w:r>
      <w:r w:rsidR="003E0284" w:rsidRPr="001B53A8">
        <w:rPr>
          <w:rFonts w:ascii="Times New Roman" w:hAnsi="Times New Roman"/>
        </w:rPr>
        <w:t xml:space="preserve"> 2023. </w:t>
      </w:r>
      <w:r w:rsidRPr="001B53A8">
        <w:rPr>
          <w:rFonts w:ascii="Times New Roman" w:hAnsi="Times New Roman"/>
        </w:rPr>
        <w:t>godine</w:t>
      </w:r>
      <w:r w:rsidR="003E0284" w:rsidRPr="001B53A8">
        <w:rPr>
          <w:rFonts w:ascii="Times New Roman" w:hAnsi="Times New Roman"/>
        </w:rPr>
        <w:t xml:space="preserve"> </w:t>
      </w:r>
      <w:r w:rsidRPr="001B53A8">
        <w:rPr>
          <w:rFonts w:ascii="Times New Roman" w:hAnsi="Times New Roman"/>
        </w:rPr>
        <w:t>okončan</w:t>
      </w:r>
      <w:r w:rsidR="003E0284" w:rsidRPr="001B53A8">
        <w:rPr>
          <w:rFonts w:ascii="Times New Roman" w:hAnsi="Times New Roman"/>
        </w:rPr>
        <w:t xml:space="preserve"> </w:t>
      </w:r>
      <w:r w:rsidRPr="001B53A8">
        <w:rPr>
          <w:rFonts w:ascii="Times New Roman" w:hAnsi="Times New Roman"/>
        </w:rPr>
        <w:t>je</w:t>
      </w:r>
      <w:r w:rsidR="003E0284" w:rsidRPr="001B53A8">
        <w:rPr>
          <w:rFonts w:ascii="Times New Roman" w:hAnsi="Times New Roman"/>
        </w:rPr>
        <w:t xml:space="preserve"> </w:t>
      </w:r>
      <w:r w:rsidRPr="001B53A8">
        <w:rPr>
          <w:rFonts w:ascii="Times New Roman" w:hAnsi="Times New Roman"/>
        </w:rPr>
        <w:t>jedan</w:t>
      </w:r>
      <w:r w:rsidR="003E0284" w:rsidRPr="001B53A8">
        <w:rPr>
          <w:rFonts w:ascii="Times New Roman" w:hAnsi="Times New Roman"/>
        </w:rPr>
        <w:t xml:space="preserve"> </w:t>
      </w:r>
      <w:r w:rsidRPr="001B53A8">
        <w:rPr>
          <w:rFonts w:ascii="Times New Roman" w:hAnsi="Times New Roman"/>
        </w:rPr>
        <w:t>postupaka</w:t>
      </w:r>
      <w:r w:rsidR="003E0284" w:rsidRPr="001B53A8">
        <w:rPr>
          <w:rFonts w:ascii="Times New Roman" w:hAnsi="Times New Roman"/>
        </w:rPr>
        <w:t xml:space="preserve"> </w:t>
      </w:r>
      <w:r w:rsidRPr="001B53A8">
        <w:rPr>
          <w:rFonts w:ascii="Times New Roman" w:hAnsi="Times New Roman"/>
        </w:rPr>
        <w:t>redovnog</w:t>
      </w:r>
      <w:r w:rsidR="003E0284" w:rsidRPr="001B53A8">
        <w:rPr>
          <w:rFonts w:ascii="Times New Roman" w:hAnsi="Times New Roman"/>
        </w:rPr>
        <w:t xml:space="preserve"> </w:t>
      </w:r>
      <w:r w:rsidRPr="001B53A8">
        <w:rPr>
          <w:rFonts w:ascii="Times New Roman" w:hAnsi="Times New Roman"/>
        </w:rPr>
        <w:t>nadzora</w:t>
      </w:r>
      <w:r w:rsidR="003E0284" w:rsidRPr="001B53A8">
        <w:rPr>
          <w:rFonts w:ascii="Times New Roman" w:hAnsi="Times New Roman"/>
        </w:rPr>
        <w:t xml:space="preserve"> </w:t>
      </w:r>
      <w:r w:rsidRPr="001B53A8">
        <w:rPr>
          <w:rFonts w:ascii="Times New Roman" w:hAnsi="Times New Roman"/>
        </w:rPr>
        <w:t>koji</w:t>
      </w:r>
      <w:r w:rsidR="003E0284" w:rsidRPr="001B53A8">
        <w:rPr>
          <w:rFonts w:ascii="Times New Roman" w:hAnsi="Times New Roman"/>
        </w:rPr>
        <w:t xml:space="preserve"> </w:t>
      </w:r>
      <w:r w:rsidRPr="001B53A8">
        <w:rPr>
          <w:rFonts w:ascii="Times New Roman" w:hAnsi="Times New Roman"/>
        </w:rPr>
        <w:t>je</w:t>
      </w:r>
      <w:r w:rsidR="003E0284" w:rsidRPr="001B53A8">
        <w:rPr>
          <w:rFonts w:ascii="Times New Roman" w:hAnsi="Times New Roman"/>
        </w:rPr>
        <w:t xml:space="preserve"> </w:t>
      </w:r>
      <w:r w:rsidRPr="001B53A8">
        <w:rPr>
          <w:rFonts w:ascii="Times New Roman" w:hAnsi="Times New Roman"/>
        </w:rPr>
        <w:t>pokrenut</w:t>
      </w:r>
      <w:r w:rsidR="003E0284" w:rsidRPr="001B53A8">
        <w:rPr>
          <w:rFonts w:ascii="Times New Roman" w:hAnsi="Times New Roman"/>
        </w:rPr>
        <w:t xml:space="preserve"> </w:t>
      </w:r>
      <w:r w:rsidRPr="001B53A8">
        <w:rPr>
          <w:rFonts w:ascii="Times New Roman" w:hAnsi="Times New Roman"/>
        </w:rPr>
        <w:t>u</w:t>
      </w:r>
      <w:r w:rsidR="003E0284" w:rsidRPr="001B53A8">
        <w:rPr>
          <w:rFonts w:ascii="Times New Roman" w:hAnsi="Times New Roman"/>
        </w:rPr>
        <w:t xml:space="preserve"> 2022. </w:t>
      </w:r>
      <w:r w:rsidRPr="001B53A8">
        <w:rPr>
          <w:rFonts w:ascii="Times New Roman" w:hAnsi="Times New Roman"/>
        </w:rPr>
        <w:t>godini</w:t>
      </w:r>
      <w:r w:rsidR="003E0284" w:rsidRPr="001B53A8">
        <w:rPr>
          <w:rFonts w:ascii="Times New Roman" w:hAnsi="Times New Roman"/>
        </w:rPr>
        <w:t xml:space="preserve">, </w:t>
      </w:r>
      <w:r w:rsidRPr="001B53A8">
        <w:rPr>
          <w:rFonts w:ascii="Times New Roman" w:hAnsi="Times New Roman"/>
        </w:rPr>
        <w:t>i</w:t>
      </w:r>
      <w:r w:rsidR="003E0284" w:rsidRPr="001B53A8">
        <w:rPr>
          <w:rFonts w:ascii="Times New Roman" w:hAnsi="Times New Roman"/>
        </w:rPr>
        <w:t xml:space="preserve"> </w:t>
      </w:r>
      <w:r w:rsidRPr="001B53A8">
        <w:rPr>
          <w:rFonts w:ascii="Times New Roman" w:hAnsi="Times New Roman"/>
        </w:rPr>
        <w:t>to</w:t>
      </w:r>
      <w:r w:rsidR="003E0284" w:rsidRPr="001B53A8">
        <w:rPr>
          <w:rFonts w:ascii="Times New Roman" w:hAnsi="Times New Roman"/>
        </w:rPr>
        <w:t xml:space="preserve"> </w:t>
      </w:r>
      <w:r w:rsidRPr="001B53A8">
        <w:rPr>
          <w:rFonts w:ascii="Times New Roman" w:hAnsi="Times New Roman"/>
        </w:rPr>
        <w:t>nad</w:t>
      </w:r>
      <w:r w:rsidR="003E0284" w:rsidRPr="001B53A8">
        <w:rPr>
          <w:rFonts w:ascii="Times New Roman" w:hAnsi="Times New Roman"/>
        </w:rPr>
        <w:t xml:space="preserve"> </w:t>
      </w:r>
      <w:r w:rsidRPr="001B53A8">
        <w:rPr>
          <w:rFonts w:ascii="Times New Roman" w:hAnsi="Times New Roman"/>
        </w:rPr>
        <w:t>jednim</w:t>
      </w:r>
      <w:r w:rsidR="003E0284" w:rsidRPr="001B53A8">
        <w:rPr>
          <w:rFonts w:ascii="Times New Roman" w:hAnsi="Times New Roman"/>
        </w:rPr>
        <w:t xml:space="preserve"> </w:t>
      </w:r>
      <w:r w:rsidRPr="001B53A8">
        <w:rPr>
          <w:rFonts w:ascii="Times New Roman" w:hAnsi="Times New Roman"/>
        </w:rPr>
        <w:t>društvom</w:t>
      </w:r>
      <w:r w:rsidR="003E0284" w:rsidRPr="001B53A8">
        <w:rPr>
          <w:rFonts w:ascii="Times New Roman" w:hAnsi="Times New Roman"/>
        </w:rPr>
        <w:t xml:space="preserve"> </w:t>
      </w:r>
      <w:r w:rsidRPr="001B53A8">
        <w:rPr>
          <w:rFonts w:ascii="Times New Roman" w:hAnsi="Times New Roman"/>
        </w:rPr>
        <w:t>za</w:t>
      </w:r>
      <w:r w:rsidR="003E0284" w:rsidRPr="001B53A8">
        <w:rPr>
          <w:rFonts w:ascii="Times New Roman" w:hAnsi="Times New Roman"/>
        </w:rPr>
        <w:t xml:space="preserve"> </w:t>
      </w:r>
      <w:r w:rsidRPr="001B53A8">
        <w:rPr>
          <w:rFonts w:ascii="Times New Roman" w:hAnsi="Times New Roman"/>
        </w:rPr>
        <w:t>upravlјanje</w:t>
      </w:r>
      <w:r w:rsidR="003E0284" w:rsidRPr="001B53A8">
        <w:rPr>
          <w:rFonts w:ascii="Times New Roman" w:hAnsi="Times New Roman"/>
        </w:rPr>
        <w:t xml:space="preserve"> </w:t>
      </w:r>
      <w:r w:rsidRPr="001B53A8">
        <w:rPr>
          <w:rFonts w:ascii="Times New Roman" w:hAnsi="Times New Roman"/>
        </w:rPr>
        <w:t>u</w:t>
      </w:r>
      <w:r w:rsidR="003E0284" w:rsidRPr="001B53A8">
        <w:rPr>
          <w:rFonts w:ascii="Times New Roman" w:hAnsi="Times New Roman"/>
        </w:rPr>
        <w:t xml:space="preserve"> </w:t>
      </w:r>
      <w:r w:rsidRPr="001B53A8">
        <w:rPr>
          <w:rFonts w:ascii="Times New Roman" w:hAnsi="Times New Roman"/>
        </w:rPr>
        <w:t>dijelu</w:t>
      </w:r>
      <w:r w:rsidR="003E0284" w:rsidRPr="001B53A8">
        <w:rPr>
          <w:rFonts w:ascii="Times New Roman" w:hAnsi="Times New Roman"/>
        </w:rPr>
        <w:t xml:space="preserve"> </w:t>
      </w:r>
      <w:r w:rsidRPr="001B53A8">
        <w:rPr>
          <w:rFonts w:ascii="Times New Roman" w:hAnsi="Times New Roman"/>
        </w:rPr>
        <w:t>poštovanja</w:t>
      </w:r>
      <w:r w:rsidR="003E0284" w:rsidRPr="001B53A8">
        <w:rPr>
          <w:rFonts w:ascii="Times New Roman" w:hAnsi="Times New Roman"/>
        </w:rPr>
        <w:t xml:space="preserve"> </w:t>
      </w:r>
      <w:r w:rsidRPr="001B53A8">
        <w:rPr>
          <w:rFonts w:ascii="Times New Roman" w:hAnsi="Times New Roman"/>
        </w:rPr>
        <w:t>zakonskih</w:t>
      </w:r>
      <w:r w:rsidR="003E0284" w:rsidRPr="001B53A8">
        <w:rPr>
          <w:rFonts w:ascii="Times New Roman" w:hAnsi="Times New Roman"/>
        </w:rPr>
        <w:t xml:space="preserve"> </w:t>
      </w:r>
      <w:r w:rsidRPr="001B53A8">
        <w:rPr>
          <w:rFonts w:ascii="Times New Roman" w:hAnsi="Times New Roman"/>
        </w:rPr>
        <w:t>i</w:t>
      </w:r>
      <w:r w:rsidR="003E0284" w:rsidRPr="001B53A8">
        <w:rPr>
          <w:rFonts w:ascii="Times New Roman" w:hAnsi="Times New Roman"/>
        </w:rPr>
        <w:t xml:space="preserve"> </w:t>
      </w:r>
      <w:r w:rsidRPr="001B53A8">
        <w:rPr>
          <w:rFonts w:ascii="Times New Roman" w:hAnsi="Times New Roman"/>
        </w:rPr>
        <w:t>drugih</w:t>
      </w:r>
      <w:r w:rsidR="003E0284" w:rsidRPr="001B53A8">
        <w:rPr>
          <w:rFonts w:ascii="Times New Roman" w:hAnsi="Times New Roman"/>
        </w:rPr>
        <w:t xml:space="preserve"> </w:t>
      </w:r>
      <w:r w:rsidRPr="001B53A8">
        <w:rPr>
          <w:rFonts w:ascii="Times New Roman" w:hAnsi="Times New Roman"/>
        </w:rPr>
        <w:t>propisa</w:t>
      </w:r>
      <w:r w:rsidR="003E0284" w:rsidRPr="001B53A8">
        <w:rPr>
          <w:rFonts w:ascii="Times New Roman" w:hAnsi="Times New Roman"/>
        </w:rPr>
        <w:t xml:space="preserve"> </w:t>
      </w:r>
      <w:r w:rsidRPr="001B53A8">
        <w:rPr>
          <w:rFonts w:ascii="Times New Roman" w:hAnsi="Times New Roman"/>
        </w:rPr>
        <w:t>i</w:t>
      </w:r>
      <w:r w:rsidR="003E0284" w:rsidRPr="001B53A8">
        <w:rPr>
          <w:rFonts w:ascii="Times New Roman" w:hAnsi="Times New Roman"/>
        </w:rPr>
        <w:t xml:space="preserve"> </w:t>
      </w:r>
      <w:r w:rsidRPr="001B53A8">
        <w:rPr>
          <w:rFonts w:ascii="Times New Roman" w:hAnsi="Times New Roman"/>
        </w:rPr>
        <w:t>internih</w:t>
      </w:r>
      <w:r w:rsidR="003E0284" w:rsidRPr="001B53A8">
        <w:rPr>
          <w:rFonts w:ascii="Times New Roman" w:hAnsi="Times New Roman"/>
        </w:rPr>
        <w:t xml:space="preserve"> </w:t>
      </w:r>
      <w:r w:rsidRPr="001B53A8">
        <w:rPr>
          <w:rFonts w:ascii="Times New Roman" w:hAnsi="Times New Roman"/>
        </w:rPr>
        <w:t>akata</w:t>
      </w:r>
      <w:r w:rsidR="003E0284" w:rsidRPr="001B53A8">
        <w:rPr>
          <w:rFonts w:ascii="Times New Roman" w:hAnsi="Times New Roman"/>
        </w:rPr>
        <w:t xml:space="preserve">, </w:t>
      </w:r>
      <w:r w:rsidRPr="001B53A8">
        <w:rPr>
          <w:rFonts w:ascii="Times New Roman" w:hAnsi="Times New Roman"/>
        </w:rPr>
        <w:t>a</w:t>
      </w:r>
      <w:r w:rsidR="003E0284" w:rsidRPr="001B53A8">
        <w:rPr>
          <w:rFonts w:ascii="Times New Roman" w:hAnsi="Times New Roman"/>
        </w:rPr>
        <w:t xml:space="preserve"> </w:t>
      </w:r>
      <w:r w:rsidRPr="001B53A8">
        <w:rPr>
          <w:rFonts w:ascii="Times New Roman" w:hAnsi="Times New Roman"/>
        </w:rPr>
        <w:t>koji</w:t>
      </w:r>
      <w:r w:rsidR="003E0284" w:rsidRPr="001B53A8">
        <w:rPr>
          <w:rFonts w:ascii="Times New Roman" w:hAnsi="Times New Roman"/>
        </w:rPr>
        <w:t xml:space="preserve"> </w:t>
      </w:r>
      <w:r w:rsidRPr="001B53A8">
        <w:rPr>
          <w:rFonts w:ascii="Times New Roman" w:hAnsi="Times New Roman"/>
        </w:rPr>
        <w:t>se</w:t>
      </w:r>
      <w:r w:rsidR="003E0284" w:rsidRPr="001B53A8">
        <w:rPr>
          <w:rFonts w:ascii="Times New Roman" w:hAnsi="Times New Roman"/>
        </w:rPr>
        <w:t xml:space="preserve"> </w:t>
      </w:r>
      <w:r w:rsidRPr="001B53A8">
        <w:rPr>
          <w:rFonts w:ascii="Times New Roman" w:hAnsi="Times New Roman"/>
        </w:rPr>
        <w:t>odnosi</w:t>
      </w:r>
      <w:r w:rsidR="003E0284" w:rsidRPr="001B53A8">
        <w:rPr>
          <w:rFonts w:ascii="Times New Roman" w:hAnsi="Times New Roman"/>
        </w:rPr>
        <w:t xml:space="preserve"> </w:t>
      </w:r>
      <w:r w:rsidRPr="001B53A8">
        <w:rPr>
          <w:rFonts w:ascii="Times New Roman" w:hAnsi="Times New Roman"/>
        </w:rPr>
        <w:t>na</w:t>
      </w:r>
      <w:r w:rsidR="003E0284" w:rsidRPr="001B53A8">
        <w:rPr>
          <w:rFonts w:ascii="Times New Roman" w:hAnsi="Times New Roman"/>
        </w:rPr>
        <w:t xml:space="preserve"> </w:t>
      </w:r>
      <w:r w:rsidRPr="001B53A8">
        <w:rPr>
          <w:rFonts w:ascii="Times New Roman" w:hAnsi="Times New Roman"/>
        </w:rPr>
        <w:t>sprečavanja</w:t>
      </w:r>
      <w:r w:rsidR="003E0284" w:rsidRPr="001B53A8">
        <w:rPr>
          <w:rFonts w:ascii="Times New Roman" w:hAnsi="Times New Roman"/>
        </w:rPr>
        <w:t xml:space="preserve"> </w:t>
      </w:r>
      <w:r w:rsidRPr="001B53A8">
        <w:rPr>
          <w:rFonts w:ascii="Times New Roman" w:hAnsi="Times New Roman"/>
        </w:rPr>
        <w:t>pranja</w:t>
      </w:r>
      <w:r w:rsidR="003E0284" w:rsidRPr="001B53A8">
        <w:rPr>
          <w:rFonts w:ascii="Times New Roman" w:hAnsi="Times New Roman"/>
        </w:rPr>
        <w:t xml:space="preserve"> </w:t>
      </w:r>
      <w:r w:rsidRPr="001B53A8">
        <w:rPr>
          <w:rFonts w:ascii="Times New Roman" w:hAnsi="Times New Roman"/>
        </w:rPr>
        <w:t>novca</w:t>
      </w:r>
      <w:r w:rsidR="003E0284" w:rsidRPr="001B53A8">
        <w:rPr>
          <w:rFonts w:ascii="Times New Roman" w:hAnsi="Times New Roman"/>
        </w:rPr>
        <w:t xml:space="preserve"> </w:t>
      </w:r>
      <w:r w:rsidRPr="001B53A8">
        <w:rPr>
          <w:rFonts w:ascii="Times New Roman" w:hAnsi="Times New Roman"/>
        </w:rPr>
        <w:t>i</w:t>
      </w:r>
      <w:r w:rsidR="003E0284" w:rsidRPr="001B53A8">
        <w:rPr>
          <w:rFonts w:ascii="Times New Roman" w:hAnsi="Times New Roman"/>
        </w:rPr>
        <w:t xml:space="preserve"> </w:t>
      </w:r>
      <w:r w:rsidRPr="001B53A8">
        <w:rPr>
          <w:rFonts w:ascii="Times New Roman" w:hAnsi="Times New Roman"/>
        </w:rPr>
        <w:t>finansiranje</w:t>
      </w:r>
      <w:r w:rsidR="003E0284" w:rsidRPr="001B53A8">
        <w:rPr>
          <w:rFonts w:ascii="Times New Roman" w:hAnsi="Times New Roman"/>
        </w:rPr>
        <w:t xml:space="preserve"> </w:t>
      </w:r>
      <w:r w:rsidRPr="001B53A8">
        <w:rPr>
          <w:rFonts w:ascii="Times New Roman" w:hAnsi="Times New Roman"/>
        </w:rPr>
        <w:t>terorističkih</w:t>
      </w:r>
      <w:r w:rsidR="003E0284" w:rsidRPr="001B53A8">
        <w:rPr>
          <w:rFonts w:ascii="Times New Roman" w:hAnsi="Times New Roman"/>
        </w:rPr>
        <w:t xml:space="preserve"> </w:t>
      </w:r>
      <w:r w:rsidRPr="001B53A8">
        <w:rPr>
          <w:rFonts w:ascii="Times New Roman" w:hAnsi="Times New Roman"/>
        </w:rPr>
        <w:t>aktivnosti</w:t>
      </w:r>
      <w:r w:rsidR="003E0284" w:rsidRPr="001B53A8">
        <w:rPr>
          <w:rFonts w:ascii="Times New Roman" w:hAnsi="Times New Roman"/>
        </w:rPr>
        <w:t xml:space="preserve">. </w:t>
      </w:r>
      <w:r w:rsidRPr="001B53A8">
        <w:rPr>
          <w:rFonts w:ascii="Times New Roman" w:hAnsi="Times New Roman"/>
        </w:rPr>
        <w:t>U</w:t>
      </w:r>
      <w:r w:rsidR="003E0284" w:rsidRPr="001B53A8">
        <w:rPr>
          <w:rFonts w:ascii="Times New Roman" w:hAnsi="Times New Roman"/>
        </w:rPr>
        <w:t xml:space="preserve"> </w:t>
      </w:r>
      <w:r w:rsidRPr="001B53A8">
        <w:rPr>
          <w:rFonts w:ascii="Times New Roman" w:hAnsi="Times New Roman"/>
        </w:rPr>
        <w:t>toku</w:t>
      </w:r>
      <w:r w:rsidR="003E0284" w:rsidRPr="001B53A8">
        <w:rPr>
          <w:rFonts w:ascii="Times New Roman" w:hAnsi="Times New Roman"/>
        </w:rPr>
        <w:t xml:space="preserve"> </w:t>
      </w:r>
      <w:r w:rsidRPr="001B53A8">
        <w:rPr>
          <w:rFonts w:ascii="Times New Roman" w:hAnsi="Times New Roman"/>
        </w:rPr>
        <w:t>izvještajnog</w:t>
      </w:r>
      <w:r w:rsidR="003E0284" w:rsidRPr="001B53A8">
        <w:rPr>
          <w:rFonts w:ascii="Times New Roman" w:hAnsi="Times New Roman"/>
        </w:rPr>
        <w:t xml:space="preserve"> </w:t>
      </w:r>
      <w:r w:rsidRPr="001B53A8">
        <w:rPr>
          <w:rFonts w:ascii="Times New Roman" w:hAnsi="Times New Roman"/>
        </w:rPr>
        <w:t>perioda</w:t>
      </w:r>
      <w:r w:rsidR="003E0284" w:rsidRPr="001B53A8">
        <w:rPr>
          <w:rFonts w:ascii="Times New Roman" w:hAnsi="Times New Roman"/>
        </w:rPr>
        <w:t xml:space="preserve"> </w:t>
      </w:r>
      <w:r w:rsidRPr="001B53A8">
        <w:rPr>
          <w:rFonts w:ascii="Times New Roman" w:hAnsi="Times New Roman"/>
        </w:rPr>
        <w:t>pokrenuto</w:t>
      </w:r>
      <w:r w:rsidR="003E0284" w:rsidRPr="001B53A8">
        <w:rPr>
          <w:rFonts w:ascii="Times New Roman" w:hAnsi="Times New Roman"/>
        </w:rPr>
        <w:t xml:space="preserve"> </w:t>
      </w:r>
      <w:r w:rsidRPr="001B53A8">
        <w:rPr>
          <w:rFonts w:ascii="Times New Roman" w:hAnsi="Times New Roman"/>
        </w:rPr>
        <w:t>je</w:t>
      </w:r>
      <w:r w:rsidR="003E0284" w:rsidRPr="001B53A8">
        <w:rPr>
          <w:rFonts w:ascii="Times New Roman" w:hAnsi="Times New Roman"/>
        </w:rPr>
        <w:t xml:space="preserve"> </w:t>
      </w:r>
      <w:r w:rsidRPr="001B53A8">
        <w:rPr>
          <w:rFonts w:ascii="Times New Roman" w:hAnsi="Times New Roman"/>
        </w:rPr>
        <w:t>i</w:t>
      </w:r>
      <w:r w:rsidR="003E0284" w:rsidRPr="001B53A8">
        <w:rPr>
          <w:rFonts w:ascii="Times New Roman" w:hAnsi="Times New Roman"/>
        </w:rPr>
        <w:t xml:space="preserve"> </w:t>
      </w:r>
      <w:r w:rsidRPr="001B53A8">
        <w:rPr>
          <w:rFonts w:ascii="Times New Roman" w:hAnsi="Times New Roman"/>
        </w:rPr>
        <w:t>okončano</w:t>
      </w:r>
      <w:r w:rsidR="003E0284" w:rsidRPr="001B53A8">
        <w:rPr>
          <w:rFonts w:ascii="Times New Roman" w:hAnsi="Times New Roman"/>
        </w:rPr>
        <w:t xml:space="preserve"> </w:t>
      </w:r>
      <w:r w:rsidRPr="001B53A8">
        <w:rPr>
          <w:rFonts w:ascii="Times New Roman" w:hAnsi="Times New Roman"/>
        </w:rPr>
        <w:t>sedam</w:t>
      </w:r>
      <w:r w:rsidR="003E0284" w:rsidRPr="001B53A8">
        <w:rPr>
          <w:rFonts w:ascii="Times New Roman" w:hAnsi="Times New Roman"/>
        </w:rPr>
        <w:t xml:space="preserve"> </w:t>
      </w:r>
      <w:r w:rsidRPr="001B53A8">
        <w:rPr>
          <w:rFonts w:ascii="Times New Roman" w:hAnsi="Times New Roman"/>
        </w:rPr>
        <w:t>redovnih</w:t>
      </w:r>
      <w:r w:rsidR="003E0284" w:rsidRPr="001B53A8">
        <w:rPr>
          <w:rFonts w:ascii="Times New Roman" w:hAnsi="Times New Roman"/>
        </w:rPr>
        <w:t xml:space="preserve"> </w:t>
      </w:r>
      <w:r w:rsidRPr="001B53A8">
        <w:rPr>
          <w:rFonts w:ascii="Times New Roman" w:hAnsi="Times New Roman"/>
        </w:rPr>
        <w:t>nadzora</w:t>
      </w:r>
      <w:r w:rsidR="003E0284" w:rsidRPr="001B53A8">
        <w:rPr>
          <w:rFonts w:ascii="Times New Roman" w:hAnsi="Times New Roman"/>
        </w:rPr>
        <w:t xml:space="preserve">, </w:t>
      </w:r>
      <w:r w:rsidRPr="001B53A8">
        <w:rPr>
          <w:rFonts w:ascii="Times New Roman" w:hAnsi="Times New Roman"/>
        </w:rPr>
        <w:t>i</w:t>
      </w:r>
      <w:r w:rsidR="003E0284" w:rsidRPr="001B53A8">
        <w:rPr>
          <w:rFonts w:ascii="Times New Roman" w:hAnsi="Times New Roman"/>
        </w:rPr>
        <w:t xml:space="preserve"> </w:t>
      </w:r>
      <w:r w:rsidRPr="001B53A8">
        <w:rPr>
          <w:rFonts w:ascii="Times New Roman" w:hAnsi="Times New Roman"/>
        </w:rPr>
        <w:t>to</w:t>
      </w:r>
      <w:r w:rsidR="003E0284" w:rsidRPr="001B53A8">
        <w:rPr>
          <w:rFonts w:ascii="Times New Roman" w:hAnsi="Times New Roman"/>
        </w:rPr>
        <w:t xml:space="preserve"> </w:t>
      </w:r>
      <w:r w:rsidRPr="001B53A8">
        <w:rPr>
          <w:rFonts w:ascii="Times New Roman" w:hAnsi="Times New Roman"/>
        </w:rPr>
        <w:t>nad</w:t>
      </w:r>
      <w:r w:rsidR="003E0284" w:rsidRPr="001B53A8">
        <w:rPr>
          <w:rFonts w:ascii="Times New Roman" w:hAnsi="Times New Roman"/>
        </w:rPr>
        <w:t xml:space="preserve"> </w:t>
      </w:r>
      <w:r w:rsidRPr="001B53A8">
        <w:rPr>
          <w:rFonts w:ascii="Times New Roman" w:hAnsi="Times New Roman"/>
        </w:rPr>
        <w:t>tri</w:t>
      </w:r>
      <w:r w:rsidR="003E0284" w:rsidRPr="001B53A8">
        <w:rPr>
          <w:rFonts w:ascii="Times New Roman" w:hAnsi="Times New Roman"/>
        </w:rPr>
        <w:t xml:space="preserve"> </w:t>
      </w:r>
      <w:r w:rsidRPr="001B53A8">
        <w:rPr>
          <w:rFonts w:ascii="Times New Roman" w:hAnsi="Times New Roman"/>
        </w:rPr>
        <w:t>kastodi</w:t>
      </w:r>
      <w:r w:rsidR="003E0284" w:rsidRPr="001B53A8">
        <w:rPr>
          <w:rFonts w:ascii="Times New Roman" w:hAnsi="Times New Roman"/>
        </w:rPr>
        <w:t xml:space="preserve"> </w:t>
      </w:r>
      <w:r w:rsidRPr="001B53A8">
        <w:rPr>
          <w:rFonts w:ascii="Times New Roman" w:hAnsi="Times New Roman"/>
        </w:rPr>
        <w:t>banke</w:t>
      </w:r>
      <w:r w:rsidR="003E0284" w:rsidRPr="001B53A8">
        <w:rPr>
          <w:rFonts w:ascii="Times New Roman" w:hAnsi="Times New Roman"/>
        </w:rPr>
        <w:t xml:space="preserve"> </w:t>
      </w:r>
      <w:r w:rsidRPr="001B53A8">
        <w:rPr>
          <w:rFonts w:ascii="Times New Roman" w:hAnsi="Times New Roman"/>
        </w:rPr>
        <w:t>u</w:t>
      </w:r>
      <w:r w:rsidR="003E0284" w:rsidRPr="001B53A8">
        <w:rPr>
          <w:rFonts w:ascii="Times New Roman" w:hAnsi="Times New Roman"/>
        </w:rPr>
        <w:t xml:space="preserve"> </w:t>
      </w:r>
      <w:r w:rsidRPr="001B53A8">
        <w:rPr>
          <w:rFonts w:ascii="Times New Roman" w:hAnsi="Times New Roman"/>
        </w:rPr>
        <w:t>dijelu</w:t>
      </w:r>
      <w:r w:rsidR="003E0284" w:rsidRPr="001B53A8">
        <w:rPr>
          <w:rFonts w:ascii="Times New Roman" w:hAnsi="Times New Roman"/>
        </w:rPr>
        <w:t xml:space="preserve"> </w:t>
      </w:r>
      <w:r w:rsidRPr="001B53A8">
        <w:rPr>
          <w:rFonts w:ascii="Times New Roman" w:hAnsi="Times New Roman"/>
        </w:rPr>
        <w:t>poštovanja</w:t>
      </w:r>
      <w:r w:rsidR="003E0284" w:rsidRPr="001B53A8">
        <w:rPr>
          <w:rFonts w:ascii="Times New Roman" w:hAnsi="Times New Roman"/>
        </w:rPr>
        <w:t xml:space="preserve"> </w:t>
      </w:r>
      <w:r w:rsidRPr="001B53A8">
        <w:rPr>
          <w:rFonts w:ascii="Times New Roman" w:hAnsi="Times New Roman"/>
        </w:rPr>
        <w:t>zakonskih</w:t>
      </w:r>
      <w:r w:rsidR="003E0284" w:rsidRPr="001B53A8">
        <w:rPr>
          <w:rFonts w:ascii="Times New Roman" w:hAnsi="Times New Roman"/>
        </w:rPr>
        <w:t xml:space="preserve"> </w:t>
      </w:r>
      <w:r w:rsidRPr="001B53A8">
        <w:rPr>
          <w:rFonts w:ascii="Times New Roman" w:hAnsi="Times New Roman"/>
        </w:rPr>
        <w:t>i</w:t>
      </w:r>
      <w:r w:rsidR="003E0284" w:rsidRPr="001B53A8">
        <w:rPr>
          <w:rFonts w:ascii="Times New Roman" w:hAnsi="Times New Roman"/>
        </w:rPr>
        <w:t xml:space="preserve"> </w:t>
      </w:r>
      <w:r w:rsidRPr="001B53A8">
        <w:rPr>
          <w:rFonts w:ascii="Times New Roman" w:hAnsi="Times New Roman"/>
        </w:rPr>
        <w:t>drugih</w:t>
      </w:r>
      <w:r w:rsidR="003E0284" w:rsidRPr="001B53A8">
        <w:rPr>
          <w:rFonts w:ascii="Times New Roman" w:hAnsi="Times New Roman"/>
        </w:rPr>
        <w:t xml:space="preserve"> </w:t>
      </w:r>
      <w:r w:rsidRPr="001B53A8">
        <w:rPr>
          <w:rFonts w:ascii="Times New Roman" w:hAnsi="Times New Roman"/>
        </w:rPr>
        <w:t>propisa</w:t>
      </w:r>
      <w:r w:rsidR="003E0284" w:rsidRPr="001B53A8">
        <w:rPr>
          <w:rFonts w:ascii="Times New Roman" w:hAnsi="Times New Roman"/>
        </w:rPr>
        <w:t xml:space="preserve"> </w:t>
      </w:r>
      <w:r w:rsidRPr="001B53A8">
        <w:rPr>
          <w:rFonts w:ascii="Times New Roman" w:hAnsi="Times New Roman"/>
        </w:rPr>
        <w:t>i</w:t>
      </w:r>
      <w:r w:rsidR="003E0284" w:rsidRPr="001B53A8">
        <w:rPr>
          <w:rFonts w:ascii="Times New Roman" w:hAnsi="Times New Roman"/>
        </w:rPr>
        <w:t xml:space="preserve"> </w:t>
      </w:r>
      <w:r w:rsidRPr="001B53A8">
        <w:rPr>
          <w:rFonts w:ascii="Times New Roman" w:hAnsi="Times New Roman"/>
        </w:rPr>
        <w:t>internih</w:t>
      </w:r>
      <w:r w:rsidR="003E0284" w:rsidRPr="001B53A8">
        <w:rPr>
          <w:rFonts w:ascii="Times New Roman" w:hAnsi="Times New Roman"/>
        </w:rPr>
        <w:t xml:space="preserve"> </w:t>
      </w:r>
      <w:r w:rsidRPr="001B53A8">
        <w:rPr>
          <w:rFonts w:ascii="Times New Roman" w:hAnsi="Times New Roman"/>
        </w:rPr>
        <w:t>akata</w:t>
      </w:r>
      <w:r w:rsidR="003E0284" w:rsidRPr="001B53A8">
        <w:rPr>
          <w:rFonts w:ascii="Times New Roman" w:hAnsi="Times New Roman"/>
        </w:rPr>
        <w:t xml:space="preserve">, </w:t>
      </w:r>
      <w:r w:rsidRPr="001B53A8">
        <w:rPr>
          <w:rFonts w:ascii="Times New Roman" w:hAnsi="Times New Roman"/>
        </w:rPr>
        <w:t>a</w:t>
      </w:r>
      <w:r w:rsidR="003E0284" w:rsidRPr="001B53A8">
        <w:rPr>
          <w:rFonts w:ascii="Times New Roman" w:hAnsi="Times New Roman"/>
        </w:rPr>
        <w:t xml:space="preserve"> </w:t>
      </w:r>
      <w:r w:rsidRPr="001B53A8">
        <w:rPr>
          <w:rFonts w:ascii="Times New Roman" w:hAnsi="Times New Roman"/>
        </w:rPr>
        <w:t>koji</w:t>
      </w:r>
      <w:r w:rsidR="003E0284" w:rsidRPr="001B53A8">
        <w:rPr>
          <w:rFonts w:ascii="Times New Roman" w:hAnsi="Times New Roman"/>
        </w:rPr>
        <w:t xml:space="preserve"> </w:t>
      </w:r>
      <w:r w:rsidRPr="001B53A8">
        <w:rPr>
          <w:rFonts w:ascii="Times New Roman" w:hAnsi="Times New Roman"/>
        </w:rPr>
        <w:t>se</w:t>
      </w:r>
      <w:r w:rsidR="003E0284" w:rsidRPr="001B53A8">
        <w:rPr>
          <w:rFonts w:ascii="Times New Roman" w:hAnsi="Times New Roman"/>
        </w:rPr>
        <w:t xml:space="preserve"> </w:t>
      </w:r>
      <w:r w:rsidRPr="001B53A8">
        <w:rPr>
          <w:rFonts w:ascii="Times New Roman" w:hAnsi="Times New Roman"/>
        </w:rPr>
        <w:t>odnosi</w:t>
      </w:r>
      <w:r w:rsidR="003E0284" w:rsidRPr="001B53A8">
        <w:rPr>
          <w:rFonts w:ascii="Times New Roman" w:hAnsi="Times New Roman"/>
        </w:rPr>
        <w:t xml:space="preserve"> </w:t>
      </w:r>
      <w:r w:rsidRPr="001B53A8">
        <w:rPr>
          <w:rFonts w:ascii="Times New Roman" w:hAnsi="Times New Roman"/>
        </w:rPr>
        <w:t>na</w:t>
      </w:r>
      <w:r w:rsidR="003E0284" w:rsidRPr="001B53A8">
        <w:rPr>
          <w:rFonts w:ascii="Times New Roman" w:hAnsi="Times New Roman"/>
        </w:rPr>
        <w:t xml:space="preserve"> </w:t>
      </w:r>
      <w:r w:rsidRPr="001B53A8">
        <w:rPr>
          <w:rFonts w:ascii="Times New Roman" w:hAnsi="Times New Roman"/>
        </w:rPr>
        <w:t>sprečavanja</w:t>
      </w:r>
      <w:r w:rsidR="003E0284" w:rsidRPr="001B53A8">
        <w:rPr>
          <w:rFonts w:ascii="Times New Roman" w:hAnsi="Times New Roman"/>
        </w:rPr>
        <w:t xml:space="preserve"> </w:t>
      </w:r>
      <w:r w:rsidRPr="001B53A8">
        <w:rPr>
          <w:rFonts w:ascii="Times New Roman" w:hAnsi="Times New Roman"/>
        </w:rPr>
        <w:t>pranja</w:t>
      </w:r>
      <w:r w:rsidR="003E0284" w:rsidRPr="001B53A8">
        <w:rPr>
          <w:rFonts w:ascii="Times New Roman" w:hAnsi="Times New Roman"/>
        </w:rPr>
        <w:t xml:space="preserve"> </w:t>
      </w:r>
      <w:r w:rsidRPr="001B53A8">
        <w:rPr>
          <w:rFonts w:ascii="Times New Roman" w:hAnsi="Times New Roman"/>
        </w:rPr>
        <w:t>novca</w:t>
      </w:r>
      <w:r w:rsidR="003E0284" w:rsidRPr="001B53A8">
        <w:rPr>
          <w:rFonts w:ascii="Times New Roman" w:hAnsi="Times New Roman"/>
        </w:rPr>
        <w:t xml:space="preserve"> </w:t>
      </w:r>
      <w:r w:rsidRPr="001B53A8">
        <w:rPr>
          <w:rFonts w:ascii="Times New Roman" w:hAnsi="Times New Roman"/>
        </w:rPr>
        <w:t>i</w:t>
      </w:r>
      <w:r w:rsidR="003E0284" w:rsidRPr="001B53A8">
        <w:rPr>
          <w:rFonts w:ascii="Times New Roman" w:hAnsi="Times New Roman"/>
        </w:rPr>
        <w:t xml:space="preserve"> </w:t>
      </w:r>
      <w:r w:rsidRPr="001B53A8">
        <w:rPr>
          <w:rFonts w:ascii="Times New Roman" w:hAnsi="Times New Roman"/>
        </w:rPr>
        <w:t>finansiranje</w:t>
      </w:r>
      <w:r w:rsidR="003E0284" w:rsidRPr="001B53A8">
        <w:rPr>
          <w:rFonts w:ascii="Times New Roman" w:hAnsi="Times New Roman"/>
        </w:rPr>
        <w:t xml:space="preserve"> </w:t>
      </w:r>
      <w:r w:rsidRPr="001B53A8">
        <w:rPr>
          <w:rFonts w:ascii="Times New Roman" w:hAnsi="Times New Roman"/>
        </w:rPr>
        <w:t>terorističkih</w:t>
      </w:r>
      <w:r w:rsidR="003E0284" w:rsidRPr="001B53A8">
        <w:rPr>
          <w:rFonts w:ascii="Times New Roman" w:hAnsi="Times New Roman"/>
        </w:rPr>
        <w:t xml:space="preserve"> </w:t>
      </w:r>
      <w:r w:rsidRPr="001B53A8">
        <w:rPr>
          <w:rFonts w:ascii="Times New Roman" w:hAnsi="Times New Roman"/>
        </w:rPr>
        <w:t>aktivnosti</w:t>
      </w:r>
      <w:r w:rsidR="003E0284" w:rsidRPr="001B53A8">
        <w:rPr>
          <w:rFonts w:ascii="Times New Roman" w:hAnsi="Times New Roman"/>
        </w:rPr>
        <w:t xml:space="preserve">, </w:t>
      </w:r>
      <w:r w:rsidRPr="001B53A8">
        <w:rPr>
          <w:rFonts w:ascii="Times New Roman" w:hAnsi="Times New Roman"/>
        </w:rPr>
        <w:t>i</w:t>
      </w:r>
      <w:r w:rsidR="003E0284" w:rsidRPr="001B53A8">
        <w:rPr>
          <w:rFonts w:ascii="Times New Roman" w:hAnsi="Times New Roman"/>
        </w:rPr>
        <w:t xml:space="preserve"> </w:t>
      </w:r>
      <w:r w:rsidRPr="001B53A8">
        <w:rPr>
          <w:rFonts w:ascii="Times New Roman" w:hAnsi="Times New Roman"/>
        </w:rPr>
        <w:t>nad</w:t>
      </w:r>
      <w:r w:rsidR="003E0284" w:rsidRPr="001B53A8">
        <w:rPr>
          <w:rFonts w:ascii="Times New Roman" w:hAnsi="Times New Roman"/>
        </w:rPr>
        <w:t xml:space="preserve"> </w:t>
      </w:r>
      <w:r w:rsidRPr="001B53A8">
        <w:rPr>
          <w:rFonts w:ascii="Times New Roman" w:hAnsi="Times New Roman"/>
        </w:rPr>
        <w:t>dva</w:t>
      </w:r>
      <w:r w:rsidR="003E0284" w:rsidRPr="001B53A8">
        <w:rPr>
          <w:rFonts w:ascii="Times New Roman" w:hAnsi="Times New Roman"/>
        </w:rPr>
        <w:t xml:space="preserve"> </w:t>
      </w:r>
      <w:r w:rsidRPr="001B53A8">
        <w:rPr>
          <w:rFonts w:ascii="Times New Roman" w:hAnsi="Times New Roman"/>
        </w:rPr>
        <w:t>društva</w:t>
      </w:r>
      <w:r w:rsidR="003E0284" w:rsidRPr="001B53A8">
        <w:rPr>
          <w:rFonts w:ascii="Times New Roman" w:hAnsi="Times New Roman"/>
        </w:rPr>
        <w:t xml:space="preserve"> </w:t>
      </w:r>
      <w:r w:rsidRPr="001B53A8">
        <w:rPr>
          <w:rFonts w:ascii="Times New Roman" w:hAnsi="Times New Roman"/>
        </w:rPr>
        <w:t>za</w:t>
      </w:r>
      <w:r w:rsidR="003E0284" w:rsidRPr="001B53A8">
        <w:rPr>
          <w:rFonts w:ascii="Times New Roman" w:hAnsi="Times New Roman"/>
        </w:rPr>
        <w:t xml:space="preserve"> </w:t>
      </w:r>
      <w:r w:rsidRPr="001B53A8">
        <w:rPr>
          <w:rFonts w:ascii="Times New Roman" w:hAnsi="Times New Roman"/>
        </w:rPr>
        <w:t>faktoring</w:t>
      </w:r>
      <w:r w:rsidR="003E0284" w:rsidRPr="001B53A8">
        <w:rPr>
          <w:rFonts w:ascii="Times New Roman" w:hAnsi="Times New Roman"/>
        </w:rPr>
        <w:t xml:space="preserve"> </w:t>
      </w:r>
      <w:r w:rsidRPr="001B53A8">
        <w:rPr>
          <w:rFonts w:ascii="Times New Roman" w:hAnsi="Times New Roman"/>
        </w:rPr>
        <w:t>u</w:t>
      </w:r>
      <w:r w:rsidR="003E0284" w:rsidRPr="001B53A8">
        <w:rPr>
          <w:rFonts w:ascii="Times New Roman" w:hAnsi="Times New Roman"/>
        </w:rPr>
        <w:t xml:space="preserve"> </w:t>
      </w:r>
      <w:r w:rsidRPr="001B53A8">
        <w:rPr>
          <w:rFonts w:ascii="Times New Roman" w:hAnsi="Times New Roman"/>
        </w:rPr>
        <w:t>dijelu</w:t>
      </w:r>
      <w:r w:rsidR="003E0284" w:rsidRPr="001B53A8">
        <w:rPr>
          <w:rFonts w:ascii="Times New Roman" w:hAnsi="Times New Roman"/>
        </w:rPr>
        <w:t xml:space="preserve"> </w:t>
      </w:r>
      <w:r w:rsidRPr="001B53A8">
        <w:rPr>
          <w:rFonts w:ascii="Times New Roman" w:hAnsi="Times New Roman"/>
        </w:rPr>
        <w:t>poštovanja</w:t>
      </w:r>
      <w:r w:rsidR="003E0284" w:rsidRPr="001B53A8">
        <w:rPr>
          <w:rFonts w:ascii="Times New Roman" w:hAnsi="Times New Roman"/>
        </w:rPr>
        <w:t xml:space="preserve"> </w:t>
      </w:r>
      <w:r w:rsidRPr="001B53A8">
        <w:rPr>
          <w:rFonts w:ascii="Times New Roman" w:hAnsi="Times New Roman"/>
        </w:rPr>
        <w:t>zakonskih</w:t>
      </w:r>
      <w:r w:rsidR="003E0284" w:rsidRPr="001B53A8">
        <w:rPr>
          <w:rFonts w:ascii="Times New Roman" w:hAnsi="Times New Roman"/>
        </w:rPr>
        <w:t xml:space="preserve"> </w:t>
      </w:r>
      <w:r w:rsidRPr="001B53A8">
        <w:rPr>
          <w:rFonts w:ascii="Times New Roman" w:hAnsi="Times New Roman"/>
        </w:rPr>
        <w:t>i</w:t>
      </w:r>
      <w:r w:rsidR="003E0284" w:rsidRPr="001B53A8">
        <w:rPr>
          <w:rFonts w:ascii="Times New Roman" w:hAnsi="Times New Roman"/>
        </w:rPr>
        <w:t xml:space="preserve"> </w:t>
      </w:r>
      <w:r w:rsidRPr="001B53A8">
        <w:rPr>
          <w:rFonts w:ascii="Times New Roman" w:hAnsi="Times New Roman"/>
        </w:rPr>
        <w:t>drugih</w:t>
      </w:r>
      <w:r w:rsidR="003E0284" w:rsidRPr="001B53A8">
        <w:rPr>
          <w:rFonts w:ascii="Times New Roman" w:hAnsi="Times New Roman"/>
        </w:rPr>
        <w:t xml:space="preserve"> </w:t>
      </w:r>
      <w:r w:rsidRPr="001B53A8">
        <w:rPr>
          <w:rFonts w:ascii="Times New Roman" w:hAnsi="Times New Roman"/>
        </w:rPr>
        <w:t>propisa</w:t>
      </w:r>
      <w:r w:rsidR="003E0284" w:rsidRPr="001B53A8">
        <w:rPr>
          <w:rFonts w:ascii="Times New Roman" w:hAnsi="Times New Roman"/>
        </w:rPr>
        <w:t xml:space="preserve"> </w:t>
      </w:r>
      <w:r w:rsidRPr="001B53A8">
        <w:rPr>
          <w:rFonts w:ascii="Times New Roman" w:hAnsi="Times New Roman"/>
        </w:rPr>
        <w:t>koji</w:t>
      </w:r>
      <w:r w:rsidR="003E0284" w:rsidRPr="001B53A8">
        <w:rPr>
          <w:rFonts w:ascii="Times New Roman" w:hAnsi="Times New Roman"/>
        </w:rPr>
        <w:t xml:space="preserve"> </w:t>
      </w:r>
      <w:r w:rsidRPr="001B53A8">
        <w:rPr>
          <w:rFonts w:ascii="Times New Roman" w:hAnsi="Times New Roman"/>
        </w:rPr>
        <w:t>se</w:t>
      </w:r>
      <w:r w:rsidR="003E0284" w:rsidRPr="001B53A8">
        <w:rPr>
          <w:rFonts w:ascii="Times New Roman" w:hAnsi="Times New Roman"/>
        </w:rPr>
        <w:t xml:space="preserve"> </w:t>
      </w:r>
      <w:r w:rsidRPr="001B53A8">
        <w:rPr>
          <w:rFonts w:ascii="Times New Roman" w:hAnsi="Times New Roman"/>
        </w:rPr>
        <w:t>odnose</w:t>
      </w:r>
      <w:r w:rsidR="003E0284" w:rsidRPr="001B53A8">
        <w:rPr>
          <w:rFonts w:ascii="Times New Roman" w:hAnsi="Times New Roman"/>
        </w:rPr>
        <w:t xml:space="preserve"> </w:t>
      </w:r>
      <w:r w:rsidRPr="001B53A8">
        <w:rPr>
          <w:rFonts w:ascii="Times New Roman" w:hAnsi="Times New Roman"/>
        </w:rPr>
        <w:t>na</w:t>
      </w:r>
      <w:r w:rsidR="003E0284" w:rsidRPr="001B53A8">
        <w:rPr>
          <w:rFonts w:ascii="Times New Roman" w:hAnsi="Times New Roman"/>
        </w:rPr>
        <w:t xml:space="preserve"> </w:t>
      </w:r>
      <w:r w:rsidRPr="001B53A8">
        <w:rPr>
          <w:rFonts w:ascii="Times New Roman" w:hAnsi="Times New Roman"/>
        </w:rPr>
        <w:t>obavezu</w:t>
      </w:r>
      <w:r w:rsidR="003E0284" w:rsidRPr="001B53A8">
        <w:rPr>
          <w:rFonts w:ascii="Times New Roman" w:hAnsi="Times New Roman"/>
        </w:rPr>
        <w:t xml:space="preserve"> </w:t>
      </w:r>
      <w:r w:rsidRPr="001B53A8">
        <w:rPr>
          <w:rFonts w:ascii="Times New Roman" w:hAnsi="Times New Roman"/>
        </w:rPr>
        <w:t>dostavlјanja</w:t>
      </w:r>
      <w:r w:rsidR="003E0284" w:rsidRPr="001B53A8">
        <w:rPr>
          <w:rFonts w:ascii="Times New Roman" w:hAnsi="Times New Roman"/>
        </w:rPr>
        <w:t xml:space="preserve"> </w:t>
      </w:r>
      <w:r w:rsidRPr="001B53A8">
        <w:rPr>
          <w:rFonts w:ascii="Times New Roman" w:hAnsi="Times New Roman"/>
        </w:rPr>
        <w:t>izvještaja</w:t>
      </w:r>
      <w:r w:rsidR="003E0284" w:rsidRPr="001B53A8">
        <w:rPr>
          <w:rFonts w:ascii="Times New Roman" w:hAnsi="Times New Roman"/>
        </w:rPr>
        <w:t xml:space="preserve"> </w:t>
      </w:r>
      <w:r w:rsidRPr="001B53A8">
        <w:rPr>
          <w:rFonts w:ascii="Times New Roman" w:hAnsi="Times New Roman"/>
        </w:rPr>
        <w:t>Komisiji</w:t>
      </w:r>
      <w:r w:rsidR="003E0284" w:rsidRPr="001B53A8">
        <w:rPr>
          <w:rFonts w:ascii="Times New Roman" w:hAnsi="Times New Roman"/>
        </w:rPr>
        <w:t xml:space="preserve"> </w:t>
      </w:r>
      <w:r w:rsidRPr="001B53A8">
        <w:rPr>
          <w:rFonts w:ascii="Times New Roman" w:hAnsi="Times New Roman"/>
        </w:rPr>
        <w:t>za</w:t>
      </w:r>
      <w:r w:rsidR="003E0284" w:rsidRPr="001B53A8">
        <w:rPr>
          <w:rFonts w:ascii="Times New Roman" w:hAnsi="Times New Roman"/>
        </w:rPr>
        <w:t xml:space="preserve"> </w:t>
      </w:r>
      <w:r w:rsidRPr="001B53A8">
        <w:rPr>
          <w:rFonts w:ascii="Times New Roman" w:hAnsi="Times New Roman"/>
        </w:rPr>
        <w:t>hartije</w:t>
      </w:r>
      <w:r w:rsidR="003E0284" w:rsidRPr="001B53A8">
        <w:rPr>
          <w:rFonts w:ascii="Times New Roman" w:hAnsi="Times New Roman"/>
        </w:rPr>
        <w:t xml:space="preserve"> </w:t>
      </w:r>
      <w:r w:rsidRPr="001B53A8">
        <w:rPr>
          <w:rFonts w:ascii="Times New Roman" w:hAnsi="Times New Roman"/>
        </w:rPr>
        <w:t>od</w:t>
      </w:r>
      <w:r w:rsidR="003E0284" w:rsidRPr="001B53A8">
        <w:rPr>
          <w:rFonts w:ascii="Times New Roman" w:hAnsi="Times New Roman"/>
        </w:rPr>
        <w:t xml:space="preserve"> </w:t>
      </w:r>
      <w:r w:rsidRPr="001B53A8">
        <w:rPr>
          <w:rFonts w:ascii="Times New Roman" w:hAnsi="Times New Roman"/>
        </w:rPr>
        <w:t>vrijednosti</w:t>
      </w:r>
      <w:r w:rsidR="003E0284" w:rsidRPr="001B53A8">
        <w:rPr>
          <w:rFonts w:ascii="Times New Roman" w:hAnsi="Times New Roman"/>
        </w:rPr>
        <w:t xml:space="preserve"> </w:t>
      </w:r>
      <w:r w:rsidRPr="001B53A8">
        <w:rPr>
          <w:rFonts w:ascii="Times New Roman" w:hAnsi="Times New Roman"/>
        </w:rPr>
        <w:t>Republike</w:t>
      </w:r>
      <w:r w:rsidR="003E0284" w:rsidRPr="001B53A8">
        <w:rPr>
          <w:rFonts w:ascii="Times New Roman" w:hAnsi="Times New Roman"/>
        </w:rPr>
        <w:t xml:space="preserve"> </w:t>
      </w:r>
      <w:r w:rsidRPr="001B53A8">
        <w:rPr>
          <w:rFonts w:ascii="Times New Roman" w:hAnsi="Times New Roman"/>
        </w:rPr>
        <w:t>Srpske</w:t>
      </w:r>
      <w:r w:rsidR="003E0284" w:rsidRPr="001B53A8">
        <w:rPr>
          <w:rFonts w:ascii="Times New Roman" w:hAnsi="Times New Roman"/>
        </w:rPr>
        <w:t xml:space="preserve"> </w:t>
      </w:r>
      <w:r w:rsidRPr="001B53A8">
        <w:rPr>
          <w:rFonts w:ascii="Times New Roman" w:hAnsi="Times New Roman"/>
        </w:rPr>
        <w:t>i</w:t>
      </w:r>
      <w:r w:rsidR="003E0284" w:rsidRPr="001B53A8">
        <w:rPr>
          <w:rFonts w:ascii="Times New Roman" w:hAnsi="Times New Roman"/>
        </w:rPr>
        <w:t xml:space="preserve"> </w:t>
      </w:r>
      <w:r w:rsidRPr="001B53A8">
        <w:rPr>
          <w:rFonts w:ascii="Times New Roman" w:hAnsi="Times New Roman"/>
        </w:rPr>
        <w:t>njihove</w:t>
      </w:r>
      <w:r w:rsidR="003E0284" w:rsidRPr="001B53A8">
        <w:rPr>
          <w:rFonts w:ascii="Times New Roman" w:hAnsi="Times New Roman"/>
        </w:rPr>
        <w:t xml:space="preserve"> </w:t>
      </w:r>
      <w:r w:rsidRPr="001B53A8">
        <w:rPr>
          <w:rFonts w:ascii="Times New Roman" w:hAnsi="Times New Roman"/>
        </w:rPr>
        <w:t>ispravnosti</w:t>
      </w:r>
      <w:r w:rsidR="003E0284" w:rsidRPr="001B53A8">
        <w:rPr>
          <w:rFonts w:ascii="Times New Roman" w:hAnsi="Times New Roman"/>
        </w:rPr>
        <w:t xml:space="preserve">. </w:t>
      </w:r>
      <w:r w:rsidRPr="001B53A8">
        <w:rPr>
          <w:rFonts w:ascii="Times New Roman" w:hAnsi="Times New Roman"/>
        </w:rPr>
        <w:t>Takođe</w:t>
      </w:r>
      <w:r w:rsidR="003E0284" w:rsidRPr="001B53A8">
        <w:rPr>
          <w:rFonts w:ascii="Times New Roman" w:hAnsi="Times New Roman"/>
        </w:rPr>
        <w:t xml:space="preserve">, </w:t>
      </w:r>
      <w:r w:rsidRPr="001B53A8">
        <w:rPr>
          <w:rFonts w:ascii="Times New Roman" w:hAnsi="Times New Roman"/>
        </w:rPr>
        <w:t>u</w:t>
      </w:r>
      <w:r w:rsidR="003E0284" w:rsidRPr="001B53A8">
        <w:rPr>
          <w:rFonts w:ascii="Times New Roman" w:hAnsi="Times New Roman"/>
        </w:rPr>
        <w:t xml:space="preserve"> </w:t>
      </w:r>
      <w:r w:rsidR="002C66E2" w:rsidRPr="001B53A8">
        <w:rPr>
          <w:rFonts w:ascii="Times New Roman" w:hAnsi="Times New Roman"/>
        </w:rPr>
        <w:t xml:space="preserve">2023. </w:t>
      </w:r>
      <w:r w:rsidRPr="001B53A8">
        <w:rPr>
          <w:rFonts w:ascii="Times New Roman" w:hAnsi="Times New Roman"/>
        </w:rPr>
        <w:t>godini</w:t>
      </w:r>
      <w:r w:rsidR="003E0284" w:rsidRPr="001B53A8">
        <w:rPr>
          <w:rFonts w:ascii="Times New Roman" w:hAnsi="Times New Roman"/>
        </w:rPr>
        <w:t xml:space="preserve"> </w:t>
      </w:r>
      <w:r w:rsidRPr="001B53A8">
        <w:rPr>
          <w:rFonts w:ascii="Times New Roman" w:hAnsi="Times New Roman"/>
        </w:rPr>
        <w:t>pokrenuta</w:t>
      </w:r>
      <w:r w:rsidR="003E0284" w:rsidRPr="001B53A8">
        <w:rPr>
          <w:rFonts w:ascii="Times New Roman" w:hAnsi="Times New Roman"/>
        </w:rPr>
        <w:t xml:space="preserve"> </w:t>
      </w:r>
      <w:r w:rsidRPr="001B53A8">
        <w:rPr>
          <w:rFonts w:ascii="Times New Roman" w:hAnsi="Times New Roman"/>
        </w:rPr>
        <w:t>su</w:t>
      </w:r>
      <w:r w:rsidR="003E0284" w:rsidRPr="001B53A8">
        <w:rPr>
          <w:rFonts w:ascii="Times New Roman" w:hAnsi="Times New Roman"/>
        </w:rPr>
        <w:t xml:space="preserve"> </w:t>
      </w:r>
      <w:r w:rsidRPr="001B53A8">
        <w:rPr>
          <w:rFonts w:ascii="Times New Roman" w:hAnsi="Times New Roman"/>
        </w:rPr>
        <w:t>i</w:t>
      </w:r>
      <w:r w:rsidR="003E0284" w:rsidRPr="001B53A8">
        <w:rPr>
          <w:rFonts w:ascii="Times New Roman" w:hAnsi="Times New Roman"/>
        </w:rPr>
        <w:t xml:space="preserve"> </w:t>
      </w:r>
      <w:r w:rsidRPr="001B53A8">
        <w:rPr>
          <w:rFonts w:ascii="Times New Roman" w:hAnsi="Times New Roman"/>
        </w:rPr>
        <w:t>okončana</w:t>
      </w:r>
      <w:r w:rsidR="003E0284" w:rsidRPr="001B53A8">
        <w:rPr>
          <w:rFonts w:ascii="Times New Roman" w:hAnsi="Times New Roman"/>
        </w:rPr>
        <w:t xml:space="preserve"> </w:t>
      </w:r>
      <w:r w:rsidRPr="001B53A8">
        <w:rPr>
          <w:rFonts w:ascii="Times New Roman" w:hAnsi="Times New Roman"/>
        </w:rPr>
        <w:t>dva</w:t>
      </w:r>
      <w:r w:rsidR="003E0284" w:rsidRPr="001B53A8">
        <w:rPr>
          <w:rFonts w:ascii="Times New Roman" w:hAnsi="Times New Roman"/>
        </w:rPr>
        <w:t xml:space="preserve"> </w:t>
      </w:r>
      <w:r w:rsidRPr="001B53A8">
        <w:rPr>
          <w:rFonts w:ascii="Times New Roman" w:hAnsi="Times New Roman"/>
        </w:rPr>
        <w:t>redovna</w:t>
      </w:r>
      <w:r w:rsidR="003E0284" w:rsidRPr="001B53A8">
        <w:rPr>
          <w:rFonts w:ascii="Times New Roman" w:hAnsi="Times New Roman"/>
        </w:rPr>
        <w:t xml:space="preserve"> </w:t>
      </w:r>
      <w:r w:rsidRPr="001B53A8">
        <w:rPr>
          <w:rFonts w:ascii="Times New Roman" w:hAnsi="Times New Roman"/>
        </w:rPr>
        <w:t>nadzora</w:t>
      </w:r>
      <w:r w:rsidR="003E0284" w:rsidRPr="001B53A8">
        <w:rPr>
          <w:rFonts w:ascii="Times New Roman" w:hAnsi="Times New Roman"/>
        </w:rPr>
        <w:t xml:space="preserve"> </w:t>
      </w:r>
      <w:r w:rsidRPr="001B53A8">
        <w:rPr>
          <w:rFonts w:ascii="Times New Roman" w:hAnsi="Times New Roman"/>
        </w:rPr>
        <w:t>nad</w:t>
      </w:r>
      <w:r w:rsidR="003E0284" w:rsidRPr="001B53A8">
        <w:rPr>
          <w:rFonts w:ascii="Times New Roman" w:hAnsi="Times New Roman"/>
        </w:rPr>
        <w:t xml:space="preserve"> </w:t>
      </w:r>
      <w:r w:rsidRPr="001B53A8">
        <w:rPr>
          <w:rFonts w:ascii="Times New Roman" w:hAnsi="Times New Roman"/>
        </w:rPr>
        <w:t>Centralnim</w:t>
      </w:r>
      <w:r w:rsidR="003E0284" w:rsidRPr="001B53A8">
        <w:rPr>
          <w:rFonts w:ascii="Times New Roman" w:hAnsi="Times New Roman"/>
        </w:rPr>
        <w:t xml:space="preserve"> </w:t>
      </w:r>
      <w:r w:rsidRPr="001B53A8">
        <w:rPr>
          <w:rFonts w:ascii="Times New Roman" w:hAnsi="Times New Roman"/>
        </w:rPr>
        <w:t>registrom</w:t>
      </w:r>
      <w:r w:rsidR="003E0284" w:rsidRPr="001B53A8">
        <w:rPr>
          <w:rFonts w:ascii="Times New Roman" w:hAnsi="Times New Roman"/>
        </w:rPr>
        <w:t xml:space="preserve"> </w:t>
      </w:r>
      <w:r w:rsidRPr="001B53A8">
        <w:rPr>
          <w:rFonts w:ascii="Times New Roman" w:hAnsi="Times New Roman"/>
        </w:rPr>
        <w:t>hartija</w:t>
      </w:r>
      <w:r w:rsidR="003E0284" w:rsidRPr="001B53A8">
        <w:rPr>
          <w:rFonts w:ascii="Times New Roman" w:hAnsi="Times New Roman"/>
        </w:rPr>
        <w:t xml:space="preserve"> </w:t>
      </w:r>
      <w:r w:rsidRPr="001B53A8">
        <w:rPr>
          <w:rFonts w:ascii="Times New Roman" w:hAnsi="Times New Roman"/>
        </w:rPr>
        <w:t>od</w:t>
      </w:r>
      <w:r w:rsidR="003E0284" w:rsidRPr="001B53A8">
        <w:rPr>
          <w:rFonts w:ascii="Times New Roman" w:hAnsi="Times New Roman"/>
        </w:rPr>
        <w:t xml:space="preserve"> </w:t>
      </w:r>
      <w:r w:rsidRPr="001B53A8">
        <w:rPr>
          <w:rFonts w:ascii="Times New Roman" w:hAnsi="Times New Roman"/>
        </w:rPr>
        <w:t>vrijednosti</w:t>
      </w:r>
      <w:r w:rsidR="003E0284" w:rsidRPr="001B53A8">
        <w:rPr>
          <w:rFonts w:ascii="Times New Roman" w:hAnsi="Times New Roman"/>
        </w:rPr>
        <w:t xml:space="preserve"> </w:t>
      </w:r>
      <w:r w:rsidRPr="001B53A8">
        <w:rPr>
          <w:rFonts w:ascii="Times New Roman" w:hAnsi="Times New Roman"/>
        </w:rPr>
        <w:t>i</w:t>
      </w:r>
      <w:r w:rsidR="003E0284" w:rsidRPr="001B53A8">
        <w:rPr>
          <w:rFonts w:ascii="Times New Roman" w:hAnsi="Times New Roman"/>
        </w:rPr>
        <w:t xml:space="preserve"> </w:t>
      </w:r>
      <w:r w:rsidRPr="001B53A8">
        <w:rPr>
          <w:rFonts w:ascii="Times New Roman" w:hAnsi="Times New Roman"/>
        </w:rPr>
        <w:t>to</w:t>
      </w:r>
      <w:r w:rsidR="003E0284" w:rsidRPr="001B53A8">
        <w:rPr>
          <w:rFonts w:ascii="Times New Roman" w:hAnsi="Times New Roman"/>
        </w:rPr>
        <w:t xml:space="preserve"> </w:t>
      </w:r>
      <w:r w:rsidRPr="001B53A8">
        <w:rPr>
          <w:rFonts w:ascii="Times New Roman" w:hAnsi="Times New Roman"/>
        </w:rPr>
        <w:t>jedan</w:t>
      </w:r>
      <w:r w:rsidR="003E0284" w:rsidRPr="001B53A8">
        <w:rPr>
          <w:rFonts w:ascii="Times New Roman" w:hAnsi="Times New Roman"/>
        </w:rPr>
        <w:t xml:space="preserve"> </w:t>
      </w:r>
      <w:r w:rsidRPr="001B53A8">
        <w:rPr>
          <w:rFonts w:ascii="Times New Roman" w:hAnsi="Times New Roman"/>
        </w:rPr>
        <w:t>redovan</w:t>
      </w:r>
      <w:r w:rsidR="003E0284" w:rsidRPr="001B53A8">
        <w:rPr>
          <w:rFonts w:ascii="Times New Roman" w:hAnsi="Times New Roman"/>
        </w:rPr>
        <w:t xml:space="preserve"> </w:t>
      </w:r>
      <w:r w:rsidRPr="001B53A8">
        <w:rPr>
          <w:rFonts w:ascii="Times New Roman" w:hAnsi="Times New Roman"/>
        </w:rPr>
        <w:t>nadzor</w:t>
      </w:r>
      <w:r w:rsidR="003E0284" w:rsidRPr="001B53A8">
        <w:rPr>
          <w:rFonts w:ascii="Times New Roman" w:hAnsi="Times New Roman"/>
        </w:rPr>
        <w:t xml:space="preserve"> </w:t>
      </w:r>
      <w:bookmarkStart w:id="87" w:name="_Hlk164241224"/>
      <w:r w:rsidRPr="001B53A8">
        <w:rPr>
          <w:rFonts w:ascii="Times New Roman" w:hAnsi="Times New Roman"/>
        </w:rPr>
        <w:t>u</w:t>
      </w:r>
      <w:r w:rsidR="003E0284" w:rsidRPr="001B53A8">
        <w:rPr>
          <w:rFonts w:ascii="Times New Roman" w:hAnsi="Times New Roman"/>
        </w:rPr>
        <w:t xml:space="preserve"> </w:t>
      </w:r>
      <w:r w:rsidRPr="001B53A8">
        <w:rPr>
          <w:rFonts w:ascii="Times New Roman" w:hAnsi="Times New Roman"/>
        </w:rPr>
        <w:t>dijelu</w:t>
      </w:r>
      <w:r w:rsidR="003E0284" w:rsidRPr="001B53A8">
        <w:rPr>
          <w:rFonts w:ascii="Times New Roman" w:hAnsi="Times New Roman"/>
        </w:rPr>
        <w:t xml:space="preserve"> </w:t>
      </w:r>
      <w:r w:rsidRPr="001B53A8">
        <w:rPr>
          <w:rFonts w:ascii="Times New Roman" w:hAnsi="Times New Roman"/>
        </w:rPr>
        <w:t>prenosa</w:t>
      </w:r>
      <w:r w:rsidR="003E0284" w:rsidRPr="001B53A8">
        <w:rPr>
          <w:rFonts w:ascii="Times New Roman" w:hAnsi="Times New Roman"/>
        </w:rPr>
        <w:t xml:space="preserve"> </w:t>
      </w:r>
      <w:r w:rsidRPr="001B53A8">
        <w:rPr>
          <w:rFonts w:ascii="Times New Roman" w:hAnsi="Times New Roman"/>
        </w:rPr>
        <w:t>hartija</w:t>
      </w:r>
      <w:r w:rsidR="003E0284" w:rsidRPr="001B53A8">
        <w:rPr>
          <w:rFonts w:ascii="Times New Roman" w:hAnsi="Times New Roman"/>
        </w:rPr>
        <w:t xml:space="preserve"> </w:t>
      </w:r>
      <w:r w:rsidRPr="001B53A8">
        <w:rPr>
          <w:rFonts w:ascii="Times New Roman" w:hAnsi="Times New Roman"/>
        </w:rPr>
        <w:t>od</w:t>
      </w:r>
      <w:r w:rsidR="003E0284" w:rsidRPr="001B53A8">
        <w:rPr>
          <w:rFonts w:ascii="Times New Roman" w:hAnsi="Times New Roman"/>
        </w:rPr>
        <w:t xml:space="preserve"> </w:t>
      </w:r>
      <w:r w:rsidRPr="001B53A8">
        <w:rPr>
          <w:rFonts w:ascii="Times New Roman" w:hAnsi="Times New Roman"/>
        </w:rPr>
        <w:t>vrijednosti</w:t>
      </w:r>
      <w:r w:rsidR="003E0284" w:rsidRPr="001B53A8">
        <w:rPr>
          <w:rFonts w:ascii="Times New Roman" w:hAnsi="Times New Roman"/>
        </w:rPr>
        <w:t xml:space="preserve"> </w:t>
      </w:r>
      <w:r w:rsidRPr="001B53A8">
        <w:rPr>
          <w:rFonts w:ascii="Times New Roman" w:hAnsi="Times New Roman"/>
        </w:rPr>
        <w:t>po</w:t>
      </w:r>
      <w:r w:rsidR="003E0284" w:rsidRPr="001B53A8">
        <w:rPr>
          <w:rFonts w:ascii="Times New Roman" w:hAnsi="Times New Roman"/>
        </w:rPr>
        <w:t xml:space="preserve"> </w:t>
      </w:r>
      <w:r w:rsidRPr="001B53A8">
        <w:rPr>
          <w:rFonts w:ascii="Times New Roman" w:hAnsi="Times New Roman"/>
        </w:rPr>
        <w:t>osnovu</w:t>
      </w:r>
      <w:r w:rsidR="003E0284" w:rsidRPr="001B53A8">
        <w:rPr>
          <w:rFonts w:ascii="Times New Roman" w:hAnsi="Times New Roman"/>
        </w:rPr>
        <w:t xml:space="preserve"> </w:t>
      </w:r>
      <w:r w:rsidRPr="001B53A8">
        <w:rPr>
          <w:rFonts w:ascii="Times New Roman" w:hAnsi="Times New Roman"/>
        </w:rPr>
        <w:t>ugovora</w:t>
      </w:r>
      <w:r w:rsidR="003E0284" w:rsidRPr="001B53A8">
        <w:rPr>
          <w:rFonts w:ascii="Times New Roman" w:hAnsi="Times New Roman"/>
        </w:rPr>
        <w:t xml:space="preserve">, </w:t>
      </w:r>
      <w:r w:rsidRPr="001B53A8">
        <w:rPr>
          <w:rFonts w:ascii="Times New Roman" w:hAnsi="Times New Roman"/>
        </w:rPr>
        <w:t>sudskih</w:t>
      </w:r>
      <w:r w:rsidR="003E0284" w:rsidRPr="001B53A8">
        <w:rPr>
          <w:rFonts w:ascii="Times New Roman" w:hAnsi="Times New Roman"/>
        </w:rPr>
        <w:t xml:space="preserve"> </w:t>
      </w:r>
      <w:r w:rsidRPr="001B53A8">
        <w:rPr>
          <w:rFonts w:ascii="Times New Roman" w:hAnsi="Times New Roman"/>
        </w:rPr>
        <w:t>odluka</w:t>
      </w:r>
      <w:r w:rsidR="003E0284" w:rsidRPr="001B53A8">
        <w:rPr>
          <w:rFonts w:ascii="Times New Roman" w:hAnsi="Times New Roman"/>
        </w:rPr>
        <w:t xml:space="preserve"> </w:t>
      </w:r>
      <w:r w:rsidRPr="001B53A8">
        <w:rPr>
          <w:rFonts w:ascii="Times New Roman" w:hAnsi="Times New Roman"/>
        </w:rPr>
        <w:t>i</w:t>
      </w:r>
      <w:r w:rsidR="003E0284" w:rsidRPr="001B53A8">
        <w:rPr>
          <w:rFonts w:ascii="Times New Roman" w:hAnsi="Times New Roman"/>
        </w:rPr>
        <w:t xml:space="preserve"> </w:t>
      </w:r>
      <w:r w:rsidRPr="001B53A8">
        <w:rPr>
          <w:rFonts w:ascii="Times New Roman" w:hAnsi="Times New Roman"/>
        </w:rPr>
        <w:t>odluka</w:t>
      </w:r>
      <w:r w:rsidR="003E0284" w:rsidRPr="001B53A8">
        <w:rPr>
          <w:rFonts w:ascii="Times New Roman" w:hAnsi="Times New Roman"/>
        </w:rPr>
        <w:t xml:space="preserve"> </w:t>
      </w:r>
      <w:r w:rsidRPr="001B53A8">
        <w:rPr>
          <w:rFonts w:ascii="Times New Roman" w:hAnsi="Times New Roman"/>
        </w:rPr>
        <w:t>drugih</w:t>
      </w:r>
      <w:r w:rsidR="003E0284" w:rsidRPr="001B53A8">
        <w:rPr>
          <w:rFonts w:ascii="Times New Roman" w:hAnsi="Times New Roman"/>
        </w:rPr>
        <w:t xml:space="preserve"> </w:t>
      </w:r>
      <w:r w:rsidRPr="001B53A8">
        <w:rPr>
          <w:rFonts w:ascii="Times New Roman" w:hAnsi="Times New Roman"/>
        </w:rPr>
        <w:t>državnih</w:t>
      </w:r>
      <w:r w:rsidR="003E0284" w:rsidRPr="001B53A8">
        <w:rPr>
          <w:rFonts w:ascii="Times New Roman" w:hAnsi="Times New Roman"/>
        </w:rPr>
        <w:t xml:space="preserve"> </w:t>
      </w:r>
      <w:r w:rsidRPr="001B53A8">
        <w:rPr>
          <w:rFonts w:ascii="Times New Roman" w:hAnsi="Times New Roman"/>
        </w:rPr>
        <w:t>organa</w:t>
      </w:r>
      <w:r w:rsidR="003E0284" w:rsidRPr="001B53A8">
        <w:rPr>
          <w:rFonts w:ascii="Times New Roman" w:hAnsi="Times New Roman"/>
        </w:rPr>
        <w:t xml:space="preserve">, </w:t>
      </w:r>
      <w:r w:rsidRPr="001B53A8">
        <w:rPr>
          <w:rFonts w:ascii="Times New Roman" w:hAnsi="Times New Roman"/>
        </w:rPr>
        <w:t>te</w:t>
      </w:r>
      <w:r w:rsidR="003E0284" w:rsidRPr="001B53A8">
        <w:rPr>
          <w:rFonts w:ascii="Times New Roman" w:hAnsi="Times New Roman"/>
        </w:rPr>
        <w:t xml:space="preserve"> </w:t>
      </w:r>
      <w:r w:rsidRPr="001B53A8">
        <w:rPr>
          <w:rFonts w:ascii="Times New Roman" w:hAnsi="Times New Roman"/>
        </w:rPr>
        <w:t>jedan</w:t>
      </w:r>
      <w:r w:rsidR="003E0284" w:rsidRPr="001B53A8">
        <w:rPr>
          <w:rFonts w:ascii="Times New Roman" w:hAnsi="Times New Roman"/>
        </w:rPr>
        <w:t xml:space="preserve"> </w:t>
      </w:r>
      <w:r w:rsidRPr="001B53A8">
        <w:rPr>
          <w:rFonts w:ascii="Times New Roman" w:hAnsi="Times New Roman"/>
        </w:rPr>
        <w:t>redovan</w:t>
      </w:r>
      <w:r w:rsidR="003E0284" w:rsidRPr="001B53A8">
        <w:rPr>
          <w:rFonts w:ascii="Times New Roman" w:hAnsi="Times New Roman"/>
        </w:rPr>
        <w:t xml:space="preserve"> </w:t>
      </w:r>
      <w:r w:rsidRPr="001B53A8">
        <w:rPr>
          <w:rFonts w:ascii="Times New Roman" w:hAnsi="Times New Roman"/>
        </w:rPr>
        <w:t>nadzor</w:t>
      </w:r>
      <w:r w:rsidR="003E0284" w:rsidRPr="001B53A8">
        <w:rPr>
          <w:rFonts w:ascii="Times New Roman" w:hAnsi="Times New Roman"/>
        </w:rPr>
        <w:t xml:space="preserve"> </w:t>
      </w:r>
      <w:r w:rsidRPr="001B53A8">
        <w:rPr>
          <w:rFonts w:ascii="Times New Roman" w:hAnsi="Times New Roman"/>
        </w:rPr>
        <w:t>u</w:t>
      </w:r>
      <w:r w:rsidR="003E0284" w:rsidRPr="001B53A8">
        <w:rPr>
          <w:rFonts w:ascii="Times New Roman" w:hAnsi="Times New Roman"/>
        </w:rPr>
        <w:t xml:space="preserve"> </w:t>
      </w:r>
      <w:r w:rsidRPr="001B53A8">
        <w:rPr>
          <w:rFonts w:ascii="Times New Roman" w:hAnsi="Times New Roman"/>
        </w:rPr>
        <w:t>obavlјanju</w:t>
      </w:r>
      <w:r w:rsidR="003E0284" w:rsidRPr="001B53A8">
        <w:rPr>
          <w:rFonts w:ascii="Times New Roman" w:hAnsi="Times New Roman"/>
        </w:rPr>
        <w:t xml:space="preserve"> </w:t>
      </w:r>
      <w:r w:rsidRPr="001B53A8">
        <w:rPr>
          <w:rFonts w:ascii="Times New Roman" w:hAnsi="Times New Roman"/>
        </w:rPr>
        <w:t>poslova</w:t>
      </w:r>
      <w:r w:rsidR="003E0284" w:rsidRPr="001B53A8">
        <w:rPr>
          <w:rFonts w:ascii="Times New Roman" w:hAnsi="Times New Roman"/>
        </w:rPr>
        <w:t xml:space="preserve"> </w:t>
      </w:r>
      <w:r w:rsidRPr="001B53A8">
        <w:rPr>
          <w:rFonts w:ascii="Times New Roman" w:hAnsi="Times New Roman"/>
        </w:rPr>
        <w:t>depozitara</w:t>
      </w:r>
      <w:r w:rsidR="003E0284" w:rsidRPr="001B53A8">
        <w:rPr>
          <w:rFonts w:ascii="Times New Roman" w:hAnsi="Times New Roman"/>
        </w:rPr>
        <w:t xml:space="preserve"> </w:t>
      </w:r>
      <w:r w:rsidRPr="001B53A8">
        <w:rPr>
          <w:rFonts w:ascii="Times New Roman" w:hAnsi="Times New Roman"/>
        </w:rPr>
        <w:t>u</w:t>
      </w:r>
      <w:r w:rsidR="003E0284" w:rsidRPr="001B53A8">
        <w:rPr>
          <w:rFonts w:ascii="Times New Roman" w:hAnsi="Times New Roman"/>
        </w:rPr>
        <w:t xml:space="preserve"> </w:t>
      </w:r>
      <w:r w:rsidRPr="001B53A8">
        <w:rPr>
          <w:rFonts w:ascii="Times New Roman" w:hAnsi="Times New Roman"/>
        </w:rPr>
        <w:t>dijelu</w:t>
      </w:r>
      <w:r w:rsidR="003E0284" w:rsidRPr="001B53A8">
        <w:rPr>
          <w:rFonts w:ascii="Times New Roman" w:hAnsi="Times New Roman"/>
        </w:rPr>
        <w:t xml:space="preserve"> </w:t>
      </w:r>
      <w:r w:rsidRPr="001B53A8">
        <w:rPr>
          <w:rFonts w:ascii="Times New Roman" w:hAnsi="Times New Roman"/>
        </w:rPr>
        <w:t>izvršavanje</w:t>
      </w:r>
      <w:r w:rsidR="003E0284" w:rsidRPr="001B53A8">
        <w:rPr>
          <w:rFonts w:ascii="Times New Roman" w:hAnsi="Times New Roman"/>
        </w:rPr>
        <w:t xml:space="preserve"> </w:t>
      </w:r>
      <w:r w:rsidRPr="001B53A8">
        <w:rPr>
          <w:rFonts w:ascii="Times New Roman" w:hAnsi="Times New Roman"/>
        </w:rPr>
        <w:t>naloga</w:t>
      </w:r>
      <w:r w:rsidR="003E0284" w:rsidRPr="001B53A8">
        <w:rPr>
          <w:rFonts w:ascii="Times New Roman" w:hAnsi="Times New Roman"/>
        </w:rPr>
        <w:t xml:space="preserve"> </w:t>
      </w:r>
      <w:r w:rsidRPr="001B53A8">
        <w:rPr>
          <w:rFonts w:ascii="Times New Roman" w:hAnsi="Times New Roman"/>
        </w:rPr>
        <w:t>društava</w:t>
      </w:r>
      <w:r w:rsidR="003E0284" w:rsidRPr="001B53A8">
        <w:rPr>
          <w:rFonts w:ascii="Times New Roman" w:hAnsi="Times New Roman"/>
        </w:rPr>
        <w:t xml:space="preserve"> </w:t>
      </w:r>
      <w:r w:rsidRPr="001B53A8">
        <w:rPr>
          <w:rFonts w:ascii="Times New Roman" w:hAnsi="Times New Roman"/>
        </w:rPr>
        <w:t>za</w:t>
      </w:r>
      <w:r w:rsidR="003E0284" w:rsidRPr="001B53A8">
        <w:rPr>
          <w:rFonts w:ascii="Times New Roman" w:hAnsi="Times New Roman"/>
        </w:rPr>
        <w:t xml:space="preserve"> </w:t>
      </w:r>
      <w:r w:rsidRPr="001B53A8">
        <w:rPr>
          <w:rFonts w:ascii="Times New Roman" w:hAnsi="Times New Roman"/>
        </w:rPr>
        <w:t>upravlјanje</w:t>
      </w:r>
      <w:r w:rsidR="003E0284" w:rsidRPr="001B53A8">
        <w:rPr>
          <w:rFonts w:ascii="Times New Roman" w:hAnsi="Times New Roman"/>
        </w:rPr>
        <w:t xml:space="preserve"> </w:t>
      </w:r>
      <w:r w:rsidRPr="001B53A8">
        <w:rPr>
          <w:rFonts w:ascii="Times New Roman" w:hAnsi="Times New Roman"/>
        </w:rPr>
        <w:t>investicionim</w:t>
      </w:r>
      <w:r w:rsidR="003E0284" w:rsidRPr="001B53A8">
        <w:rPr>
          <w:rFonts w:ascii="Times New Roman" w:hAnsi="Times New Roman"/>
        </w:rPr>
        <w:t xml:space="preserve"> </w:t>
      </w:r>
      <w:r w:rsidRPr="001B53A8">
        <w:rPr>
          <w:rFonts w:ascii="Times New Roman" w:hAnsi="Times New Roman"/>
        </w:rPr>
        <w:t>fondovima</w:t>
      </w:r>
      <w:r w:rsidR="003E0284" w:rsidRPr="001B53A8">
        <w:rPr>
          <w:rFonts w:ascii="Times New Roman" w:hAnsi="Times New Roman"/>
        </w:rPr>
        <w:t xml:space="preserve"> </w:t>
      </w:r>
      <w:r w:rsidRPr="001B53A8">
        <w:rPr>
          <w:rFonts w:ascii="Times New Roman" w:hAnsi="Times New Roman"/>
        </w:rPr>
        <w:t>priliko</w:t>
      </w:r>
      <w:r w:rsidR="003E0284" w:rsidRPr="001B53A8">
        <w:rPr>
          <w:rFonts w:ascii="Times New Roman" w:hAnsi="Times New Roman"/>
        </w:rPr>
        <w:t xml:space="preserve"> </w:t>
      </w:r>
      <w:r w:rsidRPr="001B53A8">
        <w:rPr>
          <w:rFonts w:ascii="Times New Roman" w:hAnsi="Times New Roman"/>
        </w:rPr>
        <w:t>sticanja</w:t>
      </w:r>
      <w:r w:rsidR="003E0284" w:rsidRPr="001B53A8">
        <w:rPr>
          <w:rFonts w:ascii="Times New Roman" w:hAnsi="Times New Roman"/>
        </w:rPr>
        <w:t xml:space="preserve"> </w:t>
      </w:r>
      <w:r w:rsidRPr="001B53A8">
        <w:rPr>
          <w:rFonts w:ascii="Times New Roman" w:hAnsi="Times New Roman"/>
        </w:rPr>
        <w:t>imovine</w:t>
      </w:r>
      <w:r w:rsidR="003E0284" w:rsidRPr="001B53A8">
        <w:rPr>
          <w:rFonts w:ascii="Times New Roman" w:hAnsi="Times New Roman"/>
        </w:rPr>
        <w:t xml:space="preserve"> </w:t>
      </w:r>
      <w:r w:rsidRPr="001B53A8">
        <w:rPr>
          <w:rFonts w:ascii="Times New Roman" w:hAnsi="Times New Roman"/>
        </w:rPr>
        <w:t>za</w:t>
      </w:r>
      <w:r w:rsidR="003E0284" w:rsidRPr="001B53A8">
        <w:rPr>
          <w:rFonts w:ascii="Times New Roman" w:hAnsi="Times New Roman"/>
        </w:rPr>
        <w:t xml:space="preserve"> </w:t>
      </w:r>
      <w:r w:rsidRPr="001B53A8">
        <w:rPr>
          <w:rFonts w:ascii="Times New Roman" w:hAnsi="Times New Roman"/>
        </w:rPr>
        <w:t>račun</w:t>
      </w:r>
      <w:r w:rsidR="003E0284" w:rsidRPr="001B53A8">
        <w:rPr>
          <w:rFonts w:ascii="Times New Roman" w:hAnsi="Times New Roman"/>
        </w:rPr>
        <w:t xml:space="preserve"> </w:t>
      </w:r>
      <w:r w:rsidRPr="001B53A8">
        <w:rPr>
          <w:rFonts w:ascii="Times New Roman" w:hAnsi="Times New Roman"/>
        </w:rPr>
        <w:t>fondova</w:t>
      </w:r>
      <w:r w:rsidR="003E0284" w:rsidRPr="001B53A8">
        <w:rPr>
          <w:rFonts w:ascii="Times New Roman" w:hAnsi="Times New Roman"/>
        </w:rPr>
        <w:t>.</w:t>
      </w:r>
      <w:bookmarkEnd w:id="87"/>
    </w:p>
    <w:p w14:paraId="5041F7AB" w14:textId="606A3210" w:rsidR="006B6E0C" w:rsidRDefault="00003F34" w:rsidP="003E0284">
      <w:pPr>
        <w:pStyle w:val="Style15"/>
        <w:widowControl/>
        <w:spacing w:before="120" w:after="120" w:line="240" w:lineRule="auto"/>
        <w:ind w:firstLine="567"/>
        <w:rPr>
          <w:rFonts w:ascii="Times New Roman" w:hAnsi="Times New Roman"/>
        </w:rPr>
      </w:pPr>
      <w:r w:rsidRPr="001B53A8">
        <w:rPr>
          <w:rFonts w:ascii="Times New Roman" w:hAnsi="Times New Roman"/>
        </w:rPr>
        <w:lastRenderedPageBreak/>
        <w:t>U</w:t>
      </w:r>
      <w:r w:rsidR="003E0284" w:rsidRPr="001B53A8">
        <w:rPr>
          <w:rFonts w:ascii="Times New Roman" w:hAnsi="Times New Roman"/>
        </w:rPr>
        <w:t xml:space="preserve"> </w:t>
      </w:r>
      <w:r w:rsidRPr="001B53A8">
        <w:rPr>
          <w:rFonts w:ascii="Times New Roman" w:hAnsi="Times New Roman"/>
        </w:rPr>
        <w:t>toku</w:t>
      </w:r>
      <w:r w:rsidR="003E0284" w:rsidRPr="001B53A8">
        <w:rPr>
          <w:rFonts w:ascii="Times New Roman" w:hAnsi="Times New Roman"/>
        </w:rPr>
        <w:t xml:space="preserve"> 2023. </w:t>
      </w:r>
      <w:r w:rsidRPr="001B53A8">
        <w:rPr>
          <w:rFonts w:ascii="Times New Roman" w:hAnsi="Times New Roman"/>
        </w:rPr>
        <w:t>godine</w:t>
      </w:r>
      <w:r w:rsidR="003E0284" w:rsidRPr="001B53A8">
        <w:rPr>
          <w:rFonts w:ascii="Times New Roman" w:hAnsi="Times New Roman"/>
        </w:rPr>
        <w:t xml:space="preserve"> </w:t>
      </w:r>
      <w:r w:rsidRPr="001B53A8">
        <w:rPr>
          <w:rFonts w:ascii="Times New Roman" w:hAnsi="Times New Roman"/>
        </w:rPr>
        <w:t>pokrenut</w:t>
      </w:r>
      <w:r w:rsidR="003E0284" w:rsidRPr="001B53A8">
        <w:rPr>
          <w:rFonts w:ascii="Times New Roman" w:hAnsi="Times New Roman"/>
        </w:rPr>
        <w:t xml:space="preserve"> </w:t>
      </w:r>
      <w:r w:rsidRPr="001B53A8">
        <w:rPr>
          <w:rFonts w:ascii="Times New Roman" w:hAnsi="Times New Roman"/>
        </w:rPr>
        <w:t>je</w:t>
      </w:r>
      <w:r w:rsidR="003E0284" w:rsidRPr="001B53A8">
        <w:rPr>
          <w:rFonts w:ascii="Times New Roman" w:hAnsi="Times New Roman"/>
        </w:rPr>
        <w:t xml:space="preserve"> </w:t>
      </w:r>
      <w:r w:rsidRPr="001B53A8">
        <w:rPr>
          <w:rFonts w:ascii="Times New Roman" w:hAnsi="Times New Roman"/>
        </w:rPr>
        <w:t>i</w:t>
      </w:r>
      <w:r w:rsidR="003E0284" w:rsidRPr="001B53A8">
        <w:rPr>
          <w:rFonts w:ascii="Times New Roman" w:hAnsi="Times New Roman"/>
        </w:rPr>
        <w:t xml:space="preserve"> </w:t>
      </w:r>
      <w:r w:rsidRPr="001B53A8">
        <w:rPr>
          <w:rFonts w:ascii="Times New Roman" w:hAnsi="Times New Roman"/>
        </w:rPr>
        <w:t>okončan</w:t>
      </w:r>
      <w:r w:rsidR="003E0284" w:rsidRPr="001B53A8">
        <w:rPr>
          <w:rFonts w:ascii="Times New Roman" w:hAnsi="Times New Roman"/>
        </w:rPr>
        <w:t xml:space="preserve"> </w:t>
      </w:r>
      <w:r w:rsidRPr="001B53A8">
        <w:rPr>
          <w:rFonts w:ascii="Times New Roman" w:hAnsi="Times New Roman"/>
        </w:rPr>
        <w:t>jedan</w:t>
      </w:r>
      <w:r w:rsidR="003E0284" w:rsidRPr="001B53A8">
        <w:rPr>
          <w:rFonts w:ascii="Times New Roman" w:hAnsi="Times New Roman"/>
        </w:rPr>
        <w:t xml:space="preserve"> </w:t>
      </w:r>
      <w:r w:rsidRPr="001B53A8">
        <w:rPr>
          <w:rFonts w:ascii="Times New Roman" w:hAnsi="Times New Roman"/>
        </w:rPr>
        <w:t>vanredni</w:t>
      </w:r>
      <w:r w:rsidR="003E0284" w:rsidRPr="001B53A8">
        <w:rPr>
          <w:rFonts w:ascii="Times New Roman" w:hAnsi="Times New Roman"/>
        </w:rPr>
        <w:t xml:space="preserve"> </w:t>
      </w:r>
      <w:r w:rsidRPr="001B53A8">
        <w:rPr>
          <w:rFonts w:ascii="Times New Roman" w:hAnsi="Times New Roman"/>
        </w:rPr>
        <w:t>nadzor</w:t>
      </w:r>
      <w:r w:rsidR="003E0284" w:rsidRPr="001B53A8">
        <w:rPr>
          <w:rFonts w:ascii="Times New Roman" w:hAnsi="Times New Roman"/>
        </w:rPr>
        <w:t xml:space="preserve"> </w:t>
      </w:r>
      <w:r w:rsidRPr="001B53A8">
        <w:rPr>
          <w:rFonts w:ascii="Times New Roman" w:hAnsi="Times New Roman"/>
        </w:rPr>
        <w:t>nad</w:t>
      </w:r>
      <w:r w:rsidR="003E0284" w:rsidRPr="001B53A8">
        <w:rPr>
          <w:rFonts w:ascii="Times New Roman" w:hAnsi="Times New Roman"/>
        </w:rPr>
        <w:t xml:space="preserve"> </w:t>
      </w:r>
      <w:r w:rsidRPr="001B53A8">
        <w:rPr>
          <w:rFonts w:ascii="Times New Roman" w:hAnsi="Times New Roman"/>
        </w:rPr>
        <w:t>Centralnim</w:t>
      </w:r>
      <w:r w:rsidR="003E0284" w:rsidRPr="001B53A8">
        <w:rPr>
          <w:rFonts w:ascii="Times New Roman" w:hAnsi="Times New Roman"/>
        </w:rPr>
        <w:t xml:space="preserve"> </w:t>
      </w:r>
      <w:r w:rsidRPr="001B53A8">
        <w:rPr>
          <w:rFonts w:ascii="Times New Roman" w:hAnsi="Times New Roman"/>
        </w:rPr>
        <w:t>registrom</w:t>
      </w:r>
      <w:r w:rsidR="003E0284" w:rsidRPr="001B53A8">
        <w:rPr>
          <w:rFonts w:ascii="Times New Roman" w:hAnsi="Times New Roman"/>
        </w:rPr>
        <w:t xml:space="preserve"> </w:t>
      </w:r>
      <w:r w:rsidRPr="001B53A8">
        <w:rPr>
          <w:rFonts w:ascii="Times New Roman" w:hAnsi="Times New Roman"/>
        </w:rPr>
        <w:t>hartija</w:t>
      </w:r>
      <w:r w:rsidR="003E0284" w:rsidRPr="001B53A8">
        <w:rPr>
          <w:rFonts w:ascii="Times New Roman" w:hAnsi="Times New Roman"/>
        </w:rPr>
        <w:t xml:space="preserve"> </w:t>
      </w:r>
      <w:r w:rsidRPr="001B53A8">
        <w:rPr>
          <w:rFonts w:ascii="Times New Roman" w:hAnsi="Times New Roman"/>
        </w:rPr>
        <w:t>od</w:t>
      </w:r>
      <w:r w:rsidR="003E0284" w:rsidRPr="001B53A8">
        <w:rPr>
          <w:rFonts w:ascii="Times New Roman" w:hAnsi="Times New Roman"/>
        </w:rPr>
        <w:t xml:space="preserve"> </w:t>
      </w:r>
      <w:r w:rsidRPr="001B53A8">
        <w:rPr>
          <w:rFonts w:ascii="Times New Roman" w:hAnsi="Times New Roman"/>
        </w:rPr>
        <w:t>vrijednosti</w:t>
      </w:r>
      <w:r w:rsidR="003E0284" w:rsidRPr="001B53A8">
        <w:rPr>
          <w:rFonts w:ascii="Times New Roman" w:hAnsi="Times New Roman"/>
        </w:rPr>
        <w:t xml:space="preserve"> </w:t>
      </w:r>
      <w:r w:rsidRPr="001B53A8">
        <w:rPr>
          <w:rFonts w:ascii="Times New Roman" w:hAnsi="Times New Roman"/>
        </w:rPr>
        <w:t>čiji</w:t>
      </w:r>
      <w:r w:rsidR="003E0284" w:rsidRPr="001B53A8">
        <w:rPr>
          <w:rFonts w:ascii="Times New Roman" w:hAnsi="Times New Roman"/>
        </w:rPr>
        <w:t xml:space="preserve"> </w:t>
      </w:r>
      <w:r w:rsidRPr="001B53A8">
        <w:rPr>
          <w:rFonts w:ascii="Times New Roman" w:hAnsi="Times New Roman"/>
        </w:rPr>
        <w:t>je</w:t>
      </w:r>
      <w:r w:rsidR="003E0284" w:rsidRPr="001B53A8">
        <w:rPr>
          <w:rFonts w:ascii="Times New Roman" w:hAnsi="Times New Roman"/>
        </w:rPr>
        <w:t xml:space="preserve"> </w:t>
      </w:r>
      <w:r w:rsidRPr="001B53A8">
        <w:rPr>
          <w:rFonts w:ascii="Times New Roman" w:hAnsi="Times New Roman"/>
        </w:rPr>
        <w:t>predmet</w:t>
      </w:r>
      <w:r w:rsidR="003E0284" w:rsidRPr="001B53A8">
        <w:rPr>
          <w:rFonts w:ascii="Times New Roman" w:hAnsi="Times New Roman"/>
        </w:rPr>
        <w:t xml:space="preserve"> </w:t>
      </w:r>
      <w:r w:rsidRPr="001B53A8">
        <w:rPr>
          <w:rFonts w:ascii="Times New Roman" w:hAnsi="Times New Roman"/>
        </w:rPr>
        <w:t>bio</w:t>
      </w:r>
      <w:r w:rsidR="003E0284" w:rsidRPr="001B53A8">
        <w:rPr>
          <w:rFonts w:ascii="Times New Roman" w:hAnsi="Times New Roman"/>
        </w:rPr>
        <w:t xml:space="preserve"> </w:t>
      </w:r>
      <w:r w:rsidRPr="001B53A8">
        <w:rPr>
          <w:rFonts w:ascii="Times New Roman" w:hAnsi="Times New Roman"/>
        </w:rPr>
        <w:t>prenos</w:t>
      </w:r>
      <w:r w:rsidR="003E0284" w:rsidRPr="001B53A8">
        <w:rPr>
          <w:rFonts w:ascii="Times New Roman" w:hAnsi="Times New Roman"/>
        </w:rPr>
        <w:t xml:space="preserve"> </w:t>
      </w:r>
      <w:r w:rsidRPr="001B53A8">
        <w:rPr>
          <w:rFonts w:ascii="Times New Roman" w:hAnsi="Times New Roman"/>
        </w:rPr>
        <w:t>hartija</w:t>
      </w:r>
      <w:r w:rsidR="003E0284" w:rsidRPr="001B53A8">
        <w:rPr>
          <w:rFonts w:ascii="Times New Roman" w:hAnsi="Times New Roman"/>
        </w:rPr>
        <w:t xml:space="preserve"> </w:t>
      </w:r>
      <w:r w:rsidRPr="001B53A8">
        <w:rPr>
          <w:rFonts w:ascii="Times New Roman" w:hAnsi="Times New Roman"/>
        </w:rPr>
        <w:t>od</w:t>
      </w:r>
      <w:r w:rsidR="003E0284" w:rsidRPr="001B53A8">
        <w:rPr>
          <w:rFonts w:ascii="Times New Roman" w:hAnsi="Times New Roman"/>
        </w:rPr>
        <w:t xml:space="preserve"> </w:t>
      </w:r>
      <w:r w:rsidRPr="001B53A8">
        <w:rPr>
          <w:rFonts w:ascii="Times New Roman" w:hAnsi="Times New Roman"/>
        </w:rPr>
        <w:t>vrijednosti</w:t>
      </w:r>
      <w:r w:rsidR="003E0284" w:rsidRPr="001B53A8">
        <w:rPr>
          <w:rFonts w:ascii="Times New Roman" w:hAnsi="Times New Roman"/>
        </w:rPr>
        <w:t xml:space="preserve"> </w:t>
      </w:r>
      <w:r w:rsidRPr="001B53A8">
        <w:rPr>
          <w:rFonts w:ascii="Times New Roman" w:hAnsi="Times New Roman"/>
        </w:rPr>
        <w:t>jednog</w:t>
      </w:r>
      <w:r w:rsidR="003E0284" w:rsidRPr="001B53A8">
        <w:rPr>
          <w:rFonts w:ascii="Times New Roman" w:hAnsi="Times New Roman"/>
        </w:rPr>
        <w:t xml:space="preserve"> </w:t>
      </w:r>
      <w:r w:rsidRPr="001B53A8">
        <w:rPr>
          <w:rFonts w:ascii="Times New Roman" w:hAnsi="Times New Roman"/>
        </w:rPr>
        <w:t>emitenta</w:t>
      </w:r>
      <w:r w:rsidR="000D7500" w:rsidRPr="001B53A8">
        <w:rPr>
          <w:rFonts w:ascii="Times New Roman" w:hAnsi="Times New Roman"/>
        </w:rPr>
        <w:t>.</w:t>
      </w:r>
    </w:p>
    <w:p w14:paraId="650F8A2B" w14:textId="20348537" w:rsidR="0035204D" w:rsidRDefault="0035204D" w:rsidP="003E0284">
      <w:pPr>
        <w:pStyle w:val="Style15"/>
        <w:widowControl/>
        <w:spacing w:before="120" w:after="120" w:line="240" w:lineRule="auto"/>
        <w:ind w:firstLine="567"/>
        <w:rPr>
          <w:rFonts w:ascii="Times New Roman" w:hAnsi="Times New Roman"/>
        </w:rPr>
      </w:pPr>
    </w:p>
    <w:p w14:paraId="19E7508C" w14:textId="5A09BBDC" w:rsidR="0035204D" w:rsidRDefault="0035204D" w:rsidP="003E0284">
      <w:pPr>
        <w:pStyle w:val="Style15"/>
        <w:widowControl/>
        <w:spacing w:before="120" w:after="120" w:line="240" w:lineRule="auto"/>
        <w:ind w:firstLine="567"/>
        <w:rPr>
          <w:rFonts w:ascii="Times New Roman" w:hAnsi="Times New Roman"/>
        </w:rPr>
      </w:pPr>
    </w:p>
    <w:p w14:paraId="4278DF2F" w14:textId="3216D602" w:rsidR="0035204D" w:rsidRDefault="0035204D" w:rsidP="003E0284">
      <w:pPr>
        <w:pStyle w:val="Style15"/>
        <w:widowControl/>
        <w:spacing w:before="120" w:after="120" w:line="240" w:lineRule="auto"/>
        <w:ind w:firstLine="567"/>
        <w:rPr>
          <w:rFonts w:ascii="Times New Roman" w:hAnsi="Times New Roman"/>
        </w:rPr>
      </w:pPr>
    </w:p>
    <w:p w14:paraId="311CCC97" w14:textId="77777777" w:rsidR="0035204D" w:rsidRPr="001B53A8" w:rsidRDefault="0035204D" w:rsidP="003E0284">
      <w:pPr>
        <w:pStyle w:val="Style15"/>
        <w:widowControl/>
        <w:spacing w:before="120" w:after="120" w:line="240" w:lineRule="auto"/>
        <w:ind w:firstLine="567"/>
        <w:rPr>
          <w:rFonts w:ascii="Times New Roman" w:hAnsi="Times New Roman"/>
        </w:rPr>
      </w:pPr>
    </w:p>
    <w:tbl>
      <w:tblPr>
        <w:tblStyle w:val="LightGrid-Accent14"/>
        <w:tblW w:w="4738" w:type="pct"/>
        <w:jc w:val="center"/>
        <w:tblLook w:val="0460" w:firstRow="1" w:lastRow="1" w:firstColumn="0" w:lastColumn="0" w:noHBand="0" w:noVBand="1"/>
      </w:tblPr>
      <w:tblGrid>
        <w:gridCol w:w="7214"/>
        <w:gridCol w:w="1586"/>
      </w:tblGrid>
      <w:tr w:rsidR="006B6E0C" w:rsidRPr="001B53A8" w14:paraId="59055165" w14:textId="77777777" w:rsidTr="00EF2179">
        <w:trPr>
          <w:cnfStyle w:val="100000000000" w:firstRow="1" w:lastRow="0" w:firstColumn="0" w:lastColumn="0" w:oddVBand="0" w:evenVBand="0" w:oddHBand="0" w:evenHBand="0" w:firstRowFirstColumn="0" w:firstRowLastColumn="0" w:lastRowFirstColumn="0" w:lastRowLastColumn="0"/>
          <w:jc w:val="center"/>
        </w:trPr>
        <w:tc>
          <w:tcPr>
            <w:tcW w:w="4099" w:type="pct"/>
          </w:tcPr>
          <w:p w14:paraId="0DC74E11" w14:textId="1D99EB50" w:rsidR="006B6E0C" w:rsidRPr="001B53A8" w:rsidRDefault="00003F34" w:rsidP="006B6E0C">
            <w:pPr>
              <w:spacing w:after="0" w:line="240" w:lineRule="auto"/>
              <w:ind w:firstLine="0"/>
              <w:rPr>
                <w:rFonts w:ascii="Times New Roman" w:hAnsi="Times New Roman" w:cs="Times New Roman"/>
                <w:sz w:val="20"/>
                <w:szCs w:val="20"/>
              </w:rPr>
            </w:pPr>
            <w:r w:rsidRPr="001B53A8">
              <w:rPr>
                <w:rFonts w:ascii="Times New Roman" w:hAnsi="Times New Roman" w:cs="Times New Roman"/>
                <w:sz w:val="20"/>
                <w:szCs w:val="20"/>
              </w:rPr>
              <w:t>Predmet</w:t>
            </w:r>
            <w:r w:rsidR="006B6E0C" w:rsidRPr="001B53A8">
              <w:rPr>
                <w:rFonts w:ascii="Times New Roman" w:hAnsi="Times New Roman" w:cs="Times New Roman"/>
                <w:sz w:val="20"/>
                <w:szCs w:val="20"/>
              </w:rPr>
              <w:t xml:space="preserve"> </w:t>
            </w:r>
            <w:r w:rsidRPr="001B53A8">
              <w:rPr>
                <w:rFonts w:ascii="Times New Roman" w:hAnsi="Times New Roman" w:cs="Times New Roman"/>
                <w:sz w:val="20"/>
                <w:szCs w:val="20"/>
              </w:rPr>
              <w:t>nadzora</w:t>
            </w:r>
            <w:r w:rsidR="006B6E0C" w:rsidRPr="001B53A8">
              <w:rPr>
                <w:rFonts w:ascii="Times New Roman" w:hAnsi="Times New Roman" w:cs="Times New Roman"/>
                <w:sz w:val="20"/>
                <w:szCs w:val="20"/>
              </w:rPr>
              <w:t>/</w:t>
            </w:r>
            <w:r w:rsidRPr="001B53A8">
              <w:rPr>
                <w:rFonts w:ascii="Times New Roman" w:hAnsi="Times New Roman" w:cs="Times New Roman"/>
                <w:sz w:val="20"/>
                <w:szCs w:val="20"/>
              </w:rPr>
              <w:t>učesnici</w:t>
            </w:r>
            <w:r w:rsidR="006B6E0C" w:rsidRPr="001B53A8">
              <w:rPr>
                <w:rFonts w:ascii="Times New Roman" w:hAnsi="Times New Roman" w:cs="Times New Roman"/>
                <w:sz w:val="20"/>
                <w:szCs w:val="20"/>
              </w:rPr>
              <w:t xml:space="preserve"> </w:t>
            </w:r>
            <w:r w:rsidRPr="001B53A8">
              <w:rPr>
                <w:rFonts w:ascii="Times New Roman" w:hAnsi="Times New Roman" w:cs="Times New Roman"/>
                <w:sz w:val="20"/>
                <w:szCs w:val="20"/>
              </w:rPr>
              <w:t>na</w:t>
            </w:r>
            <w:r w:rsidR="006B6E0C" w:rsidRPr="001B53A8">
              <w:rPr>
                <w:rFonts w:ascii="Times New Roman" w:hAnsi="Times New Roman" w:cs="Times New Roman"/>
                <w:sz w:val="20"/>
                <w:szCs w:val="20"/>
              </w:rPr>
              <w:t xml:space="preserve"> </w:t>
            </w:r>
            <w:r w:rsidRPr="001B53A8">
              <w:rPr>
                <w:rFonts w:ascii="Times New Roman" w:hAnsi="Times New Roman" w:cs="Times New Roman"/>
                <w:sz w:val="20"/>
                <w:szCs w:val="20"/>
              </w:rPr>
              <w:t>tržištu</w:t>
            </w:r>
          </w:p>
        </w:tc>
        <w:tc>
          <w:tcPr>
            <w:tcW w:w="901" w:type="pct"/>
          </w:tcPr>
          <w:p w14:paraId="320A87B7" w14:textId="31014D61" w:rsidR="006B6E0C" w:rsidRPr="001B53A8" w:rsidRDefault="00003F34" w:rsidP="006B6E0C">
            <w:pPr>
              <w:spacing w:after="0" w:line="240" w:lineRule="auto"/>
              <w:ind w:firstLine="0"/>
              <w:jc w:val="center"/>
              <w:rPr>
                <w:rFonts w:ascii="Times New Roman" w:hAnsi="Times New Roman" w:cs="Times New Roman"/>
                <w:sz w:val="20"/>
                <w:szCs w:val="20"/>
              </w:rPr>
            </w:pPr>
            <w:r w:rsidRPr="001B53A8">
              <w:rPr>
                <w:rFonts w:ascii="Times New Roman" w:hAnsi="Times New Roman" w:cs="Times New Roman"/>
                <w:sz w:val="20"/>
                <w:szCs w:val="20"/>
              </w:rPr>
              <w:t>Broj</w:t>
            </w:r>
            <w:r w:rsidR="006B6E0C" w:rsidRPr="001B53A8">
              <w:rPr>
                <w:rFonts w:ascii="Times New Roman" w:hAnsi="Times New Roman" w:cs="Times New Roman"/>
                <w:sz w:val="20"/>
                <w:szCs w:val="20"/>
              </w:rPr>
              <w:t xml:space="preserve"> </w:t>
            </w:r>
            <w:r w:rsidRPr="001B53A8">
              <w:rPr>
                <w:rFonts w:ascii="Times New Roman" w:hAnsi="Times New Roman" w:cs="Times New Roman"/>
                <w:sz w:val="20"/>
                <w:szCs w:val="20"/>
              </w:rPr>
              <w:t>nadzora</w:t>
            </w:r>
          </w:p>
        </w:tc>
      </w:tr>
      <w:tr w:rsidR="003E0284" w:rsidRPr="001B53A8" w14:paraId="1CB23268" w14:textId="77777777" w:rsidTr="00EF2179">
        <w:trPr>
          <w:cnfStyle w:val="000000100000" w:firstRow="0" w:lastRow="0" w:firstColumn="0" w:lastColumn="0" w:oddVBand="0" w:evenVBand="0" w:oddHBand="1" w:evenHBand="0" w:firstRowFirstColumn="0" w:firstRowLastColumn="0" w:lastRowFirstColumn="0" w:lastRowLastColumn="0"/>
          <w:trHeight w:val="131"/>
          <w:jc w:val="center"/>
        </w:trPr>
        <w:tc>
          <w:tcPr>
            <w:tcW w:w="4099" w:type="pct"/>
          </w:tcPr>
          <w:p w14:paraId="3C106855" w14:textId="4A0A2F5C" w:rsidR="003E0284" w:rsidRPr="001B53A8" w:rsidRDefault="00003F34" w:rsidP="003E0284">
            <w:pPr>
              <w:spacing w:after="0" w:line="240" w:lineRule="auto"/>
              <w:ind w:firstLine="0"/>
              <w:rPr>
                <w:rFonts w:ascii="Times New Roman" w:hAnsi="Times New Roman" w:cs="Times New Roman"/>
                <w:sz w:val="20"/>
                <w:szCs w:val="20"/>
              </w:rPr>
            </w:pPr>
            <w:r w:rsidRPr="001B53A8">
              <w:rPr>
                <w:rFonts w:ascii="Times New Roman" w:hAnsi="Times New Roman" w:cs="Times New Roman"/>
                <w:sz w:val="20"/>
                <w:szCs w:val="20"/>
              </w:rPr>
              <w:t>Trgovanje</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hartijama</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od</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vrijednosti</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emitenata</w:t>
            </w:r>
            <w:r w:rsidR="003E0284" w:rsidRPr="001B53A8">
              <w:rPr>
                <w:rFonts w:ascii="Times New Roman" w:hAnsi="Times New Roman" w:cs="Times New Roman"/>
                <w:sz w:val="20"/>
                <w:szCs w:val="20"/>
              </w:rPr>
              <w:t xml:space="preserve"> </w:t>
            </w:r>
          </w:p>
        </w:tc>
        <w:tc>
          <w:tcPr>
            <w:tcW w:w="901" w:type="pct"/>
          </w:tcPr>
          <w:p w14:paraId="5C7F5A25" w14:textId="3131AE6E" w:rsidR="003E0284" w:rsidRPr="001B53A8" w:rsidRDefault="003E0284" w:rsidP="003E0284">
            <w:pPr>
              <w:tabs>
                <w:tab w:val="decimal" w:pos="816"/>
              </w:tabs>
              <w:spacing w:after="0" w:line="240" w:lineRule="auto"/>
              <w:ind w:firstLine="0"/>
              <w:jc w:val="left"/>
              <w:rPr>
                <w:rFonts w:ascii="Times New Roman" w:eastAsiaTheme="majorEastAsia" w:hAnsi="Times New Roman" w:cs="Times New Roman"/>
                <w:sz w:val="20"/>
                <w:szCs w:val="20"/>
              </w:rPr>
            </w:pPr>
            <w:r w:rsidRPr="001B53A8">
              <w:rPr>
                <w:rFonts w:ascii="Times New Roman" w:hAnsi="Times New Roman" w:cs="Times New Roman"/>
                <w:sz w:val="20"/>
                <w:szCs w:val="20"/>
              </w:rPr>
              <w:t>1</w:t>
            </w:r>
          </w:p>
        </w:tc>
      </w:tr>
      <w:tr w:rsidR="003E0284" w:rsidRPr="001B53A8" w14:paraId="4219597C" w14:textId="77777777" w:rsidTr="00EF2179">
        <w:trPr>
          <w:cnfStyle w:val="000000010000" w:firstRow="0" w:lastRow="0" w:firstColumn="0" w:lastColumn="0" w:oddVBand="0" w:evenVBand="0" w:oddHBand="0" w:evenHBand="1" w:firstRowFirstColumn="0" w:firstRowLastColumn="0" w:lastRowFirstColumn="0" w:lastRowLastColumn="0"/>
          <w:jc w:val="center"/>
        </w:trPr>
        <w:tc>
          <w:tcPr>
            <w:tcW w:w="4099" w:type="pct"/>
          </w:tcPr>
          <w:p w14:paraId="7B448802" w14:textId="1C7C9796" w:rsidR="003E0284" w:rsidRPr="001B53A8" w:rsidRDefault="00003F34" w:rsidP="003E0284">
            <w:pPr>
              <w:spacing w:after="0" w:line="240" w:lineRule="auto"/>
              <w:ind w:firstLine="0"/>
              <w:rPr>
                <w:rFonts w:ascii="Times New Roman" w:hAnsi="Times New Roman" w:cs="Times New Roman"/>
                <w:sz w:val="20"/>
                <w:szCs w:val="20"/>
              </w:rPr>
            </w:pPr>
            <w:r w:rsidRPr="001B53A8">
              <w:rPr>
                <w:rFonts w:ascii="Times New Roman" w:hAnsi="Times New Roman" w:cs="Times New Roman"/>
                <w:sz w:val="20"/>
                <w:szCs w:val="20"/>
              </w:rPr>
              <w:t>Analiza</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mjesečnog</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trgovanja</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i</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stanja</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na</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Banjalučkoj</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berzi</w:t>
            </w:r>
          </w:p>
        </w:tc>
        <w:tc>
          <w:tcPr>
            <w:tcW w:w="901" w:type="pct"/>
          </w:tcPr>
          <w:p w14:paraId="0F22B8D4" w14:textId="5CFCCC0F" w:rsidR="003E0284" w:rsidRPr="001B53A8" w:rsidRDefault="003E0284" w:rsidP="003E0284">
            <w:pPr>
              <w:tabs>
                <w:tab w:val="decimal" w:pos="816"/>
              </w:tabs>
              <w:spacing w:after="0" w:line="240" w:lineRule="auto"/>
              <w:ind w:firstLine="0"/>
              <w:jc w:val="left"/>
              <w:rPr>
                <w:rFonts w:ascii="Times New Roman" w:eastAsiaTheme="majorEastAsia" w:hAnsi="Times New Roman" w:cs="Times New Roman"/>
                <w:sz w:val="20"/>
                <w:szCs w:val="20"/>
              </w:rPr>
            </w:pPr>
            <w:r w:rsidRPr="001B53A8">
              <w:rPr>
                <w:rFonts w:ascii="Times New Roman" w:hAnsi="Times New Roman" w:cs="Times New Roman"/>
                <w:sz w:val="20"/>
                <w:szCs w:val="20"/>
              </w:rPr>
              <w:t>12</w:t>
            </w:r>
          </w:p>
        </w:tc>
      </w:tr>
      <w:tr w:rsidR="003E0284" w:rsidRPr="001B53A8" w14:paraId="332DD665" w14:textId="77777777" w:rsidTr="00EF2179">
        <w:trPr>
          <w:cnfStyle w:val="000000100000" w:firstRow="0" w:lastRow="0" w:firstColumn="0" w:lastColumn="0" w:oddVBand="0" w:evenVBand="0" w:oddHBand="1" w:evenHBand="0" w:firstRowFirstColumn="0" w:firstRowLastColumn="0" w:lastRowFirstColumn="0" w:lastRowLastColumn="0"/>
          <w:jc w:val="center"/>
        </w:trPr>
        <w:tc>
          <w:tcPr>
            <w:tcW w:w="4099" w:type="pct"/>
          </w:tcPr>
          <w:p w14:paraId="618AB3ED" w14:textId="2EC16745" w:rsidR="003E0284" w:rsidRPr="001B53A8" w:rsidRDefault="00003F34" w:rsidP="003E0284">
            <w:pPr>
              <w:spacing w:after="0" w:line="240" w:lineRule="auto"/>
              <w:ind w:firstLine="0"/>
              <w:rPr>
                <w:rFonts w:ascii="Times New Roman" w:hAnsi="Times New Roman" w:cs="Times New Roman"/>
                <w:sz w:val="20"/>
                <w:szCs w:val="20"/>
              </w:rPr>
            </w:pPr>
            <w:r w:rsidRPr="001B53A8">
              <w:rPr>
                <w:rFonts w:ascii="Times New Roman" w:hAnsi="Times New Roman" w:cs="Times New Roman"/>
                <w:sz w:val="20"/>
                <w:szCs w:val="20"/>
              </w:rPr>
              <w:t>Berzanski</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posrednici</w:t>
            </w:r>
          </w:p>
        </w:tc>
        <w:tc>
          <w:tcPr>
            <w:tcW w:w="901" w:type="pct"/>
          </w:tcPr>
          <w:p w14:paraId="212568AF" w14:textId="1958A4B9" w:rsidR="003E0284" w:rsidRPr="001B53A8" w:rsidDel="00AC78CA" w:rsidRDefault="003E0284" w:rsidP="003E0284">
            <w:pPr>
              <w:tabs>
                <w:tab w:val="decimal" w:pos="816"/>
              </w:tabs>
              <w:spacing w:after="0" w:line="240" w:lineRule="auto"/>
              <w:ind w:firstLine="0"/>
              <w:jc w:val="left"/>
              <w:rPr>
                <w:rFonts w:ascii="Times New Roman" w:eastAsiaTheme="majorEastAsia" w:hAnsi="Times New Roman" w:cs="Times New Roman"/>
                <w:sz w:val="20"/>
                <w:szCs w:val="20"/>
              </w:rPr>
            </w:pPr>
            <w:r w:rsidRPr="001B53A8">
              <w:rPr>
                <w:rFonts w:ascii="Times New Roman" w:hAnsi="Times New Roman" w:cs="Times New Roman"/>
                <w:sz w:val="20"/>
                <w:szCs w:val="20"/>
              </w:rPr>
              <w:t>-</w:t>
            </w:r>
          </w:p>
        </w:tc>
      </w:tr>
      <w:tr w:rsidR="003E0284" w:rsidRPr="001B53A8" w14:paraId="1CE25717" w14:textId="77777777" w:rsidTr="00EF2179">
        <w:trPr>
          <w:cnfStyle w:val="000000010000" w:firstRow="0" w:lastRow="0" w:firstColumn="0" w:lastColumn="0" w:oddVBand="0" w:evenVBand="0" w:oddHBand="0" w:evenHBand="1" w:firstRowFirstColumn="0" w:firstRowLastColumn="0" w:lastRowFirstColumn="0" w:lastRowLastColumn="0"/>
          <w:jc w:val="center"/>
        </w:trPr>
        <w:tc>
          <w:tcPr>
            <w:tcW w:w="4099" w:type="pct"/>
          </w:tcPr>
          <w:p w14:paraId="0086ABD9" w14:textId="54F63742" w:rsidR="003E0284" w:rsidRPr="001B53A8" w:rsidRDefault="00003F34" w:rsidP="003E0284">
            <w:pPr>
              <w:spacing w:after="0" w:line="240" w:lineRule="auto"/>
              <w:ind w:firstLine="0"/>
              <w:rPr>
                <w:rFonts w:ascii="Times New Roman" w:hAnsi="Times New Roman" w:cs="Times New Roman"/>
                <w:sz w:val="20"/>
                <w:szCs w:val="20"/>
              </w:rPr>
            </w:pPr>
            <w:r w:rsidRPr="001B53A8">
              <w:rPr>
                <w:rFonts w:ascii="Times New Roman" w:hAnsi="Times New Roman" w:cs="Times New Roman"/>
                <w:sz w:val="20"/>
                <w:szCs w:val="20"/>
              </w:rPr>
              <w:t>Društva</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za</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upravlјanje</w:t>
            </w:r>
          </w:p>
        </w:tc>
        <w:tc>
          <w:tcPr>
            <w:tcW w:w="901" w:type="pct"/>
          </w:tcPr>
          <w:p w14:paraId="497B5E6D" w14:textId="30DF3862" w:rsidR="003E0284" w:rsidRPr="001B53A8" w:rsidRDefault="003E0284" w:rsidP="003E0284">
            <w:pPr>
              <w:tabs>
                <w:tab w:val="decimal" w:pos="816"/>
              </w:tabs>
              <w:spacing w:after="0" w:line="240" w:lineRule="auto"/>
              <w:ind w:firstLine="0"/>
              <w:jc w:val="left"/>
              <w:rPr>
                <w:rFonts w:ascii="Times New Roman" w:eastAsiaTheme="majorEastAsia" w:hAnsi="Times New Roman" w:cs="Times New Roman"/>
                <w:sz w:val="20"/>
                <w:szCs w:val="20"/>
              </w:rPr>
            </w:pPr>
            <w:r w:rsidRPr="001B53A8">
              <w:rPr>
                <w:rFonts w:ascii="Times New Roman" w:hAnsi="Times New Roman" w:cs="Times New Roman"/>
                <w:sz w:val="20"/>
                <w:szCs w:val="20"/>
              </w:rPr>
              <w:t>1</w:t>
            </w:r>
          </w:p>
        </w:tc>
      </w:tr>
      <w:tr w:rsidR="003E0284" w:rsidRPr="001B53A8" w14:paraId="154C9486" w14:textId="77777777" w:rsidTr="00EF2179">
        <w:trPr>
          <w:cnfStyle w:val="000000100000" w:firstRow="0" w:lastRow="0" w:firstColumn="0" w:lastColumn="0" w:oddVBand="0" w:evenVBand="0" w:oddHBand="1" w:evenHBand="0" w:firstRowFirstColumn="0" w:firstRowLastColumn="0" w:lastRowFirstColumn="0" w:lastRowLastColumn="0"/>
          <w:jc w:val="center"/>
        </w:trPr>
        <w:tc>
          <w:tcPr>
            <w:tcW w:w="4099" w:type="pct"/>
          </w:tcPr>
          <w:p w14:paraId="3233C3FB" w14:textId="63B65AD5" w:rsidR="003E0284" w:rsidRPr="001B53A8" w:rsidRDefault="00003F34" w:rsidP="003E0284">
            <w:pPr>
              <w:spacing w:after="0" w:line="240" w:lineRule="auto"/>
              <w:ind w:firstLine="0"/>
              <w:rPr>
                <w:rFonts w:ascii="Times New Roman" w:hAnsi="Times New Roman" w:cs="Times New Roman"/>
                <w:sz w:val="20"/>
                <w:szCs w:val="20"/>
              </w:rPr>
            </w:pPr>
            <w:r w:rsidRPr="001B53A8">
              <w:rPr>
                <w:rFonts w:ascii="Times New Roman" w:hAnsi="Times New Roman" w:cs="Times New Roman"/>
                <w:sz w:val="20"/>
                <w:szCs w:val="20"/>
              </w:rPr>
              <w:t>Poslovanje</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ovlašćenih</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učesnika</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na</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tržištu</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hartija</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od</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vrijednosti</w:t>
            </w:r>
          </w:p>
        </w:tc>
        <w:tc>
          <w:tcPr>
            <w:tcW w:w="901" w:type="pct"/>
          </w:tcPr>
          <w:p w14:paraId="06F2379F" w14:textId="14B42A09" w:rsidR="003E0284" w:rsidRPr="001B53A8" w:rsidRDefault="003E0284" w:rsidP="003E0284">
            <w:pPr>
              <w:tabs>
                <w:tab w:val="decimal" w:pos="816"/>
              </w:tabs>
              <w:spacing w:after="0" w:line="240" w:lineRule="auto"/>
              <w:ind w:firstLine="0"/>
              <w:jc w:val="left"/>
              <w:rPr>
                <w:rFonts w:ascii="Times New Roman" w:eastAsiaTheme="majorEastAsia" w:hAnsi="Times New Roman" w:cs="Times New Roman"/>
                <w:sz w:val="20"/>
                <w:szCs w:val="20"/>
              </w:rPr>
            </w:pPr>
            <w:r w:rsidRPr="001B53A8">
              <w:rPr>
                <w:rFonts w:ascii="Times New Roman" w:hAnsi="Times New Roman" w:cs="Times New Roman"/>
                <w:sz w:val="20"/>
                <w:szCs w:val="20"/>
              </w:rPr>
              <w:t>1</w:t>
            </w:r>
          </w:p>
        </w:tc>
      </w:tr>
      <w:tr w:rsidR="003E0284" w:rsidRPr="001B53A8" w14:paraId="5F6EE044" w14:textId="77777777" w:rsidTr="00EF2179">
        <w:trPr>
          <w:cnfStyle w:val="000000010000" w:firstRow="0" w:lastRow="0" w:firstColumn="0" w:lastColumn="0" w:oddVBand="0" w:evenVBand="0" w:oddHBand="0" w:evenHBand="1" w:firstRowFirstColumn="0" w:firstRowLastColumn="0" w:lastRowFirstColumn="0" w:lastRowLastColumn="0"/>
          <w:jc w:val="center"/>
        </w:trPr>
        <w:tc>
          <w:tcPr>
            <w:tcW w:w="4099" w:type="pct"/>
          </w:tcPr>
          <w:p w14:paraId="35EA9047" w14:textId="5EA51129" w:rsidR="003E0284" w:rsidRPr="001B53A8" w:rsidRDefault="00003F34" w:rsidP="003E0284">
            <w:pPr>
              <w:spacing w:after="0" w:line="240" w:lineRule="auto"/>
              <w:ind w:firstLine="0"/>
              <w:rPr>
                <w:rFonts w:ascii="Times New Roman" w:hAnsi="Times New Roman" w:cs="Times New Roman"/>
                <w:sz w:val="20"/>
                <w:szCs w:val="20"/>
              </w:rPr>
            </w:pPr>
            <w:r w:rsidRPr="001B53A8">
              <w:rPr>
                <w:rFonts w:ascii="Times New Roman" w:hAnsi="Times New Roman" w:cs="Times New Roman"/>
                <w:sz w:val="20"/>
                <w:szCs w:val="20"/>
              </w:rPr>
              <w:t>Kastodi</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banke</w:t>
            </w:r>
            <w:r w:rsidR="003E0284" w:rsidRPr="001B53A8">
              <w:rPr>
                <w:rFonts w:ascii="Times New Roman" w:hAnsi="Times New Roman" w:cs="Times New Roman"/>
                <w:sz w:val="20"/>
                <w:szCs w:val="20"/>
              </w:rPr>
              <w:t xml:space="preserve"> </w:t>
            </w:r>
          </w:p>
        </w:tc>
        <w:tc>
          <w:tcPr>
            <w:tcW w:w="901" w:type="pct"/>
          </w:tcPr>
          <w:p w14:paraId="02ADC518" w14:textId="79C044B4" w:rsidR="003E0284" w:rsidRPr="001B53A8" w:rsidRDefault="003E0284" w:rsidP="003E0284">
            <w:pPr>
              <w:tabs>
                <w:tab w:val="decimal" w:pos="816"/>
              </w:tabs>
              <w:spacing w:after="0" w:line="240" w:lineRule="auto"/>
              <w:ind w:firstLine="0"/>
              <w:jc w:val="left"/>
              <w:rPr>
                <w:rFonts w:ascii="Times New Roman" w:eastAsiaTheme="majorEastAsia" w:hAnsi="Times New Roman" w:cs="Times New Roman"/>
                <w:sz w:val="20"/>
                <w:szCs w:val="20"/>
              </w:rPr>
            </w:pPr>
            <w:r w:rsidRPr="001B53A8">
              <w:rPr>
                <w:rFonts w:ascii="Times New Roman" w:hAnsi="Times New Roman" w:cs="Times New Roman"/>
                <w:sz w:val="20"/>
                <w:szCs w:val="20"/>
              </w:rPr>
              <w:t>3</w:t>
            </w:r>
          </w:p>
        </w:tc>
      </w:tr>
      <w:tr w:rsidR="003E0284" w:rsidRPr="001B53A8" w14:paraId="0307EE31" w14:textId="77777777" w:rsidTr="00EF2179">
        <w:trPr>
          <w:cnfStyle w:val="000000100000" w:firstRow="0" w:lastRow="0" w:firstColumn="0" w:lastColumn="0" w:oddVBand="0" w:evenVBand="0" w:oddHBand="1" w:evenHBand="0" w:firstRowFirstColumn="0" w:firstRowLastColumn="0" w:lastRowFirstColumn="0" w:lastRowLastColumn="0"/>
          <w:jc w:val="center"/>
        </w:trPr>
        <w:tc>
          <w:tcPr>
            <w:tcW w:w="4099" w:type="pct"/>
          </w:tcPr>
          <w:p w14:paraId="3B9E7389" w14:textId="068516A4" w:rsidR="003E0284" w:rsidRPr="001B53A8" w:rsidRDefault="00003F34" w:rsidP="003E0284">
            <w:pPr>
              <w:spacing w:after="0" w:line="240" w:lineRule="auto"/>
              <w:ind w:firstLine="0"/>
              <w:rPr>
                <w:rFonts w:ascii="Times New Roman" w:hAnsi="Times New Roman" w:cs="Times New Roman"/>
                <w:sz w:val="20"/>
                <w:szCs w:val="20"/>
              </w:rPr>
            </w:pPr>
            <w:r w:rsidRPr="001B53A8">
              <w:rPr>
                <w:rFonts w:ascii="Times New Roman" w:hAnsi="Times New Roman" w:cs="Times New Roman"/>
                <w:sz w:val="20"/>
                <w:szCs w:val="20"/>
              </w:rPr>
              <w:t>Banke</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depozitari</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uklјučujući</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Centralni</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registar</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kao</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depozitara</w:t>
            </w:r>
            <w:r w:rsidR="003E0284" w:rsidRPr="001B53A8">
              <w:rPr>
                <w:rFonts w:ascii="Times New Roman" w:hAnsi="Times New Roman" w:cs="Times New Roman"/>
                <w:sz w:val="20"/>
                <w:szCs w:val="20"/>
              </w:rPr>
              <w:t>)</w:t>
            </w:r>
          </w:p>
        </w:tc>
        <w:tc>
          <w:tcPr>
            <w:tcW w:w="901" w:type="pct"/>
          </w:tcPr>
          <w:p w14:paraId="48C32FA7" w14:textId="2518C2E6" w:rsidR="003E0284" w:rsidRPr="001B53A8" w:rsidRDefault="003E0284" w:rsidP="003E0284">
            <w:pPr>
              <w:tabs>
                <w:tab w:val="decimal" w:pos="816"/>
              </w:tabs>
              <w:spacing w:after="0" w:line="240" w:lineRule="auto"/>
              <w:ind w:firstLine="0"/>
              <w:jc w:val="left"/>
              <w:rPr>
                <w:rFonts w:ascii="Times New Roman" w:eastAsiaTheme="majorEastAsia" w:hAnsi="Times New Roman" w:cs="Times New Roman"/>
                <w:sz w:val="20"/>
                <w:szCs w:val="20"/>
              </w:rPr>
            </w:pPr>
            <w:r w:rsidRPr="001B53A8">
              <w:rPr>
                <w:rFonts w:ascii="Times New Roman" w:hAnsi="Times New Roman" w:cs="Times New Roman"/>
                <w:sz w:val="20"/>
                <w:szCs w:val="20"/>
              </w:rPr>
              <w:t>1</w:t>
            </w:r>
          </w:p>
        </w:tc>
      </w:tr>
      <w:tr w:rsidR="003E0284" w:rsidRPr="001B53A8" w14:paraId="7D8E65BE" w14:textId="77777777" w:rsidTr="00EF2179">
        <w:trPr>
          <w:cnfStyle w:val="000000010000" w:firstRow="0" w:lastRow="0" w:firstColumn="0" w:lastColumn="0" w:oddVBand="0" w:evenVBand="0" w:oddHBand="0" w:evenHBand="1" w:firstRowFirstColumn="0" w:firstRowLastColumn="0" w:lastRowFirstColumn="0" w:lastRowLastColumn="0"/>
          <w:jc w:val="center"/>
        </w:trPr>
        <w:tc>
          <w:tcPr>
            <w:tcW w:w="4099" w:type="pct"/>
          </w:tcPr>
          <w:p w14:paraId="62497D14" w14:textId="7841C786" w:rsidR="003E0284" w:rsidRPr="001B53A8" w:rsidRDefault="00003F34" w:rsidP="003E0284">
            <w:pPr>
              <w:spacing w:after="0" w:line="240" w:lineRule="auto"/>
              <w:ind w:firstLine="0"/>
              <w:rPr>
                <w:rFonts w:ascii="Times New Roman" w:hAnsi="Times New Roman" w:cs="Times New Roman"/>
                <w:sz w:val="20"/>
                <w:szCs w:val="20"/>
              </w:rPr>
            </w:pPr>
            <w:r w:rsidRPr="001B53A8">
              <w:rPr>
                <w:rFonts w:ascii="Times New Roman" w:hAnsi="Times New Roman" w:cs="Times New Roman"/>
                <w:sz w:val="20"/>
                <w:szCs w:val="20"/>
              </w:rPr>
              <w:t>Centralni</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registar</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hartija</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od</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vrijednosti</w:t>
            </w:r>
          </w:p>
        </w:tc>
        <w:tc>
          <w:tcPr>
            <w:tcW w:w="901" w:type="pct"/>
          </w:tcPr>
          <w:p w14:paraId="385059B6" w14:textId="6F4E01C9" w:rsidR="003E0284" w:rsidRPr="001B53A8" w:rsidRDefault="003E0284" w:rsidP="003E0284">
            <w:pPr>
              <w:tabs>
                <w:tab w:val="decimal" w:pos="816"/>
              </w:tabs>
              <w:spacing w:after="0" w:line="240" w:lineRule="auto"/>
              <w:ind w:firstLine="0"/>
              <w:jc w:val="left"/>
              <w:rPr>
                <w:rFonts w:ascii="Times New Roman" w:eastAsiaTheme="majorEastAsia" w:hAnsi="Times New Roman" w:cs="Times New Roman"/>
                <w:sz w:val="20"/>
                <w:szCs w:val="20"/>
              </w:rPr>
            </w:pPr>
            <w:r w:rsidRPr="001B53A8">
              <w:rPr>
                <w:rFonts w:ascii="Times New Roman" w:hAnsi="Times New Roman" w:cs="Times New Roman"/>
                <w:sz w:val="20"/>
                <w:szCs w:val="20"/>
              </w:rPr>
              <w:t>2</w:t>
            </w:r>
          </w:p>
        </w:tc>
      </w:tr>
      <w:tr w:rsidR="003E0284" w:rsidRPr="001B53A8" w14:paraId="2CB23729" w14:textId="77777777" w:rsidTr="00EF2179">
        <w:trPr>
          <w:cnfStyle w:val="000000100000" w:firstRow="0" w:lastRow="0" w:firstColumn="0" w:lastColumn="0" w:oddVBand="0" w:evenVBand="0" w:oddHBand="1" w:evenHBand="0" w:firstRowFirstColumn="0" w:firstRowLastColumn="0" w:lastRowFirstColumn="0" w:lastRowLastColumn="0"/>
          <w:jc w:val="center"/>
        </w:trPr>
        <w:tc>
          <w:tcPr>
            <w:tcW w:w="4099" w:type="pct"/>
          </w:tcPr>
          <w:p w14:paraId="7E1DE780" w14:textId="4B10AE0D" w:rsidR="003E0284" w:rsidRPr="001B53A8" w:rsidRDefault="00003F34" w:rsidP="003E0284">
            <w:pPr>
              <w:spacing w:after="0" w:line="240" w:lineRule="auto"/>
              <w:ind w:firstLine="0"/>
              <w:rPr>
                <w:rFonts w:ascii="Times New Roman" w:hAnsi="Times New Roman" w:cs="Times New Roman"/>
                <w:sz w:val="20"/>
                <w:szCs w:val="20"/>
              </w:rPr>
            </w:pPr>
            <w:r w:rsidRPr="001B53A8">
              <w:rPr>
                <w:rFonts w:ascii="Times New Roman" w:hAnsi="Times New Roman" w:cs="Times New Roman"/>
                <w:sz w:val="20"/>
                <w:szCs w:val="20"/>
              </w:rPr>
              <w:t>Banjalučka</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berza</w:t>
            </w:r>
          </w:p>
        </w:tc>
        <w:tc>
          <w:tcPr>
            <w:tcW w:w="901" w:type="pct"/>
          </w:tcPr>
          <w:p w14:paraId="5C470C5D" w14:textId="1A584841" w:rsidR="003E0284" w:rsidRPr="001B53A8" w:rsidRDefault="003E0284" w:rsidP="003E0284">
            <w:pPr>
              <w:tabs>
                <w:tab w:val="decimal" w:pos="816"/>
              </w:tabs>
              <w:spacing w:after="0" w:line="240" w:lineRule="auto"/>
              <w:ind w:firstLine="0"/>
              <w:jc w:val="left"/>
              <w:rPr>
                <w:rFonts w:ascii="Times New Roman" w:hAnsi="Times New Roman" w:cs="Times New Roman"/>
                <w:sz w:val="20"/>
                <w:szCs w:val="20"/>
              </w:rPr>
            </w:pPr>
            <w:r w:rsidRPr="001B53A8">
              <w:rPr>
                <w:rFonts w:ascii="Times New Roman" w:hAnsi="Times New Roman" w:cs="Times New Roman"/>
                <w:sz w:val="20"/>
                <w:szCs w:val="20"/>
              </w:rPr>
              <w:t>-</w:t>
            </w:r>
          </w:p>
        </w:tc>
      </w:tr>
      <w:tr w:rsidR="003E0284" w:rsidRPr="001B53A8" w14:paraId="722931FA" w14:textId="77777777" w:rsidTr="00EF2179">
        <w:trPr>
          <w:cnfStyle w:val="000000010000" w:firstRow="0" w:lastRow="0" w:firstColumn="0" w:lastColumn="0" w:oddVBand="0" w:evenVBand="0" w:oddHBand="0" w:evenHBand="1" w:firstRowFirstColumn="0" w:firstRowLastColumn="0" w:lastRowFirstColumn="0" w:lastRowLastColumn="0"/>
          <w:jc w:val="center"/>
        </w:trPr>
        <w:tc>
          <w:tcPr>
            <w:tcW w:w="4099" w:type="pct"/>
          </w:tcPr>
          <w:p w14:paraId="69AE472C" w14:textId="3390EA59" w:rsidR="003E0284" w:rsidRPr="001B53A8" w:rsidRDefault="00003F34" w:rsidP="003E0284">
            <w:pPr>
              <w:spacing w:after="0" w:line="240" w:lineRule="auto"/>
              <w:ind w:firstLine="0"/>
              <w:rPr>
                <w:rFonts w:ascii="Times New Roman" w:hAnsi="Times New Roman" w:cs="Times New Roman"/>
                <w:sz w:val="20"/>
                <w:szCs w:val="20"/>
              </w:rPr>
            </w:pPr>
            <w:r w:rsidRPr="001B53A8">
              <w:rPr>
                <w:rFonts w:ascii="Times New Roman" w:hAnsi="Times New Roman" w:cs="Times New Roman"/>
                <w:sz w:val="20"/>
                <w:szCs w:val="20"/>
              </w:rPr>
              <w:t>Društva</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za</w:t>
            </w:r>
            <w:r w:rsidR="003E0284" w:rsidRPr="001B53A8">
              <w:rPr>
                <w:rFonts w:ascii="Times New Roman" w:hAnsi="Times New Roman" w:cs="Times New Roman"/>
                <w:sz w:val="20"/>
                <w:szCs w:val="20"/>
              </w:rPr>
              <w:t xml:space="preserve"> </w:t>
            </w:r>
            <w:r w:rsidRPr="001B53A8">
              <w:rPr>
                <w:rFonts w:ascii="Times New Roman" w:hAnsi="Times New Roman" w:cs="Times New Roman"/>
                <w:sz w:val="20"/>
                <w:szCs w:val="20"/>
              </w:rPr>
              <w:t>faktoring</w:t>
            </w:r>
          </w:p>
        </w:tc>
        <w:tc>
          <w:tcPr>
            <w:tcW w:w="901" w:type="pct"/>
          </w:tcPr>
          <w:p w14:paraId="5DED42D1" w14:textId="5AC680EA" w:rsidR="003E0284" w:rsidRPr="001B53A8" w:rsidRDefault="003E0284" w:rsidP="003E0284">
            <w:pPr>
              <w:tabs>
                <w:tab w:val="decimal" w:pos="816"/>
              </w:tabs>
              <w:spacing w:after="0" w:line="240" w:lineRule="auto"/>
              <w:ind w:firstLine="0"/>
              <w:jc w:val="left"/>
              <w:rPr>
                <w:rFonts w:ascii="Times New Roman" w:hAnsi="Times New Roman" w:cs="Times New Roman"/>
                <w:sz w:val="20"/>
                <w:szCs w:val="20"/>
              </w:rPr>
            </w:pPr>
            <w:r w:rsidRPr="001B53A8">
              <w:rPr>
                <w:rFonts w:ascii="Times New Roman" w:hAnsi="Times New Roman" w:cs="Times New Roman"/>
                <w:sz w:val="20"/>
                <w:szCs w:val="20"/>
              </w:rPr>
              <w:t>2</w:t>
            </w:r>
          </w:p>
        </w:tc>
      </w:tr>
      <w:tr w:rsidR="003E0284" w:rsidRPr="001B53A8" w14:paraId="50D0C569" w14:textId="77777777" w:rsidTr="00EF2179">
        <w:trPr>
          <w:cnfStyle w:val="010000000000" w:firstRow="0" w:lastRow="1" w:firstColumn="0" w:lastColumn="0" w:oddVBand="0" w:evenVBand="0" w:oddHBand="0" w:evenHBand="0" w:firstRowFirstColumn="0" w:firstRowLastColumn="0" w:lastRowFirstColumn="0" w:lastRowLastColumn="0"/>
          <w:jc w:val="center"/>
        </w:trPr>
        <w:tc>
          <w:tcPr>
            <w:tcW w:w="4099" w:type="pct"/>
          </w:tcPr>
          <w:p w14:paraId="20A2095A" w14:textId="4D9D38ED" w:rsidR="003E0284" w:rsidRPr="001B53A8" w:rsidRDefault="00003F34" w:rsidP="006B6E0C">
            <w:pPr>
              <w:spacing w:after="0" w:line="240" w:lineRule="auto"/>
              <w:ind w:firstLine="0"/>
              <w:rPr>
                <w:rFonts w:ascii="Times New Roman" w:hAnsi="Times New Roman" w:cs="Times New Roman"/>
                <w:sz w:val="20"/>
                <w:szCs w:val="20"/>
              </w:rPr>
            </w:pPr>
            <w:r w:rsidRPr="001B53A8">
              <w:rPr>
                <w:rFonts w:ascii="Times New Roman" w:hAnsi="Times New Roman" w:cs="Times New Roman"/>
                <w:sz w:val="20"/>
                <w:szCs w:val="20"/>
              </w:rPr>
              <w:t>UKUPNO</w:t>
            </w:r>
          </w:p>
        </w:tc>
        <w:tc>
          <w:tcPr>
            <w:tcW w:w="901" w:type="pct"/>
          </w:tcPr>
          <w:p w14:paraId="034D8AC1" w14:textId="63E5B2A4" w:rsidR="003E0284" w:rsidRPr="001B53A8" w:rsidRDefault="003E0284" w:rsidP="00032E84">
            <w:pPr>
              <w:tabs>
                <w:tab w:val="decimal" w:pos="816"/>
              </w:tabs>
              <w:spacing w:after="0" w:line="240" w:lineRule="auto"/>
              <w:ind w:firstLine="0"/>
              <w:jc w:val="left"/>
              <w:rPr>
                <w:rFonts w:ascii="Times New Roman" w:hAnsi="Times New Roman" w:cs="Times New Roman"/>
                <w:sz w:val="20"/>
                <w:szCs w:val="20"/>
              </w:rPr>
            </w:pPr>
            <w:r w:rsidRPr="001B53A8">
              <w:rPr>
                <w:rFonts w:ascii="Times New Roman" w:hAnsi="Times New Roman" w:cs="Times New Roman"/>
                <w:sz w:val="20"/>
                <w:szCs w:val="20"/>
              </w:rPr>
              <w:t>23</w:t>
            </w:r>
          </w:p>
        </w:tc>
      </w:tr>
    </w:tbl>
    <w:p w14:paraId="308BFFB4" w14:textId="657FFC52" w:rsidR="006B6E0C" w:rsidRPr="001B53A8" w:rsidRDefault="00003F34" w:rsidP="006B6E0C">
      <w:pPr>
        <w:tabs>
          <w:tab w:val="left" w:pos="1418"/>
        </w:tabs>
        <w:spacing w:line="240" w:lineRule="auto"/>
        <w:ind w:left="1418" w:hanging="1418"/>
        <w:rPr>
          <w:noProof/>
          <w:lang w:val="sr-Latn-BA"/>
        </w:rPr>
      </w:pPr>
      <w:r w:rsidRPr="001B53A8">
        <w:rPr>
          <w:b/>
          <w:lang w:val="sr-Latn-BA"/>
        </w:rPr>
        <w:t>Tabela</w:t>
      </w:r>
      <w:r w:rsidR="006B6E0C" w:rsidRPr="001B53A8">
        <w:rPr>
          <w:b/>
          <w:lang w:val="sr-Latn-BA"/>
        </w:rPr>
        <w:t xml:space="preserve"> </w:t>
      </w:r>
      <w:r w:rsidR="006B6E0C" w:rsidRPr="001B53A8">
        <w:rPr>
          <w:b/>
          <w:lang w:val="sr-Latn-BA"/>
        </w:rPr>
        <w:fldChar w:fldCharType="begin"/>
      </w:r>
      <w:r w:rsidR="006B6E0C" w:rsidRPr="001B53A8">
        <w:rPr>
          <w:b/>
          <w:lang w:val="sr-Latn-BA"/>
        </w:rPr>
        <w:instrText xml:space="preserve"> SEQ Табела \* ARABIC </w:instrText>
      </w:r>
      <w:r w:rsidR="006B6E0C" w:rsidRPr="001B53A8">
        <w:rPr>
          <w:b/>
          <w:lang w:val="sr-Latn-BA"/>
        </w:rPr>
        <w:fldChar w:fldCharType="separate"/>
      </w:r>
      <w:r w:rsidR="003E0284" w:rsidRPr="001B53A8">
        <w:rPr>
          <w:b/>
          <w:noProof/>
          <w:lang w:val="sr-Latn-BA"/>
        </w:rPr>
        <w:t>17</w:t>
      </w:r>
      <w:r w:rsidR="006B6E0C" w:rsidRPr="001B53A8">
        <w:rPr>
          <w:b/>
          <w:lang w:val="sr-Latn-BA"/>
        </w:rPr>
        <w:fldChar w:fldCharType="end"/>
      </w:r>
      <w:r w:rsidR="006B6E0C" w:rsidRPr="001B53A8">
        <w:rPr>
          <w:b/>
          <w:lang w:val="sr-Latn-BA"/>
        </w:rPr>
        <w:t>.</w:t>
      </w:r>
      <w:r w:rsidR="006B6E0C" w:rsidRPr="001B53A8">
        <w:rPr>
          <w:b/>
          <w:lang w:val="sr-Latn-BA"/>
        </w:rPr>
        <w:tab/>
      </w:r>
      <w:r w:rsidR="006B6E0C" w:rsidRPr="001B53A8">
        <w:rPr>
          <w:b/>
          <w:lang w:val="sr-Latn-BA"/>
        </w:rPr>
        <w:tab/>
      </w:r>
      <w:r w:rsidRPr="001B53A8">
        <w:rPr>
          <w:lang w:val="sr-Latn-BA"/>
        </w:rPr>
        <w:t>Nadzorne</w:t>
      </w:r>
      <w:r w:rsidR="006B6E0C" w:rsidRPr="001B53A8">
        <w:rPr>
          <w:lang w:val="sr-Latn-BA"/>
        </w:rPr>
        <w:t xml:space="preserve"> </w:t>
      </w:r>
      <w:r w:rsidRPr="001B53A8">
        <w:rPr>
          <w:lang w:val="sr-Latn-BA"/>
        </w:rPr>
        <w:t>aktivnosti</w:t>
      </w:r>
      <w:r w:rsidR="006B6E0C" w:rsidRPr="001B53A8">
        <w:rPr>
          <w:lang w:val="sr-Latn-BA"/>
        </w:rPr>
        <w:t xml:space="preserve"> </w:t>
      </w:r>
      <w:r w:rsidRPr="001B53A8">
        <w:rPr>
          <w:lang w:val="sr-Latn-BA"/>
        </w:rPr>
        <w:t>prema</w:t>
      </w:r>
      <w:r w:rsidR="006B6E0C" w:rsidRPr="001B53A8">
        <w:rPr>
          <w:lang w:val="sr-Latn-BA"/>
        </w:rPr>
        <w:t xml:space="preserve"> </w:t>
      </w:r>
      <w:r w:rsidRPr="001B53A8">
        <w:rPr>
          <w:lang w:val="sr-Latn-BA"/>
        </w:rPr>
        <w:t>predmetu</w:t>
      </w:r>
      <w:r w:rsidR="006B6E0C" w:rsidRPr="001B53A8">
        <w:rPr>
          <w:lang w:val="sr-Latn-BA"/>
        </w:rPr>
        <w:t xml:space="preserve"> </w:t>
      </w:r>
      <w:r w:rsidRPr="001B53A8">
        <w:rPr>
          <w:lang w:val="sr-Latn-BA"/>
        </w:rPr>
        <w:t>nadzora</w:t>
      </w:r>
      <w:r w:rsidR="006B6E0C" w:rsidRPr="001B53A8">
        <w:rPr>
          <w:lang w:val="sr-Latn-BA"/>
        </w:rPr>
        <w:t>/</w:t>
      </w:r>
      <w:r w:rsidRPr="001B53A8">
        <w:rPr>
          <w:lang w:val="sr-Latn-BA"/>
        </w:rPr>
        <w:t>učesnicima</w:t>
      </w:r>
      <w:r w:rsidR="006B6E0C" w:rsidRPr="001B53A8">
        <w:rPr>
          <w:lang w:val="sr-Latn-BA"/>
        </w:rPr>
        <w:t xml:space="preserve"> </w:t>
      </w:r>
      <w:r w:rsidRPr="001B53A8">
        <w:rPr>
          <w:lang w:val="sr-Latn-BA"/>
        </w:rPr>
        <w:t>na</w:t>
      </w:r>
      <w:r w:rsidR="006B6E0C" w:rsidRPr="001B53A8">
        <w:rPr>
          <w:lang w:val="sr-Latn-BA"/>
        </w:rPr>
        <w:t xml:space="preserve"> </w:t>
      </w:r>
      <w:r w:rsidRPr="001B53A8">
        <w:rPr>
          <w:lang w:val="sr-Latn-BA"/>
        </w:rPr>
        <w:t>tržištu</w:t>
      </w:r>
      <w:r w:rsidR="006B6E0C" w:rsidRPr="001B53A8">
        <w:rPr>
          <w:lang w:val="sr-Latn-BA"/>
        </w:rPr>
        <w:t xml:space="preserve"> </w:t>
      </w:r>
      <w:r w:rsidRPr="001B53A8">
        <w:rPr>
          <w:lang w:val="sr-Latn-BA"/>
        </w:rPr>
        <w:t>u</w:t>
      </w:r>
      <w:r w:rsidR="006B6E0C" w:rsidRPr="001B53A8">
        <w:rPr>
          <w:lang w:val="sr-Latn-BA"/>
        </w:rPr>
        <w:t xml:space="preserve"> </w:t>
      </w:r>
      <w:r w:rsidR="003E0284" w:rsidRPr="001B53A8">
        <w:rPr>
          <w:lang w:val="sr-Latn-BA"/>
        </w:rPr>
        <w:t>2023</w:t>
      </w:r>
      <w:r w:rsidR="006B6E0C" w:rsidRPr="001B53A8">
        <w:rPr>
          <w:lang w:val="sr-Latn-BA"/>
        </w:rPr>
        <w:t xml:space="preserve">. </w:t>
      </w:r>
      <w:r w:rsidRPr="001B53A8">
        <w:rPr>
          <w:lang w:val="sr-Latn-BA"/>
        </w:rPr>
        <w:t>godini</w:t>
      </w:r>
    </w:p>
    <w:p w14:paraId="05DD6A05" w14:textId="3DB343A1" w:rsidR="006B6E0C" w:rsidRPr="001B53A8" w:rsidRDefault="00CF7BAC" w:rsidP="006B6E0C">
      <w:pPr>
        <w:keepNext/>
        <w:autoSpaceDE w:val="0"/>
        <w:autoSpaceDN w:val="0"/>
        <w:adjustRightInd w:val="0"/>
        <w:spacing w:line="240" w:lineRule="auto"/>
        <w:ind w:firstLine="0"/>
        <w:jc w:val="center"/>
        <w:rPr>
          <w:noProof/>
          <w:lang w:val="sr-Latn-BA"/>
        </w:rPr>
      </w:pPr>
      <w:r>
        <w:rPr>
          <w:noProof/>
        </w:rPr>
        <w:drawing>
          <wp:inline distT="0" distB="0" distL="0" distR="0" wp14:anchorId="2136450B" wp14:editId="3E2122DC">
            <wp:extent cx="5760085" cy="3764280"/>
            <wp:effectExtent l="0" t="0" r="31115" b="7620"/>
            <wp:docPr id="3" name="Chart 6">
              <a:extLst xmlns:a="http://schemas.openxmlformats.org/drawingml/2006/main">
                <a:ext uri="{FF2B5EF4-FFF2-40B4-BE49-F238E27FC236}">
                  <a16:creationId xmlns:a16="http://schemas.microsoft.com/office/drawing/2014/main" id="{3B94FD00-C313-4ED4-A143-F1DF70C1B74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72F8406" w14:textId="621298DF" w:rsidR="006B6E0C" w:rsidRPr="001B53A8" w:rsidRDefault="00003F34" w:rsidP="006B6E0C">
      <w:pPr>
        <w:pStyle w:val="Caption"/>
        <w:tabs>
          <w:tab w:val="left" w:pos="1276"/>
        </w:tabs>
        <w:spacing w:after="0"/>
        <w:ind w:left="1276" w:hanging="1276"/>
        <w:jc w:val="both"/>
        <w:rPr>
          <w:rFonts w:ascii="Times New Roman" w:hAnsi="Times New Roman"/>
          <w:b w:val="0"/>
          <w:sz w:val="24"/>
          <w:szCs w:val="24"/>
          <w:lang w:val="sr-Latn-BA"/>
        </w:rPr>
      </w:pPr>
      <w:r w:rsidRPr="001B53A8">
        <w:rPr>
          <w:rFonts w:ascii="Times New Roman" w:hAnsi="Times New Roman"/>
          <w:sz w:val="24"/>
          <w:szCs w:val="24"/>
          <w:lang w:val="sr-Latn-BA"/>
        </w:rPr>
        <w:t>Slika</w:t>
      </w:r>
      <w:r w:rsidR="00A2091B" w:rsidRPr="001B53A8">
        <w:rPr>
          <w:rFonts w:ascii="Times New Roman" w:hAnsi="Times New Roman"/>
          <w:sz w:val="24"/>
          <w:szCs w:val="24"/>
          <w:lang w:val="sr-Latn-BA"/>
        </w:rPr>
        <w:t xml:space="preserve"> </w:t>
      </w:r>
      <w:r w:rsidR="00A2091B" w:rsidRPr="001B53A8">
        <w:rPr>
          <w:rFonts w:ascii="Times New Roman" w:hAnsi="Times New Roman"/>
          <w:sz w:val="24"/>
          <w:szCs w:val="24"/>
          <w:lang w:val="sr-Latn-BA"/>
        </w:rPr>
        <w:fldChar w:fldCharType="begin"/>
      </w:r>
      <w:r w:rsidR="00A2091B" w:rsidRPr="001B53A8">
        <w:rPr>
          <w:rFonts w:ascii="Times New Roman" w:hAnsi="Times New Roman"/>
          <w:sz w:val="24"/>
          <w:szCs w:val="24"/>
          <w:lang w:val="sr-Latn-BA"/>
        </w:rPr>
        <w:instrText xml:space="preserve"> SEQ Слика \* ARABIC </w:instrText>
      </w:r>
      <w:r w:rsidR="00A2091B" w:rsidRPr="001B53A8">
        <w:rPr>
          <w:rFonts w:ascii="Times New Roman" w:hAnsi="Times New Roman"/>
          <w:sz w:val="24"/>
          <w:szCs w:val="24"/>
          <w:lang w:val="sr-Latn-BA"/>
        </w:rPr>
        <w:fldChar w:fldCharType="separate"/>
      </w:r>
      <w:r w:rsidR="00E00890" w:rsidRPr="001B53A8">
        <w:rPr>
          <w:rFonts w:ascii="Times New Roman" w:hAnsi="Times New Roman"/>
          <w:noProof/>
          <w:sz w:val="24"/>
          <w:szCs w:val="24"/>
          <w:lang w:val="sr-Latn-BA"/>
        </w:rPr>
        <w:t>2</w:t>
      </w:r>
      <w:r w:rsidR="00A2091B" w:rsidRPr="001B53A8">
        <w:rPr>
          <w:rFonts w:ascii="Times New Roman" w:hAnsi="Times New Roman"/>
          <w:sz w:val="24"/>
          <w:szCs w:val="24"/>
          <w:lang w:val="sr-Latn-BA"/>
        </w:rPr>
        <w:fldChar w:fldCharType="end"/>
      </w:r>
      <w:r w:rsidR="00A2091B" w:rsidRPr="001B53A8">
        <w:rPr>
          <w:rFonts w:ascii="Times New Roman" w:hAnsi="Times New Roman"/>
          <w:sz w:val="24"/>
          <w:szCs w:val="24"/>
          <w:lang w:val="sr-Latn-BA"/>
        </w:rPr>
        <w:t>.</w:t>
      </w:r>
      <w:r w:rsidR="006B6E0C" w:rsidRPr="001B53A8">
        <w:rPr>
          <w:rFonts w:ascii="Times New Roman" w:hAnsi="Times New Roman"/>
          <w:sz w:val="24"/>
          <w:szCs w:val="24"/>
          <w:lang w:val="sr-Latn-BA"/>
        </w:rPr>
        <w:tab/>
      </w:r>
      <w:r w:rsidRPr="001B53A8">
        <w:rPr>
          <w:rFonts w:ascii="Times New Roman" w:hAnsi="Times New Roman"/>
          <w:b w:val="0"/>
          <w:sz w:val="24"/>
          <w:szCs w:val="24"/>
          <w:lang w:val="sr-Latn-BA"/>
        </w:rPr>
        <w:t>Nadzorne</w:t>
      </w:r>
      <w:r w:rsidR="006B6E0C"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aktivnosti</w:t>
      </w:r>
      <w:r w:rsidR="006B6E0C"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prema</w:t>
      </w:r>
      <w:r w:rsidR="006B6E0C"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učesnicima</w:t>
      </w:r>
      <w:r w:rsidR="006B6E0C"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na</w:t>
      </w:r>
      <w:r w:rsidR="006B6E0C"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tržištu</w:t>
      </w:r>
      <w:r w:rsidR="006B6E0C"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u</w:t>
      </w:r>
      <w:r w:rsidR="006B6E0C" w:rsidRPr="001B53A8">
        <w:rPr>
          <w:rFonts w:ascii="Times New Roman" w:hAnsi="Times New Roman"/>
          <w:b w:val="0"/>
          <w:sz w:val="24"/>
          <w:szCs w:val="24"/>
          <w:lang w:val="sr-Latn-BA"/>
        </w:rPr>
        <w:t xml:space="preserve"> </w:t>
      </w:r>
      <w:r w:rsidR="003D08FA" w:rsidRPr="001B53A8">
        <w:rPr>
          <w:rFonts w:ascii="Times New Roman" w:hAnsi="Times New Roman"/>
          <w:b w:val="0"/>
          <w:sz w:val="24"/>
          <w:szCs w:val="24"/>
          <w:lang w:val="sr-Latn-BA"/>
        </w:rPr>
        <w:t>2023</w:t>
      </w:r>
      <w:r w:rsidR="006B6E0C"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godini</w:t>
      </w:r>
    </w:p>
    <w:p w14:paraId="192DCB62" w14:textId="12B5186A" w:rsidR="00CF7BAC" w:rsidRPr="001B53A8" w:rsidRDefault="00003F34" w:rsidP="00CF7BAC">
      <w:pPr>
        <w:spacing w:after="0" w:line="240" w:lineRule="auto"/>
        <w:rPr>
          <w:rFonts w:eastAsia="Times New Roman"/>
          <w:bCs/>
          <w:lang w:val="sr-Latn-BA" w:eastAsia="sr-Latn-CS"/>
        </w:rPr>
      </w:pPr>
      <w:r w:rsidRPr="001B53A8">
        <w:rPr>
          <w:lang w:val="sr-Latn-BA"/>
        </w:rPr>
        <w:t>Prema</w:t>
      </w:r>
      <w:r w:rsidR="00EF2179" w:rsidRPr="001B53A8">
        <w:rPr>
          <w:rFonts w:eastAsia="Times New Roman"/>
          <w:bCs/>
          <w:lang w:val="sr-Latn-BA" w:eastAsia="sr-Latn-CS"/>
        </w:rPr>
        <w:t xml:space="preserve"> </w:t>
      </w:r>
      <w:r w:rsidRPr="001B53A8">
        <w:rPr>
          <w:rFonts w:eastAsia="Times New Roman"/>
          <w:bCs/>
          <w:lang w:val="sr-Latn-BA" w:eastAsia="sr-Latn-CS"/>
        </w:rPr>
        <w:t>vrsti</w:t>
      </w:r>
      <w:r w:rsidR="00EF2179" w:rsidRPr="001B53A8">
        <w:rPr>
          <w:rFonts w:eastAsia="Times New Roman"/>
          <w:bCs/>
          <w:lang w:val="sr-Latn-BA" w:eastAsia="sr-Latn-CS"/>
        </w:rPr>
        <w:t xml:space="preserve"> </w:t>
      </w:r>
      <w:r w:rsidRPr="001B53A8">
        <w:rPr>
          <w:rFonts w:eastAsia="Times New Roman"/>
          <w:bCs/>
          <w:lang w:val="sr-Latn-BA" w:eastAsia="sr-Latn-CS"/>
        </w:rPr>
        <w:t>nadzora</w:t>
      </w:r>
      <w:r w:rsidR="00EF2179" w:rsidRPr="001B53A8">
        <w:rPr>
          <w:rFonts w:eastAsia="Times New Roman"/>
          <w:bCs/>
          <w:lang w:val="sr-Latn-BA" w:eastAsia="sr-Latn-CS"/>
        </w:rPr>
        <w:t xml:space="preserve">, </w:t>
      </w:r>
      <w:r w:rsidRPr="001B53A8">
        <w:rPr>
          <w:rFonts w:eastAsia="Times New Roman"/>
          <w:bCs/>
          <w:lang w:val="sr-Latn-BA" w:eastAsia="sr-Latn-CS"/>
        </w:rPr>
        <w:t>u</w:t>
      </w:r>
      <w:r w:rsidR="003D08FA" w:rsidRPr="001B53A8">
        <w:rPr>
          <w:rFonts w:eastAsia="Times New Roman"/>
          <w:bCs/>
          <w:lang w:val="sr-Latn-BA" w:eastAsia="sr-Latn-CS"/>
        </w:rPr>
        <w:t xml:space="preserve"> </w:t>
      </w:r>
      <w:r w:rsidRPr="001B53A8">
        <w:rPr>
          <w:rFonts w:eastAsia="Times New Roman"/>
          <w:bCs/>
          <w:lang w:val="sr-Latn-BA" w:eastAsia="sr-Latn-CS"/>
        </w:rPr>
        <w:t>toku</w:t>
      </w:r>
      <w:r w:rsidR="003D08FA" w:rsidRPr="001B53A8">
        <w:rPr>
          <w:rFonts w:eastAsia="Times New Roman"/>
          <w:bCs/>
          <w:lang w:val="sr-Latn-BA" w:eastAsia="sr-Latn-CS"/>
        </w:rPr>
        <w:t xml:space="preserve"> 2023. </w:t>
      </w:r>
      <w:r w:rsidRPr="001B53A8">
        <w:rPr>
          <w:rFonts w:eastAsia="Times New Roman"/>
          <w:bCs/>
          <w:lang w:val="sr-Latn-BA" w:eastAsia="sr-Latn-CS"/>
        </w:rPr>
        <w:t>godine</w:t>
      </w:r>
      <w:r w:rsidR="003D08FA" w:rsidRPr="001B53A8">
        <w:rPr>
          <w:rFonts w:eastAsia="Times New Roman"/>
          <w:bCs/>
          <w:lang w:val="sr-Latn-BA" w:eastAsia="sr-Latn-CS"/>
        </w:rPr>
        <w:t xml:space="preserve"> </w:t>
      </w:r>
      <w:r w:rsidRPr="001B53A8">
        <w:rPr>
          <w:rFonts w:eastAsia="Times New Roman"/>
          <w:bCs/>
          <w:lang w:val="sr-Latn-BA" w:eastAsia="sr-Latn-CS"/>
        </w:rPr>
        <w:t>vođeno</w:t>
      </w:r>
      <w:r w:rsidR="003D08FA" w:rsidRPr="001B53A8">
        <w:rPr>
          <w:rFonts w:eastAsia="Times New Roman"/>
          <w:bCs/>
          <w:lang w:val="sr-Latn-BA" w:eastAsia="sr-Latn-CS"/>
        </w:rPr>
        <w:t xml:space="preserve"> </w:t>
      </w:r>
      <w:r w:rsidRPr="001B53A8">
        <w:rPr>
          <w:rFonts w:eastAsia="Times New Roman"/>
          <w:bCs/>
          <w:lang w:val="sr-Latn-BA" w:eastAsia="sr-Latn-CS"/>
        </w:rPr>
        <w:t>je</w:t>
      </w:r>
      <w:r w:rsidR="003D08FA" w:rsidRPr="001B53A8">
        <w:rPr>
          <w:rFonts w:eastAsia="Times New Roman"/>
          <w:bCs/>
          <w:lang w:val="sr-Latn-BA" w:eastAsia="sr-Latn-CS"/>
        </w:rPr>
        <w:t xml:space="preserve"> </w:t>
      </w:r>
      <w:r w:rsidRPr="001B53A8">
        <w:rPr>
          <w:rFonts w:eastAsia="Times New Roman"/>
          <w:bCs/>
          <w:lang w:val="sr-Latn-BA" w:eastAsia="sr-Latn-CS"/>
        </w:rPr>
        <w:t>četrnaest</w:t>
      </w:r>
      <w:r w:rsidR="003D08FA" w:rsidRPr="001B53A8">
        <w:rPr>
          <w:rFonts w:eastAsia="Times New Roman"/>
          <w:bCs/>
          <w:lang w:val="sr-Latn-BA" w:eastAsia="sr-Latn-CS"/>
        </w:rPr>
        <w:t xml:space="preserve"> </w:t>
      </w:r>
      <w:r w:rsidRPr="001B53A8">
        <w:rPr>
          <w:rFonts w:eastAsia="Times New Roman"/>
          <w:bCs/>
          <w:lang w:val="sr-Latn-BA" w:eastAsia="sr-Latn-CS"/>
        </w:rPr>
        <w:t>kontinuiranih</w:t>
      </w:r>
      <w:r w:rsidR="003D08FA" w:rsidRPr="001B53A8">
        <w:rPr>
          <w:rFonts w:eastAsia="Times New Roman"/>
          <w:bCs/>
          <w:lang w:val="sr-Latn-BA" w:eastAsia="sr-Latn-CS"/>
        </w:rPr>
        <w:t xml:space="preserve"> </w:t>
      </w:r>
      <w:r w:rsidRPr="001B53A8">
        <w:rPr>
          <w:rFonts w:eastAsia="Times New Roman"/>
          <w:bCs/>
          <w:lang w:val="sr-Latn-BA" w:eastAsia="sr-Latn-CS"/>
        </w:rPr>
        <w:t>nadzora</w:t>
      </w:r>
      <w:r w:rsidR="003D08FA" w:rsidRPr="001B53A8">
        <w:rPr>
          <w:rFonts w:eastAsia="Times New Roman"/>
          <w:bCs/>
          <w:lang w:val="sr-Latn-BA" w:eastAsia="sr-Latn-CS"/>
        </w:rPr>
        <w:t xml:space="preserve">, </w:t>
      </w:r>
      <w:r w:rsidRPr="001B53A8">
        <w:rPr>
          <w:rFonts w:eastAsia="Times New Roman"/>
          <w:bCs/>
          <w:lang w:val="sr-Latn-BA" w:eastAsia="sr-Latn-CS"/>
        </w:rPr>
        <w:t>osam</w:t>
      </w:r>
      <w:r w:rsidR="003D08FA" w:rsidRPr="001B53A8">
        <w:rPr>
          <w:rFonts w:eastAsia="Times New Roman"/>
          <w:bCs/>
          <w:lang w:val="sr-Latn-BA" w:eastAsia="sr-Latn-CS"/>
        </w:rPr>
        <w:t xml:space="preserve"> </w:t>
      </w:r>
      <w:r w:rsidRPr="001B53A8">
        <w:rPr>
          <w:rFonts w:eastAsia="Times New Roman"/>
          <w:bCs/>
          <w:lang w:val="sr-Latn-BA" w:eastAsia="sr-Latn-CS"/>
        </w:rPr>
        <w:t>redovnih</w:t>
      </w:r>
      <w:r w:rsidR="003D08FA" w:rsidRPr="001B53A8">
        <w:rPr>
          <w:rFonts w:eastAsia="Times New Roman"/>
          <w:bCs/>
          <w:lang w:val="sr-Latn-BA" w:eastAsia="sr-Latn-CS"/>
        </w:rPr>
        <w:t xml:space="preserve"> </w:t>
      </w:r>
      <w:r w:rsidRPr="001B53A8">
        <w:rPr>
          <w:rFonts w:eastAsia="Times New Roman"/>
          <w:bCs/>
          <w:lang w:val="sr-Latn-BA" w:eastAsia="sr-Latn-CS"/>
        </w:rPr>
        <w:t>nadzora</w:t>
      </w:r>
      <w:r w:rsidR="003D08FA" w:rsidRPr="001B53A8">
        <w:rPr>
          <w:rFonts w:eastAsia="Times New Roman"/>
          <w:bCs/>
          <w:lang w:val="sr-Latn-BA" w:eastAsia="sr-Latn-CS"/>
        </w:rPr>
        <w:t xml:space="preserve"> </w:t>
      </w:r>
      <w:r w:rsidRPr="001B53A8">
        <w:rPr>
          <w:rFonts w:eastAsia="Times New Roman"/>
          <w:bCs/>
          <w:lang w:val="sr-Latn-BA" w:eastAsia="sr-Latn-CS"/>
        </w:rPr>
        <w:t>i</w:t>
      </w:r>
      <w:r w:rsidR="003D08FA" w:rsidRPr="001B53A8">
        <w:rPr>
          <w:rFonts w:eastAsia="Times New Roman"/>
          <w:bCs/>
          <w:lang w:val="sr-Latn-BA" w:eastAsia="sr-Latn-CS"/>
        </w:rPr>
        <w:t xml:space="preserve"> </w:t>
      </w:r>
      <w:r w:rsidRPr="001B53A8">
        <w:rPr>
          <w:rFonts w:eastAsia="Times New Roman"/>
          <w:bCs/>
          <w:lang w:val="sr-Latn-BA" w:eastAsia="sr-Latn-CS"/>
        </w:rPr>
        <w:t>jedan</w:t>
      </w:r>
      <w:r w:rsidR="003D08FA" w:rsidRPr="001B53A8">
        <w:rPr>
          <w:rFonts w:eastAsia="Times New Roman"/>
          <w:bCs/>
          <w:lang w:val="sr-Latn-BA" w:eastAsia="sr-Latn-CS"/>
        </w:rPr>
        <w:t xml:space="preserve"> </w:t>
      </w:r>
      <w:r w:rsidRPr="001B53A8">
        <w:rPr>
          <w:rFonts w:eastAsia="Times New Roman"/>
          <w:bCs/>
          <w:lang w:val="sr-Latn-BA" w:eastAsia="sr-Latn-CS"/>
        </w:rPr>
        <w:t>vanredni</w:t>
      </w:r>
      <w:r w:rsidR="003D08FA" w:rsidRPr="001B53A8">
        <w:rPr>
          <w:rFonts w:eastAsia="Times New Roman"/>
          <w:bCs/>
          <w:lang w:val="sr-Latn-BA" w:eastAsia="sr-Latn-CS"/>
        </w:rPr>
        <w:t xml:space="preserve"> </w:t>
      </w:r>
      <w:r w:rsidRPr="001B53A8">
        <w:rPr>
          <w:rFonts w:eastAsia="Times New Roman"/>
          <w:bCs/>
          <w:lang w:val="sr-Latn-BA" w:eastAsia="sr-Latn-CS"/>
        </w:rPr>
        <w:t>nadzor</w:t>
      </w:r>
      <w:r w:rsidR="006B6E0C" w:rsidRPr="001B53A8">
        <w:rPr>
          <w:rFonts w:eastAsia="Times New Roman"/>
          <w:bCs/>
          <w:lang w:val="sr-Latn-BA" w:eastAsia="sr-Latn-CS"/>
        </w:rPr>
        <w:t xml:space="preserve">. </w:t>
      </w:r>
    </w:p>
    <w:p w14:paraId="2C3323E1" w14:textId="2F9F74E9" w:rsidR="006B6E0C" w:rsidRPr="001B53A8" w:rsidRDefault="00CF7BAC" w:rsidP="00A2091B">
      <w:pPr>
        <w:spacing w:line="240" w:lineRule="auto"/>
        <w:ind w:firstLine="0"/>
        <w:jc w:val="center"/>
        <w:rPr>
          <w:b/>
          <w:lang w:val="sr-Latn-BA"/>
        </w:rPr>
      </w:pPr>
      <w:r>
        <w:rPr>
          <w:noProof/>
        </w:rPr>
        <w:lastRenderedPageBreak/>
        <w:drawing>
          <wp:inline distT="0" distB="0" distL="0" distR="0" wp14:anchorId="1354DFA5" wp14:editId="4D0BE8E6">
            <wp:extent cx="4572000" cy="2752725"/>
            <wp:effectExtent l="0" t="0" r="0" b="0"/>
            <wp:docPr id="7" name="Chart 7">
              <a:extLst xmlns:a="http://schemas.openxmlformats.org/drawingml/2006/main">
                <a:ext uri="{FF2B5EF4-FFF2-40B4-BE49-F238E27FC236}">
                  <a16:creationId xmlns:a16="http://schemas.microsoft.com/office/drawing/2014/main" id="{82AF49DA-6141-4DA5-867E-D15972EDDDE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0F42AD5" w14:textId="14C20308" w:rsidR="006B6E0C" w:rsidRPr="001B53A8" w:rsidRDefault="00003F34" w:rsidP="006B6E0C">
      <w:pPr>
        <w:pStyle w:val="Caption"/>
        <w:tabs>
          <w:tab w:val="left" w:pos="1276"/>
        </w:tabs>
        <w:spacing w:after="0"/>
        <w:ind w:left="1276" w:hanging="1276"/>
        <w:jc w:val="both"/>
        <w:rPr>
          <w:rFonts w:ascii="Times New Roman" w:hAnsi="Times New Roman"/>
          <w:sz w:val="24"/>
          <w:szCs w:val="24"/>
          <w:lang w:val="sr-Latn-BA"/>
        </w:rPr>
      </w:pPr>
      <w:r w:rsidRPr="001B53A8">
        <w:rPr>
          <w:rFonts w:ascii="Times New Roman" w:hAnsi="Times New Roman"/>
          <w:sz w:val="24"/>
          <w:szCs w:val="24"/>
          <w:lang w:val="sr-Latn-BA"/>
        </w:rPr>
        <w:t>Slika</w:t>
      </w:r>
      <w:r w:rsidR="00A2091B" w:rsidRPr="001B53A8">
        <w:rPr>
          <w:rFonts w:ascii="Times New Roman" w:hAnsi="Times New Roman"/>
          <w:sz w:val="24"/>
          <w:szCs w:val="24"/>
          <w:lang w:val="sr-Latn-BA"/>
        </w:rPr>
        <w:t xml:space="preserve"> </w:t>
      </w:r>
      <w:r w:rsidR="00A2091B" w:rsidRPr="001B53A8">
        <w:rPr>
          <w:rFonts w:ascii="Times New Roman" w:hAnsi="Times New Roman"/>
          <w:sz w:val="24"/>
          <w:szCs w:val="24"/>
          <w:lang w:val="sr-Latn-BA"/>
        </w:rPr>
        <w:fldChar w:fldCharType="begin"/>
      </w:r>
      <w:r w:rsidR="00A2091B" w:rsidRPr="001B53A8">
        <w:rPr>
          <w:rFonts w:ascii="Times New Roman" w:hAnsi="Times New Roman"/>
          <w:sz w:val="24"/>
          <w:szCs w:val="24"/>
          <w:lang w:val="sr-Latn-BA"/>
        </w:rPr>
        <w:instrText xml:space="preserve"> SEQ Слика \* ARABIC </w:instrText>
      </w:r>
      <w:r w:rsidR="00A2091B" w:rsidRPr="001B53A8">
        <w:rPr>
          <w:rFonts w:ascii="Times New Roman" w:hAnsi="Times New Roman"/>
          <w:sz w:val="24"/>
          <w:szCs w:val="24"/>
          <w:lang w:val="sr-Latn-BA"/>
        </w:rPr>
        <w:fldChar w:fldCharType="separate"/>
      </w:r>
      <w:r w:rsidR="00E564A8" w:rsidRPr="001B53A8">
        <w:rPr>
          <w:rFonts w:ascii="Times New Roman" w:hAnsi="Times New Roman"/>
          <w:noProof/>
          <w:sz w:val="24"/>
          <w:szCs w:val="24"/>
          <w:lang w:val="sr-Latn-BA"/>
        </w:rPr>
        <w:t>3</w:t>
      </w:r>
      <w:r w:rsidR="00A2091B" w:rsidRPr="001B53A8">
        <w:rPr>
          <w:rFonts w:ascii="Times New Roman" w:hAnsi="Times New Roman"/>
          <w:sz w:val="24"/>
          <w:szCs w:val="24"/>
          <w:lang w:val="sr-Latn-BA"/>
        </w:rPr>
        <w:fldChar w:fldCharType="end"/>
      </w:r>
      <w:r w:rsidR="00A2091B" w:rsidRPr="001B53A8">
        <w:rPr>
          <w:rFonts w:ascii="Times New Roman" w:hAnsi="Times New Roman"/>
          <w:sz w:val="24"/>
          <w:szCs w:val="24"/>
          <w:lang w:val="sr-Latn-BA"/>
        </w:rPr>
        <w:t>.</w:t>
      </w:r>
      <w:r w:rsidR="006B6E0C" w:rsidRPr="001B53A8">
        <w:rPr>
          <w:rFonts w:ascii="Times New Roman" w:hAnsi="Times New Roman"/>
          <w:sz w:val="24"/>
          <w:szCs w:val="24"/>
          <w:lang w:val="sr-Latn-BA"/>
        </w:rPr>
        <w:tab/>
      </w:r>
      <w:r w:rsidRPr="001B53A8">
        <w:rPr>
          <w:rFonts w:ascii="Times New Roman" w:hAnsi="Times New Roman"/>
          <w:b w:val="0"/>
          <w:sz w:val="24"/>
          <w:szCs w:val="24"/>
          <w:lang w:val="sr-Latn-BA"/>
        </w:rPr>
        <w:t>Nadzorne</w:t>
      </w:r>
      <w:r w:rsidR="006B6E0C"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aktivnosti</w:t>
      </w:r>
      <w:r w:rsidR="006B6E0C"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prema</w:t>
      </w:r>
      <w:r w:rsidR="006B6E0C"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vrsti</w:t>
      </w:r>
      <w:r w:rsidR="006B6E0C"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nadzora</w:t>
      </w:r>
      <w:r w:rsidR="006B6E0C"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u</w:t>
      </w:r>
      <w:r w:rsidR="006B6E0C" w:rsidRPr="001B53A8">
        <w:rPr>
          <w:rFonts w:ascii="Times New Roman" w:hAnsi="Times New Roman"/>
          <w:b w:val="0"/>
          <w:sz w:val="24"/>
          <w:szCs w:val="24"/>
          <w:lang w:val="sr-Latn-BA"/>
        </w:rPr>
        <w:t xml:space="preserve"> </w:t>
      </w:r>
      <w:r w:rsidR="003D08FA" w:rsidRPr="001B53A8">
        <w:rPr>
          <w:rFonts w:ascii="Times New Roman" w:hAnsi="Times New Roman"/>
          <w:b w:val="0"/>
          <w:sz w:val="24"/>
          <w:szCs w:val="24"/>
          <w:lang w:val="sr-Latn-BA"/>
        </w:rPr>
        <w:t>2023</w:t>
      </w:r>
      <w:r w:rsidR="006B6E0C"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godini</w:t>
      </w:r>
    </w:p>
    <w:p w14:paraId="49B861C6" w14:textId="4821348D" w:rsidR="00EF2179" w:rsidRPr="001B53A8" w:rsidRDefault="00003F34" w:rsidP="00EF2179">
      <w:pPr>
        <w:spacing w:line="240" w:lineRule="auto"/>
        <w:ind w:firstLine="567"/>
        <w:rPr>
          <w:lang w:val="sr-Latn-BA"/>
        </w:rPr>
      </w:pPr>
      <w:r w:rsidRPr="001B53A8">
        <w:rPr>
          <w:lang w:val="sr-Latn-BA"/>
        </w:rPr>
        <w:t>Kada</w:t>
      </w:r>
      <w:r w:rsidR="00EF2179" w:rsidRPr="001B53A8">
        <w:rPr>
          <w:lang w:val="sr-Latn-BA"/>
        </w:rPr>
        <w:t xml:space="preserve"> </w:t>
      </w:r>
      <w:r w:rsidRPr="001B53A8">
        <w:rPr>
          <w:lang w:val="sr-Latn-BA"/>
        </w:rPr>
        <w:t>utvrdi</w:t>
      </w:r>
      <w:r w:rsidR="00EF2179" w:rsidRPr="001B53A8">
        <w:rPr>
          <w:lang w:val="sr-Latn-BA"/>
        </w:rPr>
        <w:t xml:space="preserve"> </w:t>
      </w:r>
      <w:r w:rsidRPr="001B53A8">
        <w:rPr>
          <w:lang w:val="sr-Latn-BA"/>
        </w:rPr>
        <w:t>nezakonitosti</w:t>
      </w:r>
      <w:r w:rsidR="00EF2179" w:rsidRPr="001B53A8">
        <w:rPr>
          <w:lang w:val="sr-Latn-BA"/>
        </w:rPr>
        <w:t xml:space="preserve"> </w:t>
      </w:r>
      <w:r w:rsidRPr="001B53A8">
        <w:rPr>
          <w:lang w:val="sr-Latn-BA"/>
        </w:rPr>
        <w:t>i</w:t>
      </w:r>
      <w:r w:rsidR="00EF2179" w:rsidRPr="001B53A8">
        <w:rPr>
          <w:lang w:val="sr-Latn-BA"/>
        </w:rPr>
        <w:t xml:space="preserve"> </w:t>
      </w:r>
      <w:r w:rsidRPr="001B53A8">
        <w:rPr>
          <w:lang w:val="sr-Latn-BA"/>
        </w:rPr>
        <w:t>nepravilnosti</w:t>
      </w:r>
      <w:r w:rsidR="00EF2179" w:rsidRPr="001B53A8">
        <w:rPr>
          <w:lang w:val="sr-Latn-BA"/>
        </w:rPr>
        <w:t xml:space="preserve"> </w:t>
      </w:r>
      <w:r w:rsidRPr="001B53A8">
        <w:rPr>
          <w:lang w:val="sr-Latn-BA"/>
        </w:rPr>
        <w:t>kojima</w:t>
      </w:r>
      <w:r w:rsidR="00EF2179" w:rsidRPr="001B53A8">
        <w:rPr>
          <w:lang w:val="sr-Latn-BA"/>
        </w:rPr>
        <w:t xml:space="preserve"> </w:t>
      </w:r>
      <w:r w:rsidRPr="001B53A8">
        <w:rPr>
          <w:lang w:val="sr-Latn-BA"/>
        </w:rPr>
        <w:t>se</w:t>
      </w:r>
      <w:r w:rsidR="00EF2179" w:rsidRPr="001B53A8">
        <w:rPr>
          <w:lang w:val="sr-Latn-BA"/>
        </w:rPr>
        <w:t xml:space="preserve"> </w:t>
      </w:r>
      <w:r w:rsidRPr="001B53A8">
        <w:rPr>
          <w:lang w:val="sr-Latn-BA"/>
        </w:rPr>
        <w:t>ugrožava</w:t>
      </w:r>
      <w:r w:rsidR="00EF2179" w:rsidRPr="001B53A8">
        <w:rPr>
          <w:lang w:val="sr-Latn-BA"/>
        </w:rPr>
        <w:t xml:space="preserve"> </w:t>
      </w:r>
      <w:r w:rsidRPr="001B53A8">
        <w:rPr>
          <w:lang w:val="sr-Latn-BA"/>
        </w:rPr>
        <w:t>funkcionisanje</w:t>
      </w:r>
      <w:r w:rsidR="00EF2179" w:rsidRPr="001B53A8">
        <w:rPr>
          <w:lang w:val="sr-Latn-BA"/>
        </w:rPr>
        <w:t xml:space="preserve"> </w:t>
      </w:r>
      <w:r w:rsidRPr="001B53A8">
        <w:rPr>
          <w:lang w:val="sr-Latn-BA"/>
        </w:rPr>
        <w:t>tržišta</w:t>
      </w:r>
      <w:r w:rsidR="00EF2179" w:rsidRPr="001B53A8">
        <w:rPr>
          <w:lang w:val="sr-Latn-BA"/>
        </w:rPr>
        <w:t xml:space="preserve"> </w:t>
      </w:r>
      <w:r w:rsidRPr="001B53A8">
        <w:rPr>
          <w:lang w:val="sr-Latn-BA"/>
        </w:rPr>
        <w:t>kapitala</w:t>
      </w:r>
      <w:r w:rsidR="00EF2179" w:rsidRPr="001B53A8">
        <w:rPr>
          <w:lang w:val="sr-Latn-BA"/>
        </w:rPr>
        <w:t xml:space="preserve"> </w:t>
      </w:r>
      <w:r w:rsidRPr="001B53A8">
        <w:rPr>
          <w:lang w:val="sr-Latn-BA"/>
        </w:rPr>
        <w:t>u</w:t>
      </w:r>
      <w:r w:rsidR="00EF2179" w:rsidRPr="001B53A8">
        <w:rPr>
          <w:lang w:val="sr-Latn-BA"/>
        </w:rPr>
        <w:t xml:space="preserve"> </w:t>
      </w:r>
      <w:r w:rsidRPr="001B53A8">
        <w:rPr>
          <w:lang w:val="sr-Latn-BA"/>
        </w:rPr>
        <w:t>cjelini</w:t>
      </w:r>
      <w:r w:rsidR="00EF2179" w:rsidRPr="001B53A8">
        <w:rPr>
          <w:lang w:val="sr-Latn-BA"/>
        </w:rPr>
        <w:t xml:space="preserve">, </w:t>
      </w:r>
      <w:r w:rsidRPr="001B53A8">
        <w:rPr>
          <w:lang w:val="sr-Latn-BA"/>
        </w:rPr>
        <w:t>položaj</w:t>
      </w:r>
      <w:r w:rsidR="00EF2179" w:rsidRPr="001B53A8">
        <w:rPr>
          <w:lang w:val="sr-Latn-BA"/>
        </w:rPr>
        <w:t xml:space="preserve"> </w:t>
      </w:r>
      <w:r w:rsidRPr="001B53A8">
        <w:rPr>
          <w:lang w:val="sr-Latn-BA"/>
        </w:rPr>
        <w:t>pojedinih</w:t>
      </w:r>
      <w:r w:rsidR="00EF2179" w:rsidRPr="001B53A8">
        <w:rPr>
          <w:lang w:val="sr-Latn-BA"/>
        </w:rPr>
        <w:t xml:space="preserve"> </w:t>
      </w:r>
      <w:r w:rsidRPr="001B53A8">
        <w:rPr>
          <w:lang w:val="sr-Latn-BA"/>
        </w:rPr>
        <w:t>učesnika</w:t>
      </w:r>
      <w:r w:rsidR="00EF2179" w:rsidRPr="001B53A8">
        <w:rPr>
          <w:lang w:val="sr-Latn-BA"/>
        </w:rPr>
        <w:t xml:space="preserve"> </w:t>
      </w:r>
      <w:r w:rsidRPr="001B53A8">
        <w:rPr>
          <w:lang w:val="sr-Latn-BA"/>
        </w:rPr>
        <w:t>na</w:t>
      </w:r>
      <w:r w:rsidR="00EF2179" w:rsidRPr="001B53A8">
        <w:rPr>
          <w:lang w:val="sr-Latn-BA"/>
        </w:rPr>
        <w:t xml:space="preserve"> </w:t>
      </w:r>
      <w:r w:rsidRPr="001B53A8">
        <w:rPr>
          <w:lang w:val="sr-Latn-BA"/>
        </w:rPr>
        <w:t>tržištu</w:t>
      </w:r>
      <w:r w:rsidR="00EF2179" w:rsidRPr="001B53A8">
        <w:rPr>
          <w:lang w:val="sr-Latn-BA"/>
        </w:rPr>
        <w:t xml:space="preserve"> </w:t>
      </w:r>
      <w:r w:rsidRPr="001B53A8">
        <w:rPr>
          <w:lang w:val="sr-Latn-BA"/>
        </w:rPr>
        <w:t>kapitala</w:t>
      </w:r>
      <w:r w:rsidR="00EF2179" w:rsidRPr="001B53A8">
        <w:rPr>
          <w:lang w:val="sr-Latn-BA"/>
        </w:rPr>
        <w:t xml:space="preserve"> </w:t>
      </w:r>
      <w:r w:rsidRPr="001B53A8">
        <w:rPr>
          <w:lang w:val="sr-Latn-BA"/>
        </w:rPr>
        <w:t>ili</w:t>
      </w:r>
      <w:r w:rsidR="00EF2179" w:rsidRPr="001B53A8">
        <w:rPr>
          <w:lang w:val="sr-Latn-BA"/>
        </w:rPr>
        <w:t xml:space="preserve"> </w:t>
      </w:r>
      <w:r w:rsidRPr="001B53A8">
        <w:rPr>
          <w:lang w:val="sr-Latn-BA"/>
        </w:rPr>
        <w:t>postoji</w:t>
      </w:r>
      <w:r w:rsidR="00EF2179" w:rsidRPr="001B53A8">
        <w:rPr>
          <w:lang w:val="sr-Latn-BA"/>
        </w:rPr>
        <w:t xml:space="preserve"> </w:t>
      </w:r>
      <w:r w:rsidRPr="001B53A8">
        <w:rPr>
          <w:lang w:val="sr-Latn-BA"/>
        </w:rPr>
        <w:t>mogućnost</w:t>
      </w:r>
      <w:r w:rsidR="00EF2179" w:rsidRPr="001B53A8">
        <w:rPr>
          <w:lang w:val="sr-Latn-BA"/>
        </w:rPr>
        <w:t xml:space="preserve"> </w:t>
      </w:r>
      <w:r w:rsidRPr="001B53A8">
        <w:rPr>
          <w:lang w:val="sr-Latn-BA"/>
        </w:rPr>
        <w:t>nanošenja</w:t>
      </w:r>
      <w:r w:rsidR="00EF2179" w:rsidRPr="001B53A8">
        <w:rPr>
          <w:lang w:val="sr-Latn-BA"/>
        </w:rPr>
        <w:t xml:space="preserve"> </w:t>
      </w:r>
      <w:r w:rsidRPr="001B53A8">
        <w:rPr>
          <w:lang w:val="sr-Latn-BA"/>
        </w:rPr>
        <w:t>značajnije</w:t>
      </w:r>
      <w:r w:rsidR="00EF2179" w:rsidRPr="001B53A8">
        <w:rPr>
          <w:lang w:val="sr-Latn-BA"/>
        </w:rPr>
        <w:t xml:space="preserve"> </w:t>
      </w:r>
      <w:r w:rsidRPr="001B53A8">
        <w:rPr>
          <w:lang w:val="sr-Latn-BA"/>
        </w:rPr>
        <w:t>štete</w:t>
      </w:r>
      <w:r w:rsidR="00EF2179" w:rsidRPr="001B53A8">
        <w:rPr>
          <w:lang w:val="sr-Latn-BA"/>
        </w:rPr>
        <w:t xml:space="preserve">, </w:t>
      </w:r>
      <w:r w:rsidRPr="001B53A8">
        <w:rPr>
          <w:lang w:val="sr-Latn-BA"/>
        </w:rPr>
        <w:t>Komisija</w:t>
      </w:r>
      <w:r w:rsidR="00EF2179" w:rsidRPr="001B53A8">
        <w:rPr>
          <w:lang w:val="sr-Latn-BA"/>
        </w:rPr>
        <w:t xml:space="preserve"> </w:t>
      </w:r>
      <w:r w:rsidRPr="001B53A8">
        <w:rPr>
          <w:lang w:val="sr-Latn-BA"/>
        </w:rPr>
        <w:t>je</w:t>
      </w:r>
      <w:r w:rsidR="00EF2179" w:rsidRPr="001B53A8">
        <w:rPr>
          <w:lang w:val="sr-Latn-BA"/>
        </w:rPr>
        <w:t xml:space="preserve"> </w:t>
      </w:r>
      <w:r w:rsidRPr="001B53A8">
        <w:rPr>
          <w:lang w:val="sr-Latn-BA"/>
        </w:rPr>
        <w:t>Zakonom</w:t>
      </w:r>
      <w:r w:rsidR="00EF2179" w:rsidRPr="001B53A8">
        <w:rPr>
          <w:lang w:val="sr-Latn-BA"/>
        </w:rPr>
        <w:t xml:space="preserve"> </w:t>
      </w:r>
      <w:r w:rsidRPr="001B53A8">
        <w:rPr>
          <w:lang w:val="sr-Latn-BA"/>
        </w:rPr>
        <w:t>o</w:t>
      </w:r>
      <w:r w:rsidR="00EF2179" w:rsidRPr="001B53A8">
        <w:rPr>
          <w:lang w:val="sr-Latn-BA"/>
        </w:rPr>
        <w:t xml:space="preserve"> </w:t>
      </w:r>
      <w:r w:rsidRPr="001B53A8">
        <w:rPr>
          <w:lang w:val="sr-Latn-BA"/>
        </w:rPr>
        <w:t>tržištu</w:t>
      </w:r>
      <w:r w:rsidR="00EF2179" w:rsidRPr="001B53A8">
        <w:rPr>
          <w:lang w:val="sr-Latn-BA"/>
        </w:rPr>
        <w:t xml:space="preserve"> </w:t>
      </w:r>
      <w:r w:rsidRPr="001B53A8">
        <w:rPr>
          <w:lang w:val="sr-Latn-BA"/>
        </w:rPr>
        <w:t>ovlašćena</w:t>
      </w:r>
      <w:r w:rsidR="00EF2179" w:rsidRPr="001B53A8">
        <w:rPr>
          <w:lang w:val="sr-Latn-BA"/>
        </w:rPr>
        <w:t xml:space="preserve"> </w:t>
      </w:r>
      <w:r w:rsidRPr="001B53A8">
        <w:rPr>
          <w:lang w:val="sr-Latn-BA"/>
        </w:rPr>
        <w:t>na</w:t>
      </w:r>
      <w:r w:rsidR="00EF2179" w:rsidRPr="001B53A8">
        <w:rPr>
          <w:lang w:val="sr-Latn-BA"/>
        </w:rPr>
        <w:t xml:space="preserve"> </w:t>
      </w:r>
      <w:r w:rsidRPr="001B53A8">
        <w:rPr>
          <w:lang w:val="sr-Latn-BA"/>
        </w:rPr>
        <w:t>preduzimanje</w:t>
      </w:r>
      <w:r w:rsidR="00EF2179" w:rsidRPr="001B53A8">
        <w:rPr>
          <w:lang w:val="sr-Latn-BA"/>
        </w:rPr>
        <w:t xml:space="preserve"> </w:t>
      </w:r>
      <w:r w:rsidRPr="001B53A8">
        <w:rPr>
          <w:lang w:val="sr-Latn-BA"/>
        </w:rPr>
        <w:t>neke</w:t>
      </w:r>
      <w:r w:rsidR="00EF2179" w:rsidRPr="001B53A8">
        <w:rPr>
          <w:lang w:val="sr-Latn-BA"/>
        </w:rPr>
        <w:t xml:space="preserve"> </w:t>
      </w:r>
      <w:r w:rsidRPr="001B53A8">
        <w:rPr>
          <w:lang w:val="sr-Latn-BA"/>
        </w:rPr>
        <w:t>od</w:t>
      </w:r>
      <w:r w:rsidR="00EF2179" w:rsidRPr="001B53A8">
        <w:rPr>
          <w:lang w:val="sr-Latn-BA"/>
        </w:rPr>
        <w:t xml:space="preserve"> </w:t>
      </w:r>
      <w:r w:rsidRPr="001B53A8">
        <w:rPr>
          <w:lang w:val="sr-Latn-BA"/>
        </w:rPr>
        <w:t>propisanih</w:t>
      </w:r>
      <w:r w:rsidR="00EF2179" w:rsidRPr="001B53A8">
        <w:rPr>
          <w:lang w:val="sr-Latn-BA"/>
        </w:rPr>
        <w:t xml:space="preserve"> </w:t>
      </w:r>
      <w:r w:rsidRPr="001B53A8">
        <w:rPr>
          <w:lang w:val="sr-Latn-BA"/>
        </w:rPr>
        <w:t>nadzornih</w:t>
      </w:r>
      <w:r w:rsidR="00EF2179" w:rsidRPr="001B53A8">
        <w:rPr>
          <w:lang w:val="sr-Latn-BA"/>
        </w:rPr>
        <w:t xml:space="preserve"> </w:t>
      </w:r>
      <w:r w:rsidRPr="001B53A8">
        <w:rPr>
          <w:lang w:val="sr-Latn-BA"/>
        </w:rPr>
        <w:t>mjera</w:t>
      </w:r>
      <w:r w:rsidR="00EF2179" w:rsidRPr="001B53A8">
        <w:rPr>
          <w:rStyle w:val="FootnoteReference"/>
          <w:lang w:val="sr-Latn-BA"/>
        </w:rPr>
        <w:footnoteReference w:id="36"/>
      </w:r>
      <w:r w:rsidR="00EF2179" w:rsidRPr="001B53A8">
        <w:rPr>
          <w:lang w:val="sr-Latn-BA"/>
        </w:rPr>
        <w:t xml:space="preserve">. </w:t>
      </w:r>
      <w:r w:rsidRPr="001B53A8">
        <w:rPr>
          <w:lang w:val="sr-Latn-BA"/>
        </w:rPr>
        <w:t>U</w:t>
      </w:r>
      <w:r w:rsidR="00EF2179" w:rsidRPr="001B53A8">
        <w:rPr>
          <w:lang w:val="sr-Latn-BA"/>
        </w:rPr>
        <w:t xml:space="preserve"> </w:t>
      </w:r>
      <w:r w:rsidRPr="001B53A8">
        <w:rPr>
          <w:lang w:val="sr-Latn-BA"/>
        </w:rPr>
        <w:t>slučaju</w:t>
      </w:r>
      <w:r w:rsidR="00EF2179" w:rsidRPr="001B53A8">
        <w:rPr>
          <w:lang w:val="sr-Latn-BA"/>
        </w:rPr>
        <w:t xml:space="preserve"> </w:t>
      </w:r>
      <w:r w:rsidRPr="001B53A8">
        <w:rPr>
          <w:lang w:val="sr-Latn-BA"/>
        </w:rPr>
        <w:t>utvrđenih</w:t>
      </w:r>
      <w:r w:rsidR="00EF2179" w:rsidRPr="001B53A8">
        <w:rPr>
          <w:lang w:val="sr-Latn-BA"/>
        </w:rPr>
        <w:t xml:space="preserve"> </w:t>
      </w:r>
      <w:r w:rsidRPr="001B53A8">
        <w:rPr>
          <w:lang w:val="sr-Latn-BA"/>
        </w:rPr>
        <w:t>nezakonitosti</w:t>
      </w:r>
      <w:r w:rsidR="00EF2179" w:rsidRPr="001B53A8">
        <w:rPr>
          <w:lang w:val="sr-Latn-BA"/>
        </w:rPr>
        <w:t xml:space="preserve"> </w:t>
      </w:r>
      <w:r w:rsidRPr="001B53A8">
        <w:rPr>
          <w:lang w:val="sr-Latn-BA"/>
        </w:rPr>
        <w:t>i</w:t>
      </w:r>
      <w:r w:rsidR="00EF2179" w:rsidRPr="001B53A8">
        <w:rPr>
          <w:lang w:val="sr-Latn-BA"/>
        </w:rPr>
        <w:t xml:space="preserve"> </w:t>
      </w:r>
      <w:r w:rsidRPr="001B53A8">
        <w:rPr>
          <w:lang w:val="sr-Latn-BA"/>
        </w:rPr>
        <w:t>nepravilnosti</w:t>
      </w:r>
      <w:r w:rsidR="00EF2179" w:rsidRPr="001B53A8">
        <w:rPr>
          <w:lang w:val="sr-Latn-BA"/>
        </w:rPr>
        <w:t xml:space="preserve"> </w:t>
      </w:r>
      <w:r w:rsidRPr="001B53A8">
        <w:rPr>
          <w:lang w:val="sr-Latn-BA"/>
        </w:rPr>
        <w:t>Komisija</w:t>
      </w:r>
      <w:r w:rsidR="00EF2179" w:rsidRPr="001B53A8">
        <w:rPr>
          <w:lang w:val="sr-Latn-BA"/>
        </w:rPr>
        <w:t xml:space="preserve"> </w:t>
      </w:r>
      <w:r w:rsidRPr="001B53A8">
        <w:rPr>
          <w:lang w:val="sr-Latn-BA"/>
        </w:rPr>
        <w:t>rješenjem</w:t>
      </w:r>
      <w:r w:rsidR="00EF2179" w:rsidRPr="001B53A8">
        <w:rPr>
          <w:lang w:val="sr-Latn-BA"/>
        </w:rPr>
        <w:t xml:space="preserve"> </w:t>
      </w:r>
      <w:r w:rsidRPr="001B53A8">
        <w:rPr>
          <w:lang w:val="sr-Latn-BA"/>
        </w:rPr>
        <w:t>nalaže</w:t>
      </w:r>
      <w:r w:rsidR="00EF2179" w:rsidRPr="001B53A8">
        <w:rPr>
          <w:lang w:val="sr-Latn-BA"/>
        </w:rPr>
        <w:t xml:space="preserve"> </w:t>
      </w:r>
      <w:r w:rsidRPr="001B53A8">
        <w:rPr>
          <w:lang w:val="sr-Latn-BA"/>
        </w:rPr>
        <w:t>preduzimanje</w:t>
      </w:r>
      <w:r w:rsidR="00EF2179" w:rsidRPr="001B53A8">
        <w:rPr>
          <w:lang w:val="sr-Latn-BA"/>
        </w:rPr>
        <w:t xml:space="preserve"> </w:t>
      </w:r>
      <w:r w:rsidRPr="001B53A8">
        <w:rPr>
          <w:lang w:val="sr-Latn-BA"/>
        </w:rPr>
        <w:t>radnji</w:t>
      </w:r>
      <w:r w:rsidR="00EF2179" w:rsidRPr="001B53A8">
        <w:rPr>
          <w:lang w:val="sr-Latn-BA"/>
        </w:rPr>
        <w:t xml:space="preserve"> </w:t>
      </w:r>
      <w:r w:rsidRPr="001B53A8">
        <w:rPr>
          <w:lang w:val="sr-Latn-BA"/>
        </w:rPr>
        <w:t>koje</w:t>
      </w:r>
      <w:r w:rsidR="00EF2179" w:rsidRPr="001B53A8">
        <w:rPr>
          <w:lang w:val="sr-Latn-BA"/>
        </w:rPr>
        <w:t xml:space="preserve"> </w:t>
      </w:r>
      <w:r w:rsidRPr="001B53A8">
        <w:rPr>
          <w:lang w:val="sr-Latn-BA"/>
        </w:rPr>
        <w:t>doprinose</w:t>
      </w:r>
      <w:r w:rsidR="00EF2179" w:rsidRPr="001B53A8">
        <w:rPr>
          <w:lang w:val="sr-Latn-BA"/>
        </w:rPr>
        <w:t xml:space="preserve"> </w:t>
      </w:r>
      <w:r w:rsidRPr="001B53A8">
        <w:rPr>
          <w:lang w:val="sr-Latn-BA"/>
        </w:rPr>
        <w:t>uspostavlјanju</w:t>
      </w:r>
      <w:r w:rsidR="00EF2179" w:rsidRPr="001B53A8">
        <w:rPr>
          <w:lang w:val="sr-Latn-BA"/>
        </w:rPr>
        <w:t xml:space="preserve"> </w:t>
      </w:r>
      <w:r w:rsidRPr="001B53A8">
        <w:rPr>
          <w:lang w:val="sr-Latn-BA"/>
        </w:rPr>
        <w:t>zakonitosti</w:t>
      </w:r>
      <w:r w:rsidR="00EF2179" w:rsidRPr="001B53A8">
        <w:rPr>
          <w:lang w:val="sr-Latn-BA"/>
        </w:rPr>
        <w:t xml:space="preserve"> </w:t>
      </w:r>
      <w:r w:rsidRPr="001B53A8">
        <w:rPr>
          <w:lang w:val="sr-Latn-BA"/>
        </w:rPr>
        <w:t>i</w:t>
      </w:r>
      <w:r w:rsidR="00EF2179" w:rsidRPr="001B53A8">
        <w:rPr>
          <w:lang w:val="sr-Latn-BA"/>
        </w:rPr>
        <w:t xml:space="preserve"> </w:t>
      </w:r>
      <w:r w:rsidRPr="001B53A8">
        <w:rPr>
          <w:lang w:val="sr-Latn-BA"/>
        </w:rPr>
        <w:t>usklađivanju</w:t>
      </w:r>
      <w:r w:rsidR="00EF2179" w:rsidRPr="001B53A8">
        <w:rPr>
          <w:lang w:val="sr-Latn-BA"/>
        </w:rPr>
        <w:t xml:space="preserve"> </w:t>
      </w:r>
      <w:r w:rsidRPr="001B53A8">
        <w:rPr>
          <w:lang w:val="sr-Latn-BA"/>
        </w:rPr>
        <w:t>rada</w:t>
      </w:r>
      <w:r w:rsidR="00EF2179" w:rsidRPr="001B53A8">
        <w:rPr>
          <w:lang w:val="sr-Latn-BA"/>
        </w:rPr>
        <w:t xml:space="preserve"> </w:t>
      </w:r>
      <w:r w:rsidRPr="001B53A8">
        <w:rPr>
          <w:lang w:val="sr-Latn-BA"/>
        </w:rPr>
        <w:t>sa</w:t>
      </w:r>
      <w:r w:rsidR="00EF2179" w:rsidRPr="001B53A8">
        <w:rPr>
          <w:lang w:val="sr-Latn-BA"/>
        </w:rPr>
        <w:t xml:space="preserve"> </w:t>
      </w:r>
      <w:r w:rsidRPr="001B53A8">
        <w:rPr>
          <w:lang w:val="sr-Latn-BA"/>
        </w:rPr>
        <w:t>zakonima</w:t>
      </w:r>
      <w:r w:rsidR="00EF2179" w:rsidRPr="001B53A8">
        <w:rPr>
          <w:lang w:val="sr-Latn-BA"/>
        </w:rPr>
        <w:t xml:space="preserve"> </w:t>
      </w:r>
      <w:r w:rsidRPr="001B53A8">
        <w:rPr>
          <w:lang w:val="sr-Latn-BA"/>
        </w:rPr>
        <w:t>i</w:t>
      </w:r>
      <w:r w:rsidR="00EF2179" w:rsidRPr="001B53A8">
        <w:rPr>
          <w:lang w:val="sr-Latn-BA"/>
        </w:rPr>
        <w:t xml:space="preserve"> </w:t>
      </w:r>
      <w:r w:rsidRPr="001B53A8">
        <w:rPr>
          <w:lang w:val="sr-Latn-BA"/>
        </w:rPr>
        <w:t>drugim</w:t>
      </w:r>
      <w:r w:rsidR="00EF2179" w:rsidRPr="001B53A8">
        <w:rPr>
          <w:lang w:val="sr-Latn-BA"/>
        </w:rPr>
        <w:t xml:space="preserve"> </w:t>
      </w:r>
      <w:r w:rsidRPr="001B53A8">
        <w:rPr>
          <w:lang w:val="sr-Latn-BA"/>
        </w:rPr>
        <w:t>propisima</w:t>
      </w:r>
      <w:r w:rsidR="00EF2179" w:rsidRPr="001B53A8">
        <w:rPr>
          <w:lang w:val="sr-Latn-BA"/>
        </w:rPr>
        <w:t xml:space="preserve">, </w:t>
      </w:r>
      <w:r w:rsidRPr="001B53A8">
        <w:rPr>
          <w:lang w:val="sr-Latn-BA"/>
        </w:rPr>
        <w:t>odnosno</w:t>
      </w:r>
      <w:r w:rsidR="00EF2179" w:rsidRPr="001B53A8">
        <w:rPr>
          <w:lang w:val="sr-Latn-BA"/>
        </w:rPr>
        <w:t xml:space="preserve"> </w:t>
      </w:r>
      <w:r w:rsidRPr="001B53A8">
        <w:rPr>
          <w:lang w:val="sr-Latn-BA"/>
        </w:rPr>
        <w:t>izriče</w:t>
      </w:r>
      <w:r w:rsidR="00EF2179" w:rsidRPr="001B53A8">
        <w:rPr>
          <w:lang w:val="sr-Latn-BA"/>
        </w:rPr>
        <w:t xml:space="preserve"> </w:t>
      </w:r>
      <w:r w:rsidRPr="001B53A8">
        <w:rPr>
          <w:lang w:val="sr-Latn-BA"/>
        </w:rPr>
        <w:t>odgovarajuću</w:t>
      </w:r>
      <w:r w:rsidR="00EF2179" w:rsidRPr="001B53A8">
        <w:rPr>
          <w:lang w:val="sr-Latn-BA"/>
        </w:rPr>
        <w:t xml:space="preserve"> </w:t>
      </w:r>
      <w:r w:rsidRPr="001B53A8">
        <w:rPr>
          <w:lang w:val="sr-Latn-BA"/>
        </w:rPr>
        <w:t>mjeru</w:t>
      </w:r>
      <w:r w:rsidR="00EF2179" w:rsidRPr="001B53A8">
        <w:rPr>
          <w:lang w:val="sr-Latn-BA"/>
        </w:rPr>
        <w:t xml:space="preserve"> </w:t>
      </w:r>
      <w:r w:rsidRPr="001B53A8">
        <w:rPr>
          <w:lang w:val="sr-Latn-BA"/>
        </w:rPr>
        <w:t>propisanu</w:t>
      </w:r>
      <w:r w:rsidR="00EF2179" w:rsidRPr="001B53A8">
        <w:rPr>
          <w:lang w:val="sr-Latn-BA"/>
        </w:rPr>
        <w:t xml:space="preserve"> </w:t>
      </w:r>
      <w:r w:rsidRPr="001B53A8">
        <w:rPr>
          <w:lang w:val="sr-Latn-BA"/>
        </w:rPr>
        <w:t>Zakonom</w:t>
      </w:r>
      <w:r w:rsidR="00EF2179" w:rsidRPr="001B53A8">
        <w:rPr>
          <w:lang w:val="sr-Latn-BA"/>
        </w:rPr>
        <w:t xml:space="preserve"> </w:t>
      </w:r>
      <w:r w:rsidRPr="001B53A8">
        <w:rPr>
          <w:lang w:val="sr-Latn-BA"/>
        </w:rPr>
        <w:t>o</w:t>
      </w:r>
      <w:r w:rsidR="00EF2179" w:rsidRPr="001B53A8">
        <w:rPr>
          <w:lang w:val="sr-Latn-BA"/>
        </w:rPr>
        <w:t xml:space="preserve"> </w:t>
      </w:r>
      <w:r w:rsidRPr="001B53A8">
        <w:rPr>
          <w:lang w:val="sr-Latn-BA"/>
        </w:rPr>
        <w:t>tržištu</w:t>
      </w:r>
      <w:r w:rsidR="00EF2179" w:rsidRPr="001B53A8">
        <w:rPr>
          <w:lang w:val="sr-Latn-BA"/>
        </w:rPr>
        <w:t xml:space="preserve"> </w:t>
      </w:r>
      <w:r w:rsidRPr="001B53A8">
        <w:rPr>
          <w:lang w:val="sr-Latn-BA"/>
        </w:rPr>
        <w:t>i</w:t>
      </w:r>
      <w:r w:rsidR="00EF2179" w:rsidRPr="001B53A8">
        <w:rPr>
          <w:lang w:val="sr-Latn-BA"/>
        </w:rPr>
        <w:t xml:space="preserve"> </w:t>
      </w:r>
      <w:r w:rsidRPr="001B53A8">
        <w:rPr>
          <w:lang w:val="sr-Latn-BA"/>
        </w:rPr>
        <w:t>drugim</w:t>
      </w:r>
      <w:r w:rsidR="00EF2179" w:rsidRPr="001B53A8">
        <w:rPr>
          <w:lang w:val="sr-Latn-BA"/>
        </w:rPr>
        <w:t xml:space="preserve"> </w:t>
      </w:r>
      <w:r w:rsidRPr="001B53A8">
        <w:rPr>
          <w:lang w:val="sr-Latn-BA"/>
        </w:rPr>
        <w:t>zakonima</w:t>
      </w:r>
      <w:r w:rsidR="00EF2179" w:rsidRPr="001B53A8">
        <w:rPr>
          <w:rStyle w:val="FootnoteReference"/>
          <w:lang w:val="sr-Latn-BA"/>
        </w:rPr>
        <w:footnoteReference w:id="37"/>
      </w:r>
      <w:r w:rsidR="00EF2179" w:rsidRPr="001B53A8">
        <w:rPr>
          <w:lang w:val="sr-Latn-BA"/>
        </w:rPr>
        <w:t xml:space="preserve">, </w:t>
      </w:r>
      <w:r w:rsidRPr="001B53A8">
        <w:rPr>
          <w:lang w:val="sr-Latn-BA"/>
        </w:rPr>
        <w:t>a</w:t>
      </w:r>
      <w:r w:rsidR="00EF2179" w:rsidRPr="001B53A8">
        <w:rPr>
          <w:lang w:val="sr-Latn-BA"/>
        </w:rPr>
        <w:t xml:space="preserve"> </w:t>
      </w:r>
      <w:r w:rsidRPr="001B53A8">
        <w:rPr>
          <w:lang w:val="sr-Latn-BA"/>
        </w:rPr>
        <w:t>u</w:t>
      </w:r>
      <w:r w:rsidR="00EF2179" w:rsidRPr="001B53A8">
        <w:rPr>
          <w:lang w:val="sr-Latn-BA"/>
        </w:rPr>
        <w:t xml:space="preserve"> </w:t>
      </w:r>
      <w:r w:rsidRPr="001B53A8">
        <w:rPr>
          <w:lang w:val="sr-Latn-BA"/>
        </w:rPr>
        <w:t>slučajevima</w:t>
      </w:r>
      <w:r w:rsidR="00EF2179" w:rsidRPr="001B53A8">
        <w:rPr>
          <w:lang w:val="sr-Latn-BA"/>
        </w:rPr>
        <w:t xml:space="preserve"> </w:t>
      </w:r>
      <w:r w:rsidRPr="001B53A8">
        <w:rPr>
          <w:lang w:val="sr-Latn-BA"/>
        </w:rPr>
        <w:t>kršenja</w:t>
      </w:r>
      <w:r w:rsidR="00EF2179" w:rsidRPr="001B53A8">
        <w:rPr>
          <w:lang w:val="sr-Latn-BA"/>
        </w:rPr>
        <w:t xml:space="preserve"> </w:t>
      </w:r>
      <w:r w:rsidRPr="001B53A8">
        <w:rPr>
          <w:lang w:val="sr-Latn-BA"/>
        </w:rPr>
        <w:t>propisa</w:t>
      </w:r>
      <w:r w:rsidR="00EF2179" w:rsidRPr="001B53A8">
        <w:rPr>
          <w:lang w:val="sr-Latn-BA"/>
        </w:rPr>
        <w:t xml:space="preserve"> </w:t>
      </w:r>
      <w:r w:rsidRPr="001B53A8">
        <w:rPr>
          <w:lang w:val="sr-Latn-BA"/>
        </w:rPr>
        <w:t>ili</w:t>
      </w:r>
      <w:r w:rsidR="00EF2179" w:rsidRPr="001B53A8">
        <w:rPr>
          <w:lang w:val="sr-Latn-BA"/>
        </w:rPr>
        <w:t xml:space="preserve"> </w:t>
      </w:r>
      <w:r w:rsidRPr="001B53A8">
        <w:rPr>
          <w:lang w:val="sr-Latn-BA"/>
        </w:rPr>
        <w:t>u</w:t>
      </w:r>
      <w:r w:rsidR="00EF2179" w:rsidRPr="001B53A8">
        <w:rPr>
          <w:lang w:val="sr-Latn-BA"/>
        </w:rPr>
        <w:t xml:space="preserve"> </w:t>
      </w:r>
      <w:r w:rsidRPr="001B53A8">
        <w:rPr>
          <w:lang w:val="sr-Latn-BA"/>
        </w:rPr>
        <w:t>slučajevima</w:t>
      </w:r>
      <w:r w:rsidR="00EF2179" w:rsidRPr="001B53A8">
        <w:rPr>
          <w:lang w:val="sr-Latn-BA"/>
        </w:rPr>
        <w:t xml:space="preserve"> </w:t>
      </w:r>
      <w:r w:rsidRPr="001B53A8">
        <w:rPr>
          <w:lang w:val="sr-Latn-BA"/>
        </w:rPr>
        <w:t>kada</w:t>
      </w:r>
      <w:r w:rsidR="00EF2179" w:rsidRPr="001B53A8">
        <w:rPr>
          <w:lang w:val="sr-Latn-BA"/>
        </w:rPr>
        <w:t xml:space="preserve"> </w:t>
      </w:r>
      <w:r w:rsidRPr="001B53A8">
        <w:rPr>
          <w:lang w:val="sr-Latn-BA"/>
        </w:rPr>
        <w:t>je</w:t>
      </w:r>
      <w:r w:rsidR="00EF2179" w:rsidRPr="001B53A8">
        <w:rPr>
          <w:lang w:val="sr-Latn-BA"/>
        </w:rPr>
        <w:t xml:space="preserve"> </w:t>
      </w:r>
      <w:r w:rsidRPr="001B53A8">
        <w:rPr>
          <w:lang w:val="sr-Latn-BA"/>
        </w:rPr>
        <w:t>neizvjestan</w:t>
      </w:r>
      <w:r w:rsidR="00EF2179" w:rsidRPr="001B53A8">
        <w:rPr>
          <w:lang w:val="sr-Latn-BA"/>
        </w:rPr>
        <w:t xml:space="preserve"> </w:t>
      </w:r>
      <w:r w:rsidRPr="001B53A8">
        <w:rPr>
          <w:lang w:val="sr-Latn-BA"/>
        </w:rPr>
        <w:t>nastavak</w:t>
      </w:r>
      <w:r w:rsidR="00EF2179" w:rsidRPr="001B53A8">
        <w:rPr>
          <w:lang w:val="sr-Latn-BA"/>
        </w:rPr>
        <w:t xml:space="preserve"> </w:t>
      </w:r>
      <w:r w:rsidRPr="001B53A8">
        <w:rPr>
          <w:lang w:val="sr-Latn-BA"/>
        </w:rPr>
        <w:t>poslovanja</w:t>
      </w:r>
      <w:r w:rsidR="00EF2179" w:rsidRPr="001B53A8">
        <w:rPr>
          <w:lang w:val="sr-Latn-BA"/>
        </w:rPr>
        <w:t xml:space="preserve"> </w:t>
      </w:r>
      <w:r w:rsidRPr="001B53A8">
        <w:rPr>
          <w:lang w:val="sr-Latn-BA"/>
        </w:rPr>
        <w:t>nadziranog</w:t>
      </w:r>
      <w:r w:rsidR="00EF2179" w:rsidRPr="001B53A8">
        <w:rPr>
          <w:lang w:val="sr-Latn-BA"/>
        </w:rPr>
        <w:t xml:space="preserve"> </w:t>
      </w:r>
      <w:r w:rsidRPr="001B53A8">
        <w:rPr>
          <w:lang w:val="sr-Latn-BA"/>
        </w:rPr>
        <w:t>lica</w:t>
      </w:r>
      <w:r w:rsidR="00EF2179" w:rsidRPr="001B53A8">
        <w:rPr>
          <w:lang w:val="sr-Latn-BA"/>
        </w:rPr>
        <w:t xml:space="preserve">, </w:t>
      </w:r>
      <w:r w:rsidRPr="001B53A8">
        <w:rPr>
          <w:lang w:val="sr-Latn-BA"/>
        </w:rPr>
        <w:t>rješenjem</w:t>
      </w:r>
      <w:r w:rsidR="00EF2179" w:rsidRPr="001B53A8">
        <w:rPr>
          <w:lang w:val="sr-Latn-BA"/>
        </w:rPr>
        <w:t xml:space="preserve"> </w:t>
      </w:r>
      <w:r w:rsidRPr="001B53A8">
        <w:rPr>
          <w:lang w:val="sr-Latn-BA"/>
        </w:rPr>
        <w:t>Komisije</w:t>
      </w:r>
      <w:r w:rsidR="00EF2179" w:rsidRPr="001B53A8">
        <w:rPr>
          <w:lang w:val="sr-Latn-BA"/>
        </w:rPr>
        <w:t xml:space="preserve"> </w:t>
      </w:r>
      <w:r w:rsidRPr="001B53A8">
        <w:rPr>
          <w:lang w:val="sr-Latn-BA"/>
        </w:rPr>
        <w:t>mogu</w:t>
      </w:r>
      <w:r w:rsidR="00EF2179" w:rsidRPr="001B53A8">
        <w:rPr>
          <w:lang w:val="sr-Latn-BA"/>
        </w:rPr>
        <w:t xml:space="preserve"> </w:t>
      </w:r>
      <w:r w:rsidRPr="001B53A8">
        <w:rPr>
          <w:lang w:val="sr-Latn-BA"/>
        </w:rPr>
        <w:t>se</w:t>
      </w:r>
      <w:r w:rsidR="00EF2179" w:rsidRPr="001B53A8">
        <w:rPr>
          <w:lang w:val="sr-Latn-BA"/>
        </w:rPr>
        <w:t xml:space="preserve"> </w:t>
      </w:r>
      <w:r w:rsidRPr="001B53A8">
        <w:rPr>
          <w:lang w:val="sr-Latn-BA"/>
        </w:rPr>
        <w:t>naložiti</w:t>
      </w:r>
      <w:r w:rsidR="00EF2179" w:rsidRPr="001B53A8">
        <w:rPr>
          <w:lang w:val="sr-Latn-BA"/>
        </w:rPr>
        <w:t xml:space="preserve"> </w:t>
      </w:r>
      <w:r w:rsidRPr="001B53A8">
        <w:rPr>
          <w:lang w:val="sr-Latn-BA"/>
        </w:rPr>
        <w:t>određene</w:t>
      </w:r>
      <w:r w:rsidR="00EF2179" w:rsidRPr="001B53A8">
        <w:rPr>
          <w:lang w:val="sr-Latn-BA"/>
        </w:rPr>
        <w:t xml:space="preserve"> </w:t>
      </w:r>
      <w:r w:rsidRPr="001B53A8">
        <w:rPr>
          <w:lang w:val="sr-Latn-BA"/>
        </w:rPr>
        <w:t>posebne</w:t>
      </w:r>
      <w:r w:rsidR="00EF2179" w:rsidRPr="001B53A8">
        <w:rPr>
          <w:lang w:val="sr-Latn-BA"/>
        </w:rPr>
        <w:t xml:space="preserve"> </w:t>
      </w:r>
      <w:r w:rsidRPr="001B53A8">
        <w:rPr>
          <w:lang w:val="sr-Latn-BA"/>
        </w:rPr>
        <w:t>mjere</w:t>
      </w:r>
      <w:r w:rsidR="00EF2179" w:rsidRPr="001B53A8">
        <w:rPr>
          <w:rStyle w:val="FootnoteReference"/>
          <w:lang w:val="sr-Latn-BA"/>
        </w:rPr>
        <w:footnoteReference w:id="38"/>
      </w:r>
      <w:r w:rsidR="00EF2179" w:rsidRPr="001B53A8">
        <w:rPr>
          <w:lang w:val="sr-Latn-BA"/>
        </w:rPr>
        <w:t xml:space="preserve">. </w:t>
      </w:r>
    </w:p>
    <w:p w14:paraId="33762F04" w14:textId="38E189BC" w:rsidR="00704D5B" w:rsidRDefault="00003F34" w:rsidP="003D08FA">
      <w:pPr>
        <w:rPr>
          <w:lang w:val="sr-Latn-BA"/>
        </w:rPr>
      </w:pPr>
      <w:r w:rsidRPr="001B53A8">
        <w:rPr>
          <w:lang w:val="sr-Latn-BA"/>
        </w:rPr>
        <w:t>Komisija</w:t>
      </w:r>
      <w:r w:rsidR="003D08FA" w:rsidRPr="001B53A8">
        <w:rPr>
          <w:lang w:val="sr-Latn-BA"/>
        </w:rPr>
        <w:t xml:space="preserve"> </w:t>
      </w:r>
      <w:r w:rsidRPr="001B53A8">
        <w:rPr>
          <w:lang w:val="sr-Latn-BA"/>
        </w:rPr>
        <w:t>je</w:t>
      </w:r>
      <w:r w:rsidR="003D08FA" w:rsidRPr="001B53A8">
        <w:rPr>
          <w:lang w:val="sr-Latn-BA"/>
        </w:rPr>
        <w:t xml:space="preserve"> </w:t>
      </w:r>
      <w:r w:rsidRPr="001B53A8">
        <w:rPr>
          <w:lang w:val="sr-Latn-BA"/>
        </w:rPr>
        <w:t>u</w:t>
      </w:r>
      <w:r w:rsidR="003D08FA" w:rsidRPr="001B53A8">
        <w:rPr>
          <w:lang w:val="sr-Latn-BA"/>
        </w:rPr>
        <w:t xml:space="preserve"> </w:t>
      </w:r>
      <w:r w:rsidRPr="001B53A8">
        <w:rPr>
          <w:lang w:val="sr-Latn-BA"/>
        </w:rPr>
        <w:t>toku</w:t>
      </w:r>
      <w:r w:rsidR="003D08FA" w:rsidRPr="001B53A8">
        <w:rPr>
          <w:lang w:val="sr-Latn-BA"/>
        </w:rPr>
        <w:t xml:space="preserve"> 2023. </w:t>
      </w:r>
      <w:r w:rsidRPr="001B53A8">
        <w:rPr>
          <w:lang w:val="sr-Latn-BA"/>
        </w:rPr>
        <w:t>godine</w:t>
      </w:r>
      <w:r w:rsidR="003D08FA" w:rsidRPr="001B53A8">
        <w:rPr>
          <w:lang w:val="sr-Latn-BA"/>
        </w:rPr>
        <w:t xml:space="preserve"> </w:t>
      </w:r>
      <w:r w:rsidRPr="001B53A8">
        <w:rPr>
          <w:lang w:val="sr-Latn-BA"/>
        </w:rPr>
        <w:t>izrekla</w:t>
      </w:r>
      <w:r w:rsidR="003D08FA" w:rsidRPr="001B53A8">
        <w:rPr>
          <w:lang w:val="sr-Latn-BA"/>
        </w:rPr>
        <w:t xml:space="preserve"> </w:t>
      </w:r>
      <w:r w:rsidRPr="001B53A8">
        <w:rPr>
          <w:lang w:val="sr-Latn-BA"/>
        </w:rPr>
        <w:t>jednu</w:t>
      </w:r>
      <w:r w:rsidR="003D08FA" w:rsidRPr="001B53A8">
        <w:rPr>
          <w:lang w:val="sr-Latn-BA"/>
        </w:rPr>
        <w:t xml:space="preserve"> </w:t>
      </w:r>
      <w:r w:rsidRPr="001B53A8">
        <w:rPr>
          <w:lang w:val="sr-Latn-BA"/>
        </w:rPr>
        <w:t>mjeru</w:t>
      </w:r>
      <w:r w:rsidR="003D08FA" w:rsidRPr="001B53A8">
        <w:rPr>
          <w:lang w:val="sr-Latn-BA"/>
        </w:rPr>
        <w:t xml:space="preserve"> </w:t>
      </w:r>
      <w:r w:rsidRPr="001B53A8">
        <w:rPr>
          <w:lang w:val="sr-Latn-BA"/>
        </w:rPr>
        <w:t>u</w:t>
      </w:r>
      <w:r w:rsidR="003D08FA" w:rsidRPr="001B53A8">
        <w:rPr>
          <w:lang w:val="sr-Latn-BA"/>
        </w:rPr>
        <w:t xml:space="preserve"> </w:t>
      </w:r>
      <w:r w:rsidRPr="001B53A8">
        <w:rPr>
          <w:lang w:val="sr-Latn-BA"/>
        </w:rPr>
        <w:t>okviru</w:t>
      </w:r>
      <w:r w:rsidR="003D08FA" w:rsidRPr="001B53A8">
        <w:rPr>
          <w:lang w:val="sr-Latn-BA"/>
        </w:rPr>
        <w:t xml:space="preserve"> </w:t>
      </w:r>
      <w:r w:rsidRPr="001B53A8">
        <w:rPr>
          <w:lang w:val="sr-Latn-BA"/>
        </w:rPr>
        <w:t>svojih</w:t>
      </w:r>
      <w:r w:rsidR="003D08FA" w:rsidRPr="001B53A8">
        <w:rPr>
          <w:lang w:val="sr-Latn-BA"/>
        </w:rPr>
        <w:t xml:space="preserve"> </w:t>
      </w:r>
      <w:r w:rsidRPr="001B53A8">
        <w:rPr>
          <w:lang w:val="sr-Latn-BA"/>
        </w:rPr>
        <w:t>ovlašćenja</w:t>
      </w:r>
      <w:r w:rsidR="003D08FA" w:rsidRPr="001B53A8">
        <w:rPr>
          <w:lang w:val="sr-Latn-BA"/>
        </w:rPr>
        <w:t xml:space="preserve"> </w:t>
      </w:r>
      <w:r w:rsidRPr="001B53A8">
        <w:rPr>
          <w:lang w:val="sr-Latn-BA"/>
        </w:rPr>
        <w:t>iz</w:t>
      </w:r>
      <w:r w:rsidR="003D08FA" w:rsidRPr="001B53A8">
        <w:rPr>
          <w:lang w:val="sr-Latn-BA"/>
        </w:rPr>
        <w:t xml:space="preserve"> </w:t>
      </w:r>
      <w:r w:rsidRPr="001B53A8">
        <w:rPr>
          <w:lang w:val="sr-Latn-BA"/>
        </w:rPr>
        <w:t>člana</w:t>
      </w:r>
      <w:r w:rsidR="003D08FA" w:rsidRPr="001B53A8">
        <w:rPr>
          <w:lang w:val="sr-Latn-BA"/>
        </w:rPr>
        <w:t xml:space="preserve"> 265. </w:t>
      </w:r>
      <w:r w:rsidRPr="001B53A8">
        <w:rPr>
          <w:lang w:val="sr-Latn-BA"/>
        </w:rPr>
        <w:t>Zakona</w:t>
      </w:r>
      <w:r w:rsidR="003D08FA" w:rsidRPr="001B53A8">
        <w:rPr>
          <w:lang w:val="sr-Latn-BA"/>
        </w:rPr>
        <w:t xml:space="preserve"> </w:t>
      </w:r>
      <w:r w:rsidRPr="001B53A8">
        <w:rPr>
          <w:lang w:val="sr-Latn-BA"/>
        </w:rPr>
        <w:t>o</w:t>
      </w:r>
      <w:r w:rsidR="003D08FA" w:rsidRPr="001B53A8">
        <w:rPr>
          <w:lang w:val="sr-Latn-BA"/>
        </w:rPr>
        <w:t xml:space="preserve"> </w:t>
      </w:r>
      <w:r w:rsidRPr="001B53A8">
        <w:rPr>
          <w:lang w:val="sr-Latn-BA"/>
        </w:rPr>
        <w:t>tržištu</w:t>
      </w:r>
      <w:r w:rsidR="003D08FA" w:rsidRPr="001B53A8">
        <w:rPr>
          <w:lang w:val="sr-Latn-BA"/>
        </w:rPr>
        <w:t xml:space="preserve"> </w:t>
      </w:r>
      <w:r w:rsidRPr="001B53A8">
        <w:rPr>
          <w:lang w:val="sr-Latn-BA"/>
        </w:rPr>
        <w:t>hartija</w:t>
      </w:r>
      <w:r w:rsidR="003D08FA" w:rsidRPr="001B53A8">
        <w:rPr>
          <w:lang w:val="sr-Latn-BA"/>
        </w:rPr>
        <w:t xml:space="preserve"> </w:t>
      </w:r>
      <w:r w:rsidRPr="001B53A8">
        <w:rPr>
          <w:lang w:val="sr-Latn-BA"/>
        </w:rPr>
        <w:t>od</w:t>
      </w:r>
      <w:r w:rsidR="003D08FA" w:rsidRPr="001B53A8">
        <w:rPr>
          <w:lang w:val="sr-Latn-BA"/>
        </w:rPr>
        <w:t xml:space="preserve"> </w:t>
      </w:r>
      <w:r w:rsidRPr="001B53A8">
        <w:rPr>
          <w:lang w:val="sr-Latn-BA"/>
        </w:rPr>
        <w:t>vrijednosti</w:t>
      </w:r>
      <w:r w:rsidR="003D08FA" w:rsidRPr="001B53A8">
        <w:rPr>
          <w:lang w:val="sr-Latn-BA"/>
        </w:rPr>
        <w:t xml:space="preserve">, </w:t>
      </w:r>
      <w:r w:rsidRPr="001B53A8">
        <w:rPr>
          <w:lang w:val="sr-Latn-BA"/>
        </w:rPr>
        <w:t>a</w:t>
      </w:r>
      <w:r w:rsidR="003D08FA" w:rsidRPr="001B53A8">
        <w:rPr>
          <w:lang w:val="sr-Latn-BA"/>
        </w:rPr>
        <w:t xml:space="preserve"> </w:t>
      </w:r>
      <w:r w:rsidRPr="001B53A8">
        <w:rPr>
          <w:lang w:val="sr-Latn-BA"/>
        </w:rPr>
        <w:t>koja</w:t>
      </w:r>
      <w:r w:rsidR="003D08FA" w:rsidRPr="001B53A8">
        <w:rPr>
          <w:lang w:val="sr-Latn-BA"/>
        </w:rPr>
        <w:t xml:space="preserve"> </w:t>
      </w:r>
      <w:r w:rsidRPr="001B53A8">
        <w:rPr>
          <w:lang w:val="sr-Latn-BA"/>
        </w:rPr>
        <w:t>se</w:t>
      </w:r>
      <w:r w:rsidR="003D08FA" w:rsidRPr="001B53A8">
        <w:rPr>
          <w:lang w:val="sr-Latn-BA"/>
        </w:rPr>
        <w:t xml:space="preserve"> </w:t>
      </w:r>
      <w:r w:rsidRPr="001B53A8">
        <w:rPr>
          <w:lang w:val="sr-Latn-BA"/>
        </w:rPr>
        <w:t>odnosi</w:t>
      </w:r>
      <w:r w:rsidR="003D08FA" w:rsidRPr="001B53A8">
        <w:rPr>
          <w:lang w:val="sr-Latn-BA"/>
        </w:rPr>
        <w:t xml:space="preserve"> </w:t>
      </w:r>
      <w:r w:rsidRPr="001B53A8">
        <w:rPr>
          <w:lang w:val="sr-Latn-BA"/>
        </w:rPr>
        <w:t>na</w:t>
      </w:r>
      <w:r w:rsidR="003D08FA" w:rsidRPr="001B53A8">
        <w:rPr>
          <w:lang w:val="sr-Latn-BA"/>
        </w:rPr>
        <w:t xml:space="preserve"> </w:t>
      </w:r>
      <w:r w:rsidRPr="001B53A8">
        <w:rPr>
          <w:lang w:val="sr-Latn-BA"/>
        </w:rPr>
        <w:t>otklanjanje</w:t>
      </w:r>
      <w:r w:rsidR="003D08FA" w:rsidRPr="001B53A8">
        <w:rPr>
          <w:lang w:val="sr-Latn-BA"/>
        </w:rPr>
        <w:t xml:space="preserve">  </w:t>
      </w:r>
      <w:r w:rsidRPr="001B53A8">
        <w:rPr>
          <w:lang w:val="sr-Latn-BA"/>
        </w:rPr>
        <w:t>utvrđenih</w:t>
      </w:r>
      <w:r w:rsidR="003D08FA" w:rsidRPr="001B53A8">
        <w:rPr>
          <w:lang w:val="sr-Latn-BA"/>
        </w:rPr>
        <w:t xml:space="preserve"> </w:t>
      </w:r>
      <w:r w:rsidRPr="001B53A8">
        <w:rPr>
          <w:lang w:val="sr-Latn-BA"/>
        </w:rPr>
        <w:t>nezakonitosti</w:t>
      </w:r>
      <w:r w:rsidR="003D08FA" w:rsidRPr="001B53A8">
        <w:rPr>
          <w:lang w:val="sr-Latn-BA"/>
        </w:rPr>
        <w:t xml:space="preserve"> </w:t>
      </w:r>
      <w:r w:rsidRPr="001B53A8">
        <w:rPr>
          <w:lang w:val="sr-Latn-BA"/>
        </w:rPr>
        <w:t>i</w:t>
      </w:r>
      <w:r w:rsidR="003D08FA" w:rsidRPr="001B53A8">
        <w:rPr>
          <w:lang w:val="sr-Latn-BA"/>
        </w:rPr>
        <w:t xml:space="preserve"> </w:t>
      </w:r>
      <w:r w:rsidRPr="001B53A8">
        <w:rPr>
          <w:lang w:val="sr-Latn-BA"/>
        </w:rPr>
        <w:t>nepravilnosti</w:t>
      </w:r>
      <w:r w:rsidR="003D08FA" w:rsidRPr="001B53A8">
        <w:rPr>
          <w:lang w:val="sr-Latn-BA"/>
        </w:rPr>
        <w:t xml:space="preserve"> </w:t>
      </w:r>
      <w:r w:rsidRPr="001B53A8">
        <w:rPr>
          <w:lang w:val="sr-Latn-BA"/>
        </w:rPr>
        <w:t>u</w:t>
      </w:r>
      <w:r w:rsidR="003D08FA" w:rsidRPr="001B53A8">
        <w:rPr>
          <w:lang w:val="sr-Latn-BA"/>
        </w:rPr>
        <w:t xml:space="preserve"> </w:t>
      </w:r>
      <w:r w:rsidRPr="001B53A8">
        <w:rPr>
          <w:lang w:val="sr-Latn-BA"/>
        </w:rPr>
        <w:t>postupku</w:t>
      </w:r>
      <w:r w:rsidR="003D08FA" w:rsidRPr="001B53A8">
        <w:rPr>
          <w:lang w:val="sr-Latn-BA"/>
        </w:rPr>
        <w:t xml:space="preserve"> </w:t>
      </w:r>
      <w:r w:rsidRPr="001B53A8">
        <w:rPr>
          <w:lang w:val="sr-Latn-BA"/>
        </w:rPr>
        <w:t>vanrednog</w:t>
      </w:r>
      <w:r w:rsidR="003D08FA" w:rsidRPr="001B53A8">
        <w:rPr>
          <w:lang w:val="sr-Latn-BA"/>
        </w:rPr>
        <w:t xml:space="preserve"> </w:t>
      </w:r>
      <w:r w:rsidRPr="001B53A8">
        <w:rPr>
          <w:lang w:val="sr-Latn-BA"/>
        </w:rPr>
        <w:t>nadzora</w:t>
      </w:r>
      <w:r w:rsidR="003D08FA" w:rsidRPr="001B53A8">
        <w:rPr>
          <w:lang w:val="sr-Latn-BA"/>
        </w:rPr>
        <w:t xml:space="preserve">, </w:t>
      </w:r>
      <w:r w:rsidRPr="001B53A8">
        <w:rPr>
          <w:lang w:val="sr-Latn-BA"/>
        </w:rPr>
        <w:t>te</w:t>
      </w:r>
      <w:r w:rsidR="003D08FA" w:rsidRPr="001B53A8">
        <w:rPr>
          <w:lang w:val="sr-Latn-BA"/>
        </w:rPr>
        <w:t xml:space="preserve"> </w:t>
      </w:r>
      <w:r w:rsidRPr="001B53A8">
        <w:rPr>
          <w:lang w:val="sr-Latn-BA"/>
        </w:rPr>
        <w:t>je</w:t>
      </w:r>
      <w:r w:rsidR="003D08FA" w:rsidRPr="001B53A8">
        <w:rPr>
          <w:lang w:val="sr-Latn-BA"/>
        </w:rPr>
        <w:t xml:space="preserve"> </w:t>
      </w:r>
      <w:r w:rsidRPr="001B53A8">
        <w:rPr>
          <w:lang w:val="sr-Latn-BA"/>
        </w:rPr>
        <w:t>vezi</w:t>
      </w:r>
      <w:r w:rsidR="003D08FA" w:rsidRPr="001B53A8">
        <w:rPr>
          <w:lang w:val="sr-Latn-BA"/>
        </w:rPr>
        <w:t xml:space="preserve"> </w:t>
      </w:r>
      <w:r w:rsidRPr="001B53A8">
        <w:rPr>
          <w:lang w:val="sr-Latn-BA"/>
        </w:rPr>
        <w:t>sa</w:t>
      </w:r>
      <w:r w:rsidR="003D08FA" w:rsidRPr="001B53A8">
        <w:rPr>
          <w:lang w:val="sr-Latn-BA"/>
        </w:rPr>
        <w:t xml:space="preserve"> </w:t>
      </w:r>
      <w:r w:rsidRPr="001B53A8">
        <w:rPr>
          <w:lang w:val="sr-Latn-BA"/>
        </w:rPr>
        <w:t>istim</w:t>
      </w:r>
      <w:r w:rsidR="003D08FA" w:rsidRPr="001B53A8">
        <w:rPr>
          <w:lang w:val="sr-Latn-BA"/>
        </w:rPr>
        <w:t xml:space="preserve"> </w:t>
      </w:r>
      <w:r w:rsidRPr="001B53A8">
        <w:rPr>
          <w:lang w:val="sr-Latn-BA"/>
        </w:rPr>
        <w:t>postupkom</w:t>
      </w:r>
      <w:r w:rsidR="003D08FA" w:rsidRPr="001B53A8">
        <w:rPr>
          <w:lang w:val="sr-Latn-BA"/>
        </w:rPr>
        <w:t xml:space="preserve"> </w:t>
      </w:r>
      <w:r w:rsidRPr="001B53A8">
        <w:rPr>
          <w:lang w:val="sr-Latn-BA"/>
        </w:rPr>
        <w:t>u</w:t>
      </w:r>
      <w:r w:rsidR="003D08FA" w:rsidRPr="001B53A8">
        <w:rPr>
          <w:lang w:val="sr-Latn-BA"/>
        </w:rPr>
        <w:t xml:space="preserve"> </w:t>
      </w:r>
      <w:r w:rsidRPr="001B53A8">
        <w:rPr>
          <w:lang w:val="sr-Latn-BA"/>
        </w:rPr>
        <w:t>izvještajnom</w:t>
      </w:r>
      <w:r w:rsidR="003D08FA" w:rsidRPr="001B53A8">
        <w:rPr>
          <w:lang w:val="sr-Latn-BA"/>
        </w:rPr>
        <w:t xml:space="preserve"> </w:t>
      </w:r>
      <w:r w:rsidRPr="001B53A8">
        <w:rPr>
          <w:lang w:val="sr-Latn-BA"/>
        </w:rPr>
        <w:t>periodu</w:t>
      </w:r>
      <w:r w:rsidR="003D08FA" w:rsidRPr="001B53A8">
        <w:rPr>
          <w:lang w:val="sr-Latn-BA"/>
        </w:rPr>
        <w:t xml:space="preserve"> </w:t>
      </w:r>
      <w:r w:rsidRPr="001B53A8">
        <w:rPr>
          <w:lang w:val="sr-Latn-BA"/>
        </w:rPr>
        <w:t>izrekla</w:t>
      </w:r>
      <w:r w:rsidR="003D08FA" w:rsidRPr="001B53A8">
        <w:rPr>
          <w:lang w:val="sr-Latn-BA"/>
        </w:rPr>
        <w:t xml:space="preserve"> </w:t>
      </w:r>
      <w:r w:rsidRPr="001B53A8">
        <w:rPr>
          <w:lang w:val="sr-Latn-BA"/>
        </w:rPr>
        <w:t>jednu</w:t>
      </w:r>
      <w:r w:rsidR="003D08FA" w:rsidRPr="001B53A8">
        <w:rPr>
          <w:lang w:val="sr-Latn-BA"/>
        </w:rPr>
        <w:t xml:space="preserve"> </w:t>
      </w:r>
      <w:r w:rsidRPr="001B53A8">
        <w:rPr>
          <w:lang w:val="sr-Latn-BA"/>
        </w:rPr>
        <w:t>mjere</w:t>
      </w:r>
      <w:r w:rsidR="003D08FA" w:rsidRPr="001B53A8">
        <w:rPr>
          <w:lang w:val="sr-Latn-BA"/>
        </w:rPr>
        <w:t xml:space="preserve"> </w:t>
      </w:r>
      <w:r w:rsidRPr="001B53A8">
        <w:rPr>
          <w:lang w:val="sr-Latn-BA"/>
        </w:rPr>
        <w:t>u</w:t>
      </w:r>
      <w:r w:rsidR="003D08FA" w:rsidRPr="001B53A8">
        <w:rPr>
          <w:lang w:val="sr-Latn-BA"/>
        </w:rPr>
        <w:t xml:space="preserve"> </w:t>
      </w:r>
      <w:r w:rsidRPr="001B53A8">
        <w:rPr>
          <w:lang w:val="sr-Latn-BA"/>
        </w:rPr>
        <w:t>okviru</w:t>
      </w:r>
      <w:r w:rsidR="003D08FA" w:rsidRPr="001B53A8">
        <w:rPr>
          <w:lang w:val="sr-Latn-BA"/>
        </w:rPr>
        <w:t xml:space="preserve"> </w:t>
      </w:r>
      <w:r w:rsidRPr="001B53A8">
        <w:rPr>
          <w:lang w:val="sr-Latn-BA"/>
        </w:rPr>
        <w:t>svojih</w:t>
      </w:r>
      <w:r w:rsidR="003D08FA" w:rsidRPr="001B53A8">
        <w:rPr>
          <w:lang w:val="sr-Latn-BA"/>
        </w:rPr>
        <w:t xml:space="preserve"> </w:t>
      </w:r>
      <w:r w:rsidRPr="001B53A8">
        <w:rPr>
          <w:lang w:val="sr-Latn-BA"/>
        </w:rPr>
        <w:t>ovlašćenja</w:t>
      </w:r>
      <w:r w:rsidR="003D08FA" w:rsidRPr="001B53A8">
        <w:rPr>
          <w:lang w:val="sr-Latn-BA"/>
        </w:rPr>
        <w:t xml:space="preserve"> </w:t>
      </w:r>
      <w:r w:rsidRPr="001B53A8">
        <w:rPr>
          <w:lang w:val="sr-Latn-BA"/>
        </w:rPr>
        <w:t>iz</w:t>
      </w:r>
      <w:r w:rsidR="003D08FA" w:rsidRPr="001B53A8">
        <w:rPr>
          <w:lang w:val="sr-Latn-BA"/>
        </w:rPr>
        <w:t xml:space="preserve"> </w:t>
      </w:r>
      <w:r w:rsidRPr="001B53A8">
        <w:rPr>
          <w:lang w:val="sr-Latn-BA"/>
        </w:rPr>
        <w:t>člana</w:t>
      </w:r>
      <w:r w:rsidR="003D08FA" w:rsidRPr="001B53A8">
        <w:rPr>
          <w:lang w:val="sr-Latn-BA"/>
        </w:rPr>
        <w:t xml:space="preserve"> 266. </w:t>
      </w:r>
      <w:r w:rsidRPr="001B53A8">
        <w:rPr>
          <w:lang w:val="sr-Latn-BA"/>
        </w:rPr>
        <w:t>Zakona</w:t>
      </w:r>
      <w:r w:rsidR="003D08FA" w:rsidRPr="001B53A8">
        <w:rPr>
          <w:lang w:val="sr-Latn-BA"/>
        </w:rPr>
        <w:t xml:space="preserve"> </w:t>
      </w:r>
      <w:r w:rsidRPr="001B53A8">
        <w:rPr>
          <w:lang w:val="sr-Latn-BA"/>
        </w:rPr>
        <w:t>o</w:t>
      </w:r>
      <w:r w:rsidR="003D08FA" w:rsidRPr="001B53A8">
        <w:rPr>
          <w:lang w:val="sr-Latn-BA"/>
        </w:rPr>
        <w:t xml:space="preserve"> </w:t>
      </w:r>
      <w:r w:rsidRPr="001B53A8">
        <w:rPr>
          <w:lang w:val="sr-Latn-BA"/>
        </w:rPr>
        <w:t>tržištu</w:t>
      </w:r>
      <w:r w:rsidR="003D08FA" w:rsidRPr="001B53A8">
        <w:rPr>
          <w:lang w:val="sr-Latn-BA"/>
        </w:rPr>
        <w:t xml:space="preserve"> </w:t>
      </w:r>
      <w:r w:rsidRPr="001B53A8">
        <w:rPr>
          <w:lang w:val="sr-Latn-BA"/>
        </w:rPr>
        <w:t>hartija</w:t>
      </w:r>
      <w:r w:rsidR="003D08FA" w:rsidRPr="001B53A8">
        <w:rPr>
          <w:lang w:val="sr-Latn-BA"/>
        </w:rPr>
        <w:t xml:space="preserve"> </w:t>
      </w:r>
      <w:r w:rsidRPr="001B53A8">
        <w:rPr>
          <w:lang w:val="sr-Latn-BA"/>
        </w:rPr>
        <w:t>od</w:t>
      </w:r>
      <w:r w:rsidR="003D08FA" w:rsidRPr="001B53A8">
        <w:rPr>
          <w:lang w:val="sr-Latn-BA"/>
        </w:rPr>
        <w:t xml:space="preserve"> </w:t>
      </w:r>
      <w:r w:rsidRPr="001B53A8">
        <w:rPr>
          <w:lang w:val="sr-Latn-BA"/>
        </w:rPr>
        <w:t>vrijednosti</w:t>
      </w:r>
      <w:r w:rsidR="003D08FA" w:rsidRPr="001B53A8">
        <w:rPr>
          <w:lang w:val="sr-Latn-BA"/>
        </w:rPr>
        <w:t xml:space="preserve"> </w:t>
      </w:r>
      <w:r w:rsidRPr="001B53A8">
        <w:rPr>
          <w:lang w:val="sr-Latn-BA"/>
        </w:rPr>
        <w:t>zbog</w:t>
      </w:r>
      <w:r w:rsidR="003D08FA" w:rsidRPr="001B53A8">
        <w:rPr>
          <w:lang w:val="sr-Latn-BA"/>
        </w:rPr>
        <w:t xml:space="preserve"> </w:t>
      </w:r>
      <w:r w:rsidRPr="001B53A8">
        <w:rPr>
          <w:lang w:val="sr-Latn-BA"/>
        </w:rPr>
        <w:t>kršenja</w:t>
      </w:r>
      <w:r w:rsidR="003D08FA" w:rsidRPr="001B53A8">
        <w:rPr>
          <w:lang w:val="sr-Latn-BA"/>
        </w:rPr>
        <w:t xml:space="preserve"> </w:t>
      </w:r>
      <w:r w:rsidRPr="001B53A8">
        <w:rPr>
          <w:lang w:val="sr-Latn-BA"/>
        </w:rPr>
        <w:t>odredbi</w:t>
      </w:r>
      <w:r w:rsidR="003D08FA" w:rsidRPr="001B53A8">
        <w:rPr>
          <w:lang w:val="sr-Latn-BA"/>
        </w:rPr>
        <w:t xml:space="preserve"> </w:t>
      </w:r>
      <w:r w:rsidRPr="001B53A8">
        <w:rPr>
          <w:lang w:val="sr-Latn-BA"/>
        </w:rPr>
        <w:t>Zakona</w:t>
      </w:r>
      <w:r w:rsidR="003D08FA" w:rsidRPr="001B53A8">
        <w:rPr>
          <w:lang w:val="sr-Latn-BA"/>
        </w:rPr>
        <w:t xml:space="preserve"> </w:t>
      </w:r>
      <w:r w:rsidRPr="001B53A8">
        <w:rPr>
          <w:lang w:val="sr-Latn-BA"/>
        </w:rPr>
        <w:t>o</w:t>
      </w:r>
      <w:r w:rsidR="003D08FA" w:rsidRPr="001B53A8">
        <w:rPr>
          <w:lang w:val="sr-Latn-BA"/>
        </w:rPr>
        <w:t xml:space="preserve"> </w:t>
      </w:r>
      <w:r w:rsidRPr="001B53A8">
        <w:rPr>
          <w:lang w:val="sr-Latn-BA"/>
        </w:rPr>
        <w:t>tržištu</w:t>
      </w:r>
      <w:r w:rsidR="003D08FA" w:rsidRPr="001B53A8">
        <w:rPr>
          <w:lang w:val="sr-Latn-BA"/>
        </w:rPr>
        <w:t xml:space="preserve"> </w:t>
      </w:r>
      <w:r w:rsidRPr="001B53A8">
        <w:rPr>
          <w:lang w:val="sr-Latn-BA"/>
        </w:rPr>
        <w:t>hartija</w:t>
      </w:r>
      <w:r w:rsidR="003D08FA" w:rsidRPr="001B53A8">
        <w:rPr>
          <w:lang w:val="sr-Latn-BA"/>
        </w:rPr>
        <w:t xml:space="preserve"> </w:t>
      </w:r>
      <w:r w:rsidRPr="001B53A8">
        <w:rPr>
          <w:lang w:val="sr-Latn-BA"/>
        </w:rPr>
        <w:t>od</w:t>
      </w:r>
      <w:r w:rsidR="003D08FA" w:rsidRPr="001B53A8">
        <w:rPr>
          <w:lang w:val="sr-Latn-BA"/>
        </w:rPr>
        <w:t xml:space="preserve"> </w:t>
      </w:r>
      <w:r w:rsidRPr="001B53A8">
        <w:rPr>
          <w:lang w:val="sr-Latn-BA"/>
        </w:rPr>
        <w:t>vrijednosti</w:t>
      </w:r>
      <w:r w:rsidR="00704D5B" w:rsidRPr="001B53A8">
        <w:rPr>
          <w:lang w:val="sr-Latn-BA"/>
        </w:rPr>
        <w:t xml:space="preserve">.  </w:t>
      </w:r>
    </w:p>
    <w:p w14:paraId="3F6DB2B6" w14:textId="6E6DB98B" w:rsidR="0035204D" w:rsidRDefault="0035204D" w:rsidP="003D08FA">
      <w:pPr>
        <w:rPr>
          <w:lang w:val="sr-Latn-BA"/>
        </w:rPr>
      </w:pPr>
    </w:p>
    <w:p w14:paraId="02740A01" w14:textId="680605CC" w:rsidR="0035204D" w:rsidRDefault="0035204D" w:rsidP="003D08FA">
      <w:pPr>
        <w:rPr>
          <w:lang w:val="sr-Latn-BA"/>
        </w:rPr>
      </w:pPr>
    </w:p>
    <w:p w14:paraId="4A1964CF" w14:textId="7B28F037" w:rsidR="0035204D" w:rsidRDefault="0035204D" w:rsidP="003D08FA">
      <w:pPr>
        <w:rPr>
          <w:lang w:val="sr-Latn-BA"/>
        </w:rPr>
      </w:pPr>
    </w:p>
    <w:p w14:paraId="6C946663" w14:textId="072DCF32" w:rsidR="0035204D" w:rsidRDefault="0035204D" w:rsidP="003D08FA">
      <w:pPr>
        <w:rPr>
          <w:lang w:val="sr-Latn-BA"/>
        </w:rPr>
      </w:pPr>
    </w:p>
    <w:p w14:paraId="037267F1" w14:textId="7A531BB9" w:rsidR="0035204D" w:rsidRDefault="0035204D" w:rsidP="003D08FA">
      <w:pPr>
        <w:rPr>
          <w:lang w:val="sr-Latn-BA"/>
        </w:rPr>
      </w:pPr>
    </w:p>
    <w:p w14:paraId="615B78D3" w14:textId="5A592D5D" w:rsidR="0035204D" w:rsidRDefault="0035204D" w:rsidP="003D08FA">
      <w:pPr>
        <w:rPr>
          <w:lang w:val="sr-Latn-BA"/>
        </w:rPr>
      </w:pPr>
    </w:p>
    <w:p w14:paraId="2A2E3EE0" w14:textId="77777777" w:rsidR="0035204D" w:rsidRPr="001B53A8" w:rsidRDefault="0035204D" w:rsidP="003D08FA">
      <w:pPr>
        <w:rPr>
          <w:lang w:val="sr-Latn-BA"/>
        </w:rPr>
      </w:pPr>
    </w:p>
    <w:p w14:paraId="38851373" w14:textId="52A47665" w:rsidR="009628CE" w:rsidRPr="001B53A8" w:rsidRDefault="00003F34" w:rsidP="003D4CF2">
      <w:pPr>
        <w:pStyle w:val="Heading1"/>
        <w:shd w:val="clear" w:color="auto" w:fill="auto"/>
        <w:spacing w:before="360" w:line="240" w:lineRule="auto"/>
        <w:ind w:left="567" w:hanging="567"/>
        <w:rPr>
          <w:rFonts w:ascii="Times New Roman" w:hAnsi="Times New Roman"/>
          <w:caps w:val="0"/>
          <w:color w:val="002060"/>
          <w:lang w:val="sr-Latn-BA"/>
        </w:rPr>
      </w:pPr>
      <w:bookmarkStart w:id="88" w:name="_Toc321408919"/>
      <w:bookmarkStart w:id="89" w:name="_Toc167962126"/>
      <w:r w:rsidRPr="001B53A8">
        <w:rPr>
          <w:rFonts w:ascii="Times New Roman" w:hAnsi="Times New Roman"/>
          <w:caps w:val="0"/>
          <w:color w:val="002060"/>
          <w:lang w:val="sr-Latn-BA"/>
        </w:rPr>
        <w:lastRenderedPageBreak/>
        <w:t>EDUKACIJA</w:t>
      </w:r>
      <w:bookmarkEnd w:id="88"/>
      <w:bookmarkEnd w:id="89"/>
    </w:p>
    <w:p w14:paraId="26AEE2EA" w14:textId="4299C968" w:rsidR="00875596" w:rsidRPr="001B53A8" w:rsidRDefault="00003F34" w:rsidP="00875596">
      <w:pPr>
        <w:spacing w:line="240" w:lineRule="auto"/>
        <w:ind w:firstLine="567"/>
        <w:rPr>
          <w:lang w:val="sr-Latn-BA"/>
        </w:rPr>
      </w:pPr>
      <w:r w:rsidRPr="001B53A8">
        <w:rPr>
          <w:lang w:val="sr-Latn-BA"/>
        </w:rPr>
        <w:t>Prisustvom</w:t>
      </w:r>
      <w:r w:rsidR="009628CE" w:rsidRPr="001B53A8">
        <w:rPr>
          <w:lang w:val="sr-Latn-BA"/>
        </w:rPr>
        <w:t xml:space="preserve"> </w:t>
      </w:r>
      <w:r w:rsidRPr="001B53A8">
        <w:rPr>
          <w:lang w:val="sr-Latn-BA"/>
        </w:rPr>
        <w:t>seminarima</w:t>
      </w:r>
      <w:r w:rsidR="009628CE" w:rsidRPr="001B53A8">
        <w:rPr>
          <w:lang w:val="sr-Latn-BA"/>
        </w:rPr>
        <w:t xml:space="preserve">, </w:t>
      </w:r>
      <w:r w:rsidRPr="001B53A8">
        <w:rPr>
          <w:lang w:val="sr-Latn-BA"/>
        </w:rPr>
        <w:t>konferencijama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okruglim</w:t>
      </w:r>
      <w:r w:rsidR="009628CE" w:rsidRPr="001B53A8">
        <w:rPr>
          <w:lang w:val="sr-Latn-BA"/>
        </w:rPr>
        <w:t xml:space="preserve"> </w:t>
      </w:r>
      <w:r w:rsidRPr="001B53A8">
        <w:rPr>
          <w:lang w:val="sr-Latn-BA"/>
        </w:rPr>
        <w:t>stolovima</w:t>
      </w:r>
      <w:r w:rsidR="009628CE" w:rsidRPr="001B53A8">
        <w:rPr>
          <w:lang w:val="sr-Latn-BA"/>
        </w:rPr>
        <w:t xml:space="preserve"> </w:t>
      </w:r>
      <w:r w:rsidRPr="001B53A8">
        <w:rPr>
          <w:lang w:val="sr-Latn-BA"/>
        </w:rPr>
        <w:t>izvršena</w:t>
      </w:r>
      <w:r w:rsidR="009628CE" w:rsidRPr="001B53A8">
        <w:rPr>
          <w:lang w:val="sr-Latn-BA"/>
        </w:rPr>
        <w:t xml:space="preserve"> </w:t>
      </w:r>
      <w:r w:rsidRPr="001B53A8">
        <w:rPr>
          <w:lang w:val="sr-Latn-BA"/>
        </w:rPr>
        <w:t>je</w:t>
      </w:r>
      <w:r w:rsidR="009628CE" w:rsidRPr="001B53A8">
        <w:rPr>
          <w:lang w:val="sr-Latn-BA"/>
        </w:rPr>
        <w:t xml:space="preserve"> </w:t>
      </w:r>
      <w:r w:rsidRPr="001B53A8">
        <w:rPr>
          <w:lang w:val="sr-Latn-BA"/>
        </w:rPr>
        <w:t>dalјa</w:t>
      </w:r>
      <w:r w:rsidR="009628CE" w:rsidRPr="001B53A8">
        <w:rPr>
          <w:lang w:val="sr-Latn-BA"/>
        </w:rPr>
        <w:t xml:space="preserve"> </w:t>
      </w:r>
      <w:r w:rsidRPr="001B53A8">
        <w:rPr>
          <w:lang w:val="sr-Latn-BA"/>
        </w:rPr>
        <w:t>edukacija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specijalizacija</w:t>
      </w:r>
      <w:r w:rsidR="009628CE" w:rsidRPr="001B53A8">
        <w:rPr>
          <w:lang w:val="sr-Latn-BA"/>
        </w:rPr>
        <w:t xml:space="preserve"> </w:t>
      </w:r>
      <w:r w:rsidRPr="001B53A8">
        <w:rPr>
          <w:lang w:val="sr-Latn-BA"/>
        </w:rPr>
        <w:t>članova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stručnih</w:t>
      </w:r>
      <w:r w:rsidR="009628CE" w:rsidRPr="001B53A8">
        <w:rPr>
          <w:lang w:val="sr-Latn-BA"/>
        </w:rPr>
        <w:t xml:space="preserve"> </w:t>
      </w:r>
      <w:r w:rsidRPr="001B53A8">
        <w:rPr>
          <w:lang w:val="sr-Latn-BA"/>
        </w:rPr>
        <w:t>saradnika</w:t>
      </w:r>
      <w:r w:rsidR="009628CE" w:rsidRPr="001B53A8">
        <w:rPr>
          <w:lang w:val="sr-Latn-BA"/>
        </w:rPr>
        <w:t xml:space="preserve"> </w:t>
      </w:r>
      <w:r w:rsidRPr="001B53A8">
        <w:rPr>
          <w:lang w:val="sr-Latn-BA"/>
        </w:rPr>
        <w:t>Komisije</w:t>
      </w:r>
      <w:r w:rsidR="009628CE" w:rsidRPr="001B53A8">
        <w:rPr>
          <w:lang w:val="sr-Latn-BA"/>
        </w:rPr>
        <w:t xml:space="preserve"> </w:t>
      </w:r>
      <w:r w:rsidRPr="001B53A8">
        <w:rPr>
          <w:lang w:val="sr-Latn-BA"/>
        </w:rPr>
        <w:t>po</w:t>
      </w:r>
      <w:r w:rsidR="009628CE" w:rsidRPr="001B53A8">
        <w:rPr>
          <w:lang w:val="sr-Latn-BA"/>
        </w:rPr>
        <w:t xml:space="preserve"> </w:t>
      </w:r>
      <w:r w:rsidRPr="001B53A8">
        <w:rPr>
          <w:lang w:val="sr-Latn-BA"/>
        </w:rPr>
        <w:t>pojedinim</w:t>
      </w:r>
      <w:r w:rsidR="009628CE" w:rsidRPr="001B53A8">
        <w:rPr>
          <w:lang w:val="sr-Latn-BA"/>
        </w:rPr>
        <w:t xml:space="preserve"> </w:t>
      </w:r>
      <w:r w:rsidRPr="001B53A8">
        <w:rPr>
          <w:lang w:val="sr-Latn-BA"/>
        </w:rPr>
        <w:t>oblastima</w:t>
      </w:r>
      <w:r w:rsidR="009628CE" w:rsidRPr="001B53A8">
        <w:rPr>
          <w:lang w:val="sr-Latn-BA"/>
        </w:rPr>
        <w:t>.</w:t>
      </w:r>
    </w:p>
    <w:tbl>
      <w:tblPr>
        <w:tblStyle w:val="LightGrid-Accent1"/>
        <w:tblW w:w="9913" w:type="dxa"/>
        <w:jc w:val="center"/>
        <w:tblLook w:val="04A0" w:firstRow="1" w:lastRow="0" w:firstColumn="1" w:lastColumn="0" w:noHBand="0" w:noVBand="1"/>
      </w:tblPr>
      <w:tblGrid>
        <w:gridCol w:w="478"/>
        <w:gridCol w:w="2211"/>
        <w:gridCol w:w="3603"/>
        <w:gridCol w:w="1418"/>
        <w:gridCol w:w="2203"/>
      </w:tblGrid>
      <w:tr w:rsidR="00875596" w:rsidRPr="00A47DF9" w14:paraId="70FCEBBB" w14:textId="77777777" w:rsidTr="001B53A8">
        <w:trPr>
          <w:cnfStyle w:val="100000000000" w:firstRow="1" w:lastRow="0" w:firstColumn="0" w:lastColumn="0" w:oddVBand="0" w:evenVBand="0" w:oddHBand="0" w:evenHBand="0" w:firstRowFirstColumn="0" w:firstRowLastColumn="0" w:lastRowFirstColumn="0" w:lastRowLastColumn="0"/>
          <w:trHeight w:val="264"/>
          <w:jc w:val="center"/>
        </w:trPr>
        <w:tc>
          <w:tcPr>
            <w:cnfStyle w:val="001000000000" w:firstRow="0" w:lastRow="0" w:firstColumn="1" w:lastColumn="0" w:oddVBand="0" w:evenVBand="0" w:oddHBand="0" w:evenHBand="0" w:firstRowFirstColumn="0" w:firstRowLastColumn="0" w:lastRowFirstColumn="0" w:lastRowLastColumn="0"/>
            <w:tcW w:w="478" w:type="dxa"/>
            <w:vAlign w:val="center"/>
          </w:tcPr>
          <w:p w14:paraId="699905F1" w14:textId="5E353006" w:rsidR="00875596" w:rsidRPr="00A47DF9" w:rsidRDefault="00003F34" w:rsidP="001B53A8">
            <w:pPr>
              <w:spacing w:after="0" w:line="240" w:lineRule="auto"/>
              <w:ind w:firstLine="0"/>
              <w:jc w:val="left"/>
              <w:rPr>
                <w:rFonts w:ascii="Times New Roman" w:hAnsi="Times New Roman" w:cs="Times New Roman"/>
                <w:b w:val="0"/>
                <w:sz w:val="20"/>
                <w:szCs w:val="20"/>
                <w:lang w:val="sr-Latn-BA"/>
              </w:rPr>
            </w:pPr>
            <w:r w:rsidRPr="00A47DF9">
              <w:rPr>
                <w:rFonts w:ascii="Times New Roman" w:hAnsi="Times New Roman" w:cs="Times New Roman"/>
                <w:sz w:val="20"/>
                <w:szCs w:val="20"/>
                <w:lang w:val="sr-Latn-BA"/>
              </w:rPr>
              <w:t>R</w:t>
            </w:r>
            <w:r w:rsidR="00875596" w:rsidRPr="00A47DF9">
              <w:rPr>
                <w:rFonts w:ascii="Times New Roman" w:hAnsi="Times New Roman" w:cs="Times New Roman"/>
                <w:sz w:val="20"/>
                <w:szCs w:val="20"/>
                <w:lang w:val="sr-Latn-BA"/>
              </w:rPr>
              <w:t>.</w:t>
            </w:r>
          </w:p>
          <w:p w14:paraId="2E85DDE5" w14:textId="100AE8C0" w:rsidR="00875596" w:rsidRPr="00A47DF9" w:rsidRDefault="00003F34" w:rsidP="001B53A8">
            <w:pPr>
              <w:spacing w:after="0" w:line="240" w:lineRule="auto"/>
              <w:ind w:firstLine="0"/>
              <w:jc w:val="left"/>
              <w:rPr>
                <w:rFonts w:ascii="Times New Roman" w:hAnsi="Times New Roman" w:cs="Times New Roman"/>
                <w:sz w:val="20"/>
                <w:szCs w:val="20"/>
                <w:lang w:val="sr-Latn-BA"/>
              </w:rPr>
            </w:pPr>
            <w:r w:rsidRPr="00A47DF9">
              <w:rPr>
                <w:rFonts w:ascii="Times New Roman" w:hAnsi="Times New Roman" w:cs="Times New Roman"/>
                <w:sz w:val="20"/>
                <w:szCs w:val="20"/>
                <w:lang w:val="sr-Latn-BA"/>
              </w:rPr>
              <w:t>br</w:t>
            </w:r>
            <w:r w:rsidR="00875596" w:rsidRPr="00A47DF9">
              <w:rPr>
                <w:rFonts w:ascii="Times New Roman" w:hAnsi="Times New Roman" w:cs="Times New Roman"/>
                <w:sz w:val="20"/>
                <w:szCs w:val="20"/>
                <w:lang w:val="sr-Latn-BA"/>
              </w:rPr>
              <w:t>.</w:t>
            </w:r>
          </w:p>
        </w:tc>
        <w:tc>
          <w:tcPr>
            <w:tcW w:w="2211" w:type="dxa"/>
            <w:vAlign w:val="center"/>
          </w:tcPr>
          <w:p w14:paraId="609E70E2" w14:textId="55B2E9D7" w:rsidR="00875596" w:rsidRPr="00A47DF9" w:rsidRDefault="00003F34" w:rsidP="001B53A8">
            <w:pPr>
              <w:spacing w:after="0" w:line="240" w:lineRule="auto"/>
              <w:ind w:firstLine="0"/>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sr-Latn-BA"/>
              </w:rPr>
            </w:pPr>
            <w:r w:rsidRPr="00A47DF9">
              <w:rPr>
                <w:rFonts w:ascii="Times New Roman" w:hAnsi="Times New Roman" w:cs="Times New Roman"/>
                <w:sz w:val="20"/>
                <w:szCs w:val="20"/>
                <w:lang w:val="sr-Latn-BA"/>
              </w:rPr>
              <w:t>Aktivnosti</w:t>
            </w:r>
          </w:p>
        </w:tc>
        <w:tc>
          <w:tcPr>
            <w:tcW w:w="3603" w:type="dxa"/>
            <w:vAlign w:val="center"/>
          </w:tcPr>
          <w:p w14:paraId="395D6E03" w14:textId="33157153" w:rsidR="00875596" w:rsidRPr="00A47DF9" w:rsidRDefault="00003F34" w:rsidP="001B53A8">
            <w:pPr>
              <w:spacing w:after="0" w:line="240" w:lineRule="auto"/>
              <w:ind w:firstLine="0"/>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sr-Latn-BA"/>
              </w:rPr>
            </w:pPr>
            <w:r w:rsidRPr="00A47DF9">
              <w:rPr>
                <w:rFonts w:ascii="Times New Roman" w:hAnsi="Times New Roman" w:cs="Times New Roman"/>
                <w:sz w:val="20"/>
                <w:szCs w:val="20"/>
                <w:lang w:val="sr-Latn-BA"/>
              </w:rPr>
              <w:t>Teme</w:t>
            </w:r>
          </w:p>
        </w:tc>
        <w:tc>
          <w:tcPr>
            <w:tcW w:w="1418" w:type="dxa"/>
            <w:vAlign w:val="center"/>
          </w:tcPr>
          <w:p w14:paraId="50522FBF" w14:textId="672426A9" w:rsidR="00875596" w:rsidRPr="00A47DF9" w:rsidRDefault="00003F34" w:rsidP="001B53A8">
            <w:pPr>
              <w:spacing w:after="0" w:line="240" w:lineRule="auto"/>
              <w:ind w:firstLine="0"/>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sr-Latn-BA"/>
              </w:rPr>
            </w:pPr>
            <w:r w:rsidRPr="00A47DF9">
              <w:rPr>
                <w:rFonts w:ascii="Times New Roman" w:hAnsi="Times New Roman" w:cs="Times New Roman"/>
                <w:b w:val="0"/>
                <w:sz w:val="20"/>
                <w:szCs w:val="20"/>
                <w:lang w:val="sr-Latn-BA"/>
              </w:rPr>
              <w:t>Organizator</w:t>
            </w:r>
          </w:p>
        </w:tc>
        <w:tc>
          <w:tcPr>
            <w:tcW w:w="2203" w:type="dxa"/>
            <w:vAlign w:val="center"/>
          </w:tcPr>
          <w:p w14:paraId="7BFE973D" w14:textId="080BBDD2" w:rsidR="00875596" w:rsidRPr="00A47DF9" w:rsidRDefault="00003F34" w:rsidP="001B53A8">
            <w:pPr>
              <w:spacing w:after="0" w:line="240" w:lineRule="auto"/>
              <w:ind w:firstLine="0"/>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lang w:val="sr-Latn-BA"/>
              </w:rPr>
            </w:pPr>
            <w:r w:rsidRPr="00A47DF9">
              <w:rPr>
                <w:rFonts w:ascii="Times New Roman" w:hAnsi="Times New Roman" w:cs="Times New Roman"/>
                <w:sz w:val="20"/>
                <w:szCs w:val="20"/>
                <w:lang w:val="sr-Latn-BA"/>
              </w:rPr>
              <w:t>Predavač</w:t>
            </w:r>
          </w:p>
        </w:tc>
      </w:tr>
      <w:tr w:rsidR="00875596" w:rsidRPr="001B53A8" w14:paraId="28003F3A" w14:textId="77777777" w:rsidTr="00875596">
        <w:trPr>
          <w:cnfStyle w:val="000000100000" w:firstRow="0" w:lastRow="0" w:firstColumn="0" w:lastColumn="0" w:oddVBand="0" w:evenVBand="0" w:oddHBand="1" w:evenHBand="0" w:firstRowFirstColumn="0" w:firstRowLastColumn="0" w:lastRowFirstColumn="0" w:lastRowLastColumn="0"/>
          <w:trHeight w:val="850"/>
          <w:jc w:val="center"/>
        </w:trPr>
        <w:tc>
          <w:tcPr>
            <w:cnfStyle w:val="001000000000" w:firstRow="0" w:lastRow="0" w:firstColumn="1" w:lastColumn="0" w:oddVBand="0" w:evenVBand="0" w:oddHBand="0" w:evenHBand="0" w:firstRowFirstColumn="0" w:firstRowLastColumn="0" w:lastRowFirstColumn="0" w:lastRowLastColumn="0"/>
            <w:tcW w:w="478" w:type="dxa"/>
          </w:tcPr>
          <w:p w14:paraId="31EC466B" w14:textId="77777777" w:rsidR="00875596" w:rsidRPr="001B53A8" w:rsidRDefault="00875596" w:rsidP="00875596">
            <w:pPr>
              <w:spacing w:after="0" w:line="240" w:lineRule="auto"/>
              <w:ind w:firstLine="0"/>
              <w:rPr>
                <w:rFonts w:ascii="Times New Roman" w:hAnsi="Times New Roman" w:cs="Times New Roman"/>
                <w:sz w:val="20"/>
                <w:szCs w:val="20"/>
                <w:lang w:val="sr-Latn-BA"/>
              </w:rPr>
            </w:pPr>
            <w:r w:rsidRPr="001B53A8">
              <w:rPr>
                <w:rFonts w:ascii="Times New Roman" w:hAnsi="Times New Roman" w:cs="Times New Roman"/>
                <w:sz w:val="20"/>
                <w:szCs w:val="20"/>
                <w:lang w:val="sr-Latn-BA"/>
              </w:rPr>
              <w:t>1.</w:t>
            </w:r>
          </w:p>
        </w:tc>
        <w:tc>
          <w:tcPr>
            <w:tcW w:w="2211" w:type="dxa"/>
          </w:tcPr>
          <w:p w14:paraId="5056367C" w14:textId="3D633166" w:rsidR="00875596" w:rsidRPr="001B53A8" w:rsidRDefault="00003F34"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rStyle w:val="BookTitle"/>
                <w:b w:val="0"/>
                <w:bCs w:val="0"/>
                <w:i w:val="0"/>
                <w:iCs w:val="0"/>
                <w:sz w:val="20"/>
                <w:szCs w:val="20"/>
                <w:lang w:val="sr-Latn-BA"/>
              </w:rPr>
            </w:pPr>
            <w:r w:rsidRPr="001B53A8">
              <w:rPr>
                <w:rStyle w:val="BookTitle"/>
                <w:b w:val="0"/>
                <w:bCs w:val="0"/>
                <w:i w:val="0"/>
                <w:iCs w:val="0"/>
                <w:sz w:val="20"/>
                <w:szCs w:val="20"/>
                <w:lang w:val="sr-Latn-BA"/>
              </w:rPr>
              <w:t>SAVJETOVANјE</w:t>
            </w:r>
            <w:r w:rsidR="00875596" w:rsidRPr="001B53A8">
              <w:rPr>
                <w:rStyle w:val="BookTitle"/>
                <w:b w:val="0"/>
                <w:bCs w:val="0"/>
                <w:i w:val="0"/>
                <w:iCs w:val="0"/>
                <w:sz w:val="20"/>
                <w:szCs w:val="20"/>
                <w:lang w:val="sr-Latn-BA"/>
              </w:rPr>
              <w:t xml:space="preserve"> </w:t>
            </w:r>
            <w:r w:rsidRPr="001B53A8">
              <w:rPr>
                <w:rStyle w:val="BookTitle"/>
                <w:b w:val="0"/>
                <w:bCs w:val="0"/>
                <w:i w:val="0"/>
                <w:iCs w:val="0"/>
                <w:sz w:val="20"/>
                <w:szCs w:val="20"/>
                <w:lang w:val="sr-Latn-BA"/>
              </w:rPr>
              <w:t>IZ</w:t>
            </w:r>
            <w:r w:rsidR="00875596" w:rsidRPr="001B53A8">
              <w:rPr>
                <w:rStyle w:val="BookTitle"/>
                <w:b w:val="0"/>
                <w:bCs w:val="0"/>
                <w:i w:val="0"/>
                <w:iCs w:val="0"/>
                <w:sz w:val="20"/>
                <w:szCs w:val="20"/>
                <w:lang w:val="sr-Latn-BA"/>
              </w:rPr>
              <w:t xml:space="preserve"> </w:t>
            </w:r>
          </w:p>
          <w:p w14:paraId="1675150E" w14:textId="02CCD87F" w:rsidR="00875596" w:rsidRPr="001B53A8" w:rsidRDefault="00003F34"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rStyle w:val="BookTitle"/>
                <w:b w:val="0"/>
                <w:bCs w:val="0"/>
                <w:i w:val="0"/>
                <w:iCs w:val="0"/>
                <w:sz w:val="20"/>
                <w:szCs w:val="20"/>
                <w:lang w:val="sr-Latn-BA"/>
              </w:rPr>
            </w:pPr>
            <w:r w:rsidRPr="001B53A8">
              <w:rPr>
                <w:rStyle w:val="BookTitle"/>
                <w:b w:val="0"/>
                <w:bCs w:val="0"/>
                <w:i w:val="0"/>
                <w:iCs w:val="0"/>
                <w:sz w:val="20"/>
                <w:szCs w:val="20"/>
                <w:lang w:val="sr-Latn-BA"/>
              </w:rPr>
              <w:t>JAVNIH</w:t>
            </w:r>
            <w:r w:rsidR="00875596" w:rsidRPr="001B53A8">
              <w:rPr>
                <w:rStyle w:val="BookTitle"/>
                <w:b w:val="0"/>
                <w:bCs w:val="0"/>
                <w:i w:val="0"/>
                <w:iCs w:val="0"/>
                <w:sz w:val="20"/>
                <w:szCs w:val="20"/>
                <w:lang w:val="sr-Latn-BA"/>
              </w:rPr>
              <w:t xml:space="preserve"> </w:t>
            </w:r>
            <w:r w:rsidRPr="001B53A8">
              <w:rPr>
                <w:rStyle w:val="BookTitle"/>
                <w:b w:val="0"/>
                <w:bCs w:val="0"/>
                <w:i w:val="0"/>
                <w:iCs w:val="0"/>
                <w:sz w:val="20"/>
                <w:szCs w:val="20"/>
                <w:lang w:val="sr-Latn-BA"/>
              </w:rPr>
              <w:t>NABAVKI</w:t>
            </w:r>
            <w:r w:rsidR="00875596" w:rsidRPr="001B53A8">
              <w:rPr>
                <w:rStyle w:val="BookTitle"/>
                <w:b w:val="0"/>
                <w:bCs w:val="0"/>
                <w:i w:val="0"/>
                <w:iCs w:val="0"/>
                <w:sz w:val="20"/>
                <w:szCs w:val="20"/>
                <w:lang w:val="sr-Latn-BA"/>
              </w:rPr>
              <w:t xml:space="preserve"> </w:t>
            </w:r>
          </w:p>
          <w:p w14:paraId="24B5840B" w14:textId="3EC6E1B9" w:rsidR="00875596" w:rsidRPr="001B53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rStyle w:val="BookTitle"/>
                <w:b w:val="0"/>
                <w:bCs w:val="0"/>
                <w:i w:val="0"/>
                <w:iCs w:val="0"/>
                <w:sz w:val="20"/>
                <w:szCs w:val="20"/>
                <w:lang w:val="sr-Latn-BA"/>
              </w:rPr>
            </w:pPr>
            <w:r w:rsidRPr="001B53A8">
              <w:rPr>
                <w:rStyle w:val="BookTitle"/>
                <w:b w:val="0"/>
                <w:bCs w:val="0"/>
                <w:i w:val="0"/>
                <w:iCs w:val="0"/>
                <w:sz w:val="20"/>
                <w:szCs w:val="20"/>
                <w:lang w:val="sr-Latn-BA"/>
              </w:rPr>
              <w:t xml:space="preserve">17.2.2023. </w:t>
            </w:r>
            <w:r w:rsidRPr="001B53A8">
              <w:rPr>
                <w:b/>
                <w:bCs/>
                <w:i/>
                <w:iCs/>
                <w:sz w:val="20"/>
                <w:szCs w:val="20"/>
                <w:lang w:val="sr-Latn-BA"/>
              </w:rPr>
              <w:t xml:space="preserve"> </w:t>
            </w:r>
            <w:r w:rsidR="00003F34" w:rsidRPr="001B53A8">
              <w:rPr>
                <w:rStyle w:val="BookTitle"/>
                <w:b w:val="0"/>
                <w:bCs w:val="0"/>
                <w:i w:val="0"/>
                <w:iCs w:val="0"/>
                <w:sz w:val="20"/>
                <w:szCs w:val="20"/>
                <w:lang w:val="sr-Latn-BA"/>
              </w:rPr>
              <w:t>HOTEL</w:t>
            </w:r>
            <w:r w:rsidRPr="001B53A8">
              <w:rPr>
                <w:rStyle w:val="BookTitle"/>
                <w:b w:val="0"/>
                <w:bCs w:val="0"/>
                <w:i w:val="0"/>
                <w:iCs w:val="0"/>
                <w:sz w:val="20"/>
                <w:szCs w:val="20"/>
                <w:lang w:val="sr-Latn-BA"/>
              </w:rPr>
              <w:t xml:space="preserve"> „</w:t>
            </w:r>
            <w:r w:rsidR="00003F34" w:rsidRPr="001B53A8">
              <w:rPr>
                <w:rStyle w:val="BookTitle"/>
                <w:b w:val="0"/>
                <w:bCs w:val="0"/>
                <w:i w:val="0"/>
                <w:iCs w:val="0"/>
                <w:sz w:val="20"/>
                <w:szCs w:val="20"/>
                <w:lang w:val="sr-Latn-BA"/>
              </w:rPr>
              <w:t>JELENA</w:t>
            </w:r>
            <w:r w:rsidRPr="001B53A8">
              <w:rPr>
                <w:rStyle w:val="BookTitle"/>
                <w:b w:val="0"/>
                <w:bCs w:val="0"/>
                <w:i w:val="0"/>
                <w:iCs w:val="0"/>
                <w:sz w:val="20"/>
                <w:szCs w:val="20"/>
                <w:lang w:val="sr-Latn-BA"/>
              </w:rPr>
              <w:t xml:space="preserve">“ -  </w:t>
            </w:r>
            <w:r w:rsidR="00003F34" w:rsidRPr="001B53A8">
              <w:rPr>
                <w:rStyle w:val="BookTitle"/>
                <w:b w:val="0"/>
                <w:bCs w:val="0"/>
                <w:i w:val="0"/>
                <w:iCs w:val="0"/>
                <w:sz w:val="20"/>
                <w:szCs w:val="20"/>
                <w:lang w:val="sr-Latn-BA"/>
              </w:rPr>
              <w:t>BANјA</w:t>
            </w:r>
            <w:r w:rsidRPr="001B53A8">
              <w:rPr>
                <w:rStyle w:val="BookTitle"/>
                <w:b w:val="0"/>
                <w:bCs w:val="0"/>
                <w:i w:val="0"/>
                <w:iCs w:val="0"/>
                <w:sz w:val="20"/>
                <w:szCs w:val="20"/>
                <w:lang w:val="sr-Latn-BA"/>
              </w:rPr>
              <w:t xml:space="preserve"> </w:t>
            </w:r>
            <w:r w:rsidR="00003F34" w:rsidRPr="001B53A8">
              <w:rPr>
                <w:rStyle w:val="BookTitle"/>
                <w:b w:val="0"/>
                <w:bCs w:val="0"/>
                <w:i w:val="0"/>
                <w:iCs w:val="0"/>
                <w:sz w:val="20"/>
                <w:szCs w:val="20"/>
                <w:lang w:val="sr-Latn-BA"/>
              </w:rPr>
              <w:t>LUKA</w:t>
            </w:r>
          </w:p>
          <w:p w14:paraId="6297582F" w14:textId="77777777" w:rsidR="00875596" w:rsidRPr="001B53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bCs/>
                <w:sz w:val="20"/>
                <w:szCs w:val="20"/>
                <w:lang w:val="sr-Latn-BA"/>
              </w:rPr>
            </w:pPr>
          </w:p>
        </w:tc>
        <w:tc>
          <w:tcPr>
            <w:tcW w:w="3603" w:type="dxa"/>
          </w:tcPr>
          <w:p w14:paraId="631EFA22" w14:textId="79C8D5E7" w:rsidR="00875596" w:rsidRPr="001B53A8" w:rsidRDefault="00003F34"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sz w:val="20"/>
                <w:szCs w:val="20"/>
                <w:lang w:val="sr-Latn-BA"/>
              </w:rPr>
            </w:pPr>
            <w:r w:rsidRPr="001B53A8">
              <w:rPr>
                <w:rFonts w:eastAsiaTheme="majorEastAsia"/>
                <w:sz w:val="20"/>
                <w:szCs w:val="20"/>
                <w:lang w:val="sr-Latn-BA"/>
              </w:rPr>
              <w:t>Odgovornost</w:t>
            </w:r>
            <w:r w:rsidR="00875596" w:rsidRPr="001B53A8">
              <w:rPr>
                <w:rFonts w:eastAsiaTheme="majorEastAsia"/>
                <w:sz w:val="20"/>
                <w:szCs w:val="20"/>
                <w:lang w:val="sr-Latn-BA"/>
              </w:rPr>
              <w:t xml:space="preserve"> </w:t>
            </w:r>
            <w:r w:rsidRPr="001B53A8">
              <w:rPr>
                <w:rFonts w:eastAsiaTheme="majorEastAsia"/>
                <w:sz w:val="20"/>
                <w:szCs w:val="20"/>
                <w:lang w:val="sr-Latn-BA"/>
              </w:rPr>
              <w:t>ugovornih</w:t>
            </w:r>
            <w:r w:rsidR="00875596" w:rsidRPr="001B53A8">
              <w:rPr>
                <w:rFonts w:eastAsiaTheme="majorEastAsia"/>
                <w:sz w:val="20"/>
                <w:szCs w:val="20"/>
                <w:lang w:val="sr-Latn-BA"/>
              </w:rPr>
              <w:t xml:space="preserve"> </w:t>
            </w:r>
            <w:r w:rsidRPr="001B53A8">
              <w:rPr>
                <w:rFonts w:eastAsiaTheme="majorEastAsia"/>
                <w:sz w:val="20"/>
                <w:szCs w:val="20"/>
                <w:lang w:val="sr-Latn-BA"/>
              </w:rPr>
              <w:t>organa</w:t>
            </w:r>
            <w:r w:rsidR="00875596" w:rsidRPr="001B53A8">
              <w:rPr>
                <w:rFonts w:eastAsiaTheme="majorEastAsia"/>
                <w:sz w:val="20"/>
                <w:szCs w:val="20"/>
                <w:lang w:val="sr-Latn-BA"/>
              </w:rPr>
              <w:t xml:space="preserve"> </w:t>
            </w:r>
            <w:r w:rsidRPr="001B53A8">
              <w:rPr>
                <w:rFonts w:eastAsiaTheme="majorEastAsia"/>
                <w:sz w:val="20"/>
                <w:szCs w:val="20"/>
                <w:lang w:val="sr-Latn-BA"/>
              </w:rPr>
              <w:t>i</w:t>
            </w:r>
            <w:r w:rsidR="00875596" w:rsidRPr="001B53A8">
              <w:rPr>
                <w:rFonts w:eastAsiaTheme="majorEastAsia"/>
                <w:sz w:val="20"/>
                <w:szCs w:val="20"/>
                <w:lang w:val="sr-Latn-BA"/>
              </w:rPr>
              <w:t xml:space="preserve"> </w:t>
            </w:r>
            <w:r w:rsidRPr="001B53A8">
              <w:rPr>
                <w:rFonts w:eastAsiaTheme="majorEastAsia"/>
                <w:sz w:val="20"/>
                <w:szCs w:val="20"/>
                <w:lang w:val="sr-Latn-BA"/>
              </w:rPr>
              <w:t>ponuđača</w:t>
            </w:r>
            <w:r w:rsidR="00875596" w:rsidRPr="001B53A8">
              <w:rPr>
                <w:rFonts w:eastAsiaTheme="majorEastAsia"/>
                <w:sz w:val="20"/>
                <w:szCs w:val="20"/>
                <w:lang w:val="sr-Latn-BA"/>
              </w:rPr>
              <w:t xml:space="preserve"> </w:t>
            </w:r>
            <w:r w:rsidRPr="001B53A8">
              <w:rPr>
                <w:rFonts w:eastAsiaTheme="majorEastAsia"/>
                <w:sz w:val="20"/>
                <w:szCs w:val="20"/>
                <w:lang w:val="sr-Latn-BA"/>
              </w:rPr>
              <w:t>u</w:t>
            </w:r>
            <w:r w:rsidR="00875596" w:rsidRPr="001B53A8">
              <w:rPr>
                <w:rFonts w:eastAsiaTheme="majorEastAsia"/>
                <w:sz w:val="20"/>
                <w:szCs w:val="20"/>
                <w:lang w:val="sr-Latn-BA"/>
              </w:rPr>
              <w:t xml:space="preserve"> </w:t>
            </w:r>
            <w:r w:rsidRPr="001B53A8">
              <w:rPr>
                <w:rFonts w:eastAsiaTheme="majorEastAsia"/>
                <w:sz w:val="20"/>
                <w:szCs w:val="20"/>
                <w:lang w:val="sr-Latn-BA"/>
              </w:rPr>
              <w:t>procesu</w:t>
            </w:r>
            <w:r w:rsidR="00875596" w:rsidRPr="001B53A8">
              <w:rPr>
                <w:rFonts w:eastAsiaTheme="majorEastAsia"/>
                <w:sz w:val="20"/>
                <w:szCs w:val="20"/>
                <w:lang w:val="sr-Latn-BA"/>
              </w:rPr>
              <w:t xml:space="preserve"> </w:t>
            </w:r>
            <w:r w:rsidRPr="001B53A8">
              <w:rPr>
                <w:rFonts w:eastAsiaTheme="majorEastAsia"/>
                <w:sz w:val="20"/>
                <w:szCs w:val="20"/>
                <w:lang w:val="sr-Latn-BA"/>
              </w:rPr>
              <w:t>realizacije</w:t>
            </w:r>
            <w:r w:rsidR="00875596" w:rsidRPr="001B53A8">
              <w:rPr>
                <w:rFonts w:eastAsiaTheme="majorEastAsia"/>
                <w:sz w:val="20"/>
                <w:szCs w:val="20"/>
                <w:lang w:val="sr-Latn-BA"/>
              </w:rPr>
              <w:t xml:space="preserve">, </w:t>
            </w:r>
            <w:r w:rsidRPr="001B53A8">
              <w:rPr>
                <w:rFonts w:eastAsiaTheme="majorEastAsia"/>
                <w:sz w:val="20"/>
                <w:szCs w:val="20"/>
                <w:lang w:val="sr-Latn-BA"/>
              </w:rPr>
              <w:t>novine</w:t>
            </w:r>
            <w:r w:rsidR="00875596" w:rsidRPr="001B53A8">
              <w:rPr>
                <w:rFonts w:eastAsiaTheme="majorEastAsia"/>
                <w:sz w:val="20"/>
                <w:szCs w:val="20"/>
                <w:lang w:val="sr-Latn-BA"/>
              </w:rPr>
              <w:t xml:space="preserve"> </w:t>
            </w:r>
            <w:r w:rsidRPr="001B53A8">
              <w:rPr>
                <w:rFonts w:eastAsiaTheme="majorEastAsia"/>
                <w:sz w:val="20"/>
                <w:szCs w:val="20"/>
                <w:lang w:val="sr-Latn-BA"/>
              </w:rPr>
              <w:t>u</w:t>
            </w:r>
            <w:r w:rsidR="00875596" w:rsidRPr="001B53A8">
              <w:rPr>
                <w:rFonts w:eastAsiaTheme="majorEastAsia"/>
                <w:sz w:val="20"/>
                <w:szCs w:val="20"/>
                <w:lang w:val="sr-Latn-BA"/>
              </w:rPr>
              <w:t xml:space="preserve"> </w:t>
            </w:r>
            <w:r w:rsidRPr="001B53A8">
              <w:rPr>
                <w:rFonts w:eastAsiaTheme="majorEastAsia"/>
                <w:sz w:val="20"/>
                <w:szCs w:val="20"/>
                <w:lang w:val="sr-Latn-BA"/>
              </w:rPr>
              <w:t>javnim</w:t>
            </w:r>
            <w:r w:rsidR="00875596" w:rsidRPr="001B53A8">
              <w:rPr>
                <w:rFonts w:eastAsiaTheme="majorEastAsia"/>
                <w:sz w:val="20"/>
                <w:szCs w:val="20"/>
                <w:lang w:val="sr-Latn-BA"/>
              </w:rPr>
              <w:t xml:space="preserve"> </w:t>
            </w:r>
            <w:r w:rsidRPr="001B53A8">
              <w:rPr>
                <w:rFonts w:eastAsiaTheme="majorEastAsia"/>
                <w:sz w:val="20"/>
                <w:szCs w:val="20"/>
                <w:lang w:val="sr-Latn-BA"/>
              </w:rPr>
              <w:t>nabavkama</w:t>
            </w:r>
            <w:r w:rsidR="00875596" w:rsidRPr="001B53A8">
              <w:rPr>
                <w:rFonts w:eastAsiaTheme="majorEastAsia"/>
                <w:sz w:val="20"/>
                <w:szCs w:val="20"/>
                <w:lang w:val="sr-Latn-BA"/>
              </w:rPr>
              <w:t xml:space="preserve">, </w:t>
            </w:r>
            <w:r w:rsidRPr="001B53A8">
              <w:rPr>
                <w:rFonts w:eastAsiaTheme="majorEastAsia"/>
                <w:sz w:val="20"/>
                <w:szCs w:val="20"/>
                <w:lang w:val="sr-Latn-BA"/>
              </w:rPr>
              <w:t>primjeri</w:t>
            </w:r>
            <w:r w:rsidR="00875596" w:rsidRPr="001B53A8">
              <w:rPr>
                <w:rFonts w:eastAsiaTheme="majorEastAsia"/>
                <w:sz w:val="20"/>
                <w:szCs w:val="20"/>
                <w:lang w:val="sr-Latn-BA"/>
              </w:rPr>
              <w:t xml:space="preserve"> </w:t>
            </w:r>
            <w:r w:rsidRPr="001B53A8">
              <w:rPr>
                <w:rFonts w:eastAsiaTheme="majorEastAsia"/>
                <w:sz w:val="20"/>
                <w:szCs w:val="20"/>
                <w:lang w:val="sr-Latn-BA"/>
              </w:rPr>
              <w:t>dobre</w:t>
            </w:r>
            <w:r w:rsidR="00875596" w:rsidRPr="001B53A8">
              <w:rPr>
                <w:rFonts w:eastAsiaTheme="majorEastAsia"/>
                <w:sz w:val="20"/>
                <w:szCs w:val="20"/>
                <w:lang w:val="sr-Latn-BA"/>
              </w:rPr>
              <w:t xml:space="preserve"> </w:t>
            </w:r>
            <w:r w:rsidRPr="001B53A8">
              <w:rPr>
                <w:rFonts w:eastAsiaTheme="majorEastAsia"/>
                <w:sz w:val="20"/>
                <w:szCs w:val="20"/>
                <w:lang w:val="sr-Latn-BA"/>
              </w:rPr>
              <w:t>i</w:t>
            </w:r>
            <w:r w:rsidR="00875596" w:rsidRPr="001B53A8">
              <w:rPr>
                <w:rFonts w:eastAsiaTheme="majorEastAsia"/>
                <w:sz w:val="20"/>
                <w:szCs w:val="20"/>
                <w:lang w:val="sr-Latn-BA"/>
              </w:rPr>
              <w:t xml:space="preserve"> </w:t>
            </w:r>
            <w:r w:rsidRPr="001B53A8">
              <w:rPr>
                <w:rFonts w:eastAsiaTheme="majorEastAsia"/>
                <w:sz w:val="20"/>
                <w:szCs w:val="20"/>
                <w:lang w:val="sr-Latn-BA"/>
              </w:rPr>
              <w:t>loše</w:t>
            </w:r>
            <w:r w:rsidR="00875596" w:rsidRPr="001B53A8">
              <w:rPr>
                <w:rFonts w:eastAsiaTheme="majorEastAsia"/>
                <w:sz w:val="20"/>
                <w:szCs w:val="20"/>
                <w:lang w:val="sr-Latn-BA"/>
              </w:rPr>
              <w:t xml:space="preserve"> </w:t>
            </w:r>
            <w:r w:rsidRPr="001B53A8">
              <w:rPr>
                <w:rFonts w:eastAsiaTheme="majorEastAsia"/>
                <w:sz w:val="20"/>
                <w:szCs w:val="20"/>
                <w:lang w:val="sr-Latn-BA"/>
              </w:rPr>
              <w:t>prakse</w:t>
            </w:r>
          </w:p>
        </w:tc>
        <w:tc>
          <w:tcPr>
            <w:tcW w:w="1418" w:type="dxa"/>
          </w:tcPr>
          <w:p w14:paraId="366EDC3E" w14:textId="2E3BFB85"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w w:val="107"/>
                <w:sz w:val="20"/>
                <w:szCs w:val="20"/>
                <w:lang w:val="sr-Latn-BA"/>
              </w:rPr>
            </w:pPr>
            <w:r w:rsidRPr="001B53A8">
              <w:rPr>
                <w:bCs/>
                <w:w w:val="107"/>
                <w:sz w:val="20"/>
                <w:szCs w:val="20"/>
                <w:lang w:val="sr-Latn-BA"/>
              </w:rPr>
              <w:t>APKE</w:t>
            </w:r>
            <w:r w:rsidR="00875596" w:rsidRPr="001B53A8">
              <w:rPr>
                <w:bCs/>
                <w:w w:val="107"/>
                <w:sz w:val="20"/>
                <w:szCs w:val="20"/>
                <w:lang w:val="sr-Latn-BA"/>
              </w:rPr>
              <w:t xml:space="preserve"> - </w:t>
            </w:r>
            <w:r w:rsidRPr="001B53A8">
              <w:rPr>
                <w:bCs/>
                <w:w w:val="107"/>
                <w:sz w:val="20"/>
                <w:szCs w:val="20"/>
                <w:lang w:val="sr-Latn-BA"/>
              </w:rPr>
              <w:t>Agencija</w:t>
            </w:r>
            <w:r w:rsidR="00875596" w:rsidRPr="001B53A8">
              <w:rPr>
                <w:bCs/>
                <w:w w:val="107"/>
                <w:sz w:val="20"/>
                <w:szCs w:val="20"/>
                <w:lang w:val="sr-Latn-BA"/>
              </w:rPr>
              <w:t xml:space="preserve"> </w:t>
            </w:r>
            <w:r w:rsidRPr="001B53A8">
              <w:rPr>
                <w:bCs/>
                <w:w w:val="107"/>
                <w:sz w:val="20"/>
                <w:szCs w:val="20"/>
                <w:lang w:val="sr-Latn-BA"/>
              </w:rPr>
              <w:t>za</w:t>
            </w:r>
            <w:r w:rsidR="00875596" w:rsidRPr="001B53A8">
              <w:rPr>
                <w:bCs/>
                <w:w w:val="107"/>
                <w:sz w:val="20"/>
                <w:szCs w:val="20"/>
                <w:lang w:val="sr-Latn-BA"/>
              </w:rPr>
              <w:t xml:space="preserve"> </w:t>
            </w:r>
            <w:r w:rsidRPr="001B53A8">
              <w:rPr>
                <w:bCs/>
                <w:w w:val="107"/>
                <w:sz w:val="20"/>
                <w:szCs w:val="20"/>
                <w:lang w:val="sr-Latn-BA"/>
              </w:rPr>
              <w:t>pravni</w:t>
            </w:r>
            <w:r w:rsidR="00875596" w:rsidRPr="001B53A8">
              <w:rPr>
                <w:bCs/>
                <w:w w:val="107"/>
                <w:sz w:val="20"/>
                <w:szCs w:val="20"/>
                <w:lang w:val="sr-Latn-BA"/>
              </w:rPr>
              <w:t xml:space="preserve"> </w:t>
            </w:r>
            <w:r w:rsidRPr="001B53A8">
              <w:rPr>
                <w:bCs/>
                <w:w w:val="107"/>
                <w:sz w:val="20"/>
                <w:szCs w:val="20"/>
                <w:lang w:val="sr-Latn-BA"/>
              </w:rPr>
              <w:t>konsalting</w:t>
            </w:r>
            <w:r w:rsidR="00875596" w:rsidRPr="001B53A8">
              <w:rPr>
                <w:bCs/>
                <w:w w:val="107"/>
                <w:sz w:val="20"/>
                <w:szCs w:val="20"/>
                <w:lang w:val="sr-Latn-BA"/>
              </w:rPr>
              <w:t xml:space="preserve"> </w:t>
            </w:r>
            <w:r w:rsidRPr="001B53A8">
              <w:rPr>
                <w:bCs/>
                <w:w w:val="107"/>
                <w:sz w:val="20"/>
                <w:szCs w:val="20"/>
                <w:lang w:val="sr-Latn-BA"/>
              </w:rPr>
              <w:t>i</w:t>
            </w:r>
            <w:r w:rsidR="00875596" w:rsidRPr="001B53A8">
              <w:rPr>
                <w:bCs/>
                <w:w w:val="107"/>
                <w:sz w:val="20"/>
                <w:szCs w:val="20"/>
                <w:lang w:val="sr-Latn-BA"/>
              </w:rPr>
              <w:t xml:space="preserve"> </w:t>
            </w:r>
            <w:r w:rsidRPr="001B53A8">
              <w:rPr>
                <w:bCs/>
                <w:w w:val="107"/>
                <w:sz w:val="20"/>
                <w:szCs w:val="20"/>
                <w:lang w:val="sr-Latn-BA"/>
              </w:rPr>
              <w:t>edukaciju</w:t>
            </w:r>
            <w:r w:rsidR="00875596" w:rsidRPr="001B53A8">
              <w:rPr>
                <w:bCs/>
                <w:w w:val="107"/>
                <w:sz w:val="20"/>
                <w:szCs w:val="20"/>
                <w:lang w:val="sr-Latn-BA"/>
              </w:rPr>
              <w:t xml:space="preserve"> </w:t>
            </w:r>
            <w:r w:rsidRPr="001B53A8">
              <w:rPr>
                <w:bCs/>
                <w:w w:val="107"/>
                <w:sz w:val="20"/>
                <w:szCs w:val="20"/>
                <w:lang w:val="sr-Latn-BA"/>
              </w:rPr>
              <w:t>Sarajevo</w:t>
            </w:r>
          </w:p>
        </w:tc>
        <w:tc>
          <w:tcPr>
            <w:tcW w:w="2203" w:type="dxa"/>
          </w:tcPr>
          <w:p w14:paraId="560413F5" w14:textId="5A6C0952" w:rsidR="00875596" w:rsidRPr="001B53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20"/>
                <w:szCs w:val="20"/>
                <w:lang w:val="sr-Latn-BA"/>
              </w:rPr>
            </w:pPr>
            <w:r w:rsidRPr="001B53A8">
              <w:rPr>
                <w:bCs/>
                <w:sz w:val="20"/>
                <w:szCs w:val="20"/>
                <w:lang w:val="sr-Latn-BA"/>
              </w:rPr>
              <w:t xml:space="preserve">- </w:t>
            </w:r>
            <w:r w:rsidR="00003F34" w:rsidRPr="001B53A8">
              <w:rPr>
                <w:bCs/>
                <w:sz w:val="20"/>
                <w:szCs w:val="20"/>
                <w:lang w:val="sr-Latn-BA"/>
              </w:rPr>
              <w:t>Nataša</w:t>
            </w:r>
            <w:r w:rsidRPr="001B53A8">
              <w:rPr>
                <w:bCs/>
                <w:sz w:val="20"/>
                <w:szCs w:val="20"/>
                <w:lang w:val="sr-Latn-BA"/>
              </w:rPr>
              <w:t xml:space="preserve"> </w:t>
            </w:r>
            <w:r w:rsidR="00003F34" w:rsidRPr="001B53A8">
              <w:rPr>
                <w:bCs/>
                <w:sz w:val="20"/>
                <w:szCs w:val="20"/>
                <w:lang w:val="sr-Latn-BA"/>
              </w:rPr>
              <w:t>Golić</w:t>
            </w:r>
            <w:r w:rsidRPr="001B53A8">
              <w:rPr>
                <w:bCs/>
                <w:sz w:val="20"/>
                <w:szCs w:val="20"/>
                <w:lang w:val="sr-Latn-BA"/>
              </w:rPr>
              <w:t xml:space="preserve"> </w:t>
            </w:r>
            <w:r w:rsidR="00003F34" w:rsidRPr="001B53A8">
              <w:rPr>
                <w:bCs/>
                <w:sz w:val="20"/>
                <w:szCs w:val="20"/>
                <w:lang w:val="sr-Latn-BA"/>
              </w:rPr>
              <w:t>Član</w:t>
            </w:r>
            <w:r w:rsidRPr="001B53A8">
              <w:rPr>
                <w:bCs/>
                <w:sz w:val="20"/>
                <w:szCs w:val="20"/>
                <w:lang w:val="sr-Latn-BA"/>
              </w:rPr>
              <w:t xml:space="preserve"> </w:t>
            </w:r>
            <w:r w:rsidR="00003F34" w:rsidRPr="001B53A8">
              <w:rPr>
                <w:bCs/>
                <w:sz w:val="20"/>
                <w:szCs w:val="20"/>
                <w:lang w:val="sr-Latn-BA"/>
              </w:rPr>
              <w:t>URŽ</w:t>
            </w:r>
            <w:r w:rsidRPr="001B53A8">
              <w:rPr>
                <w:bCs/>
                <w:sz w:val="20"/>
                <w:szCs w:val="20"/>
                <w:lang w:val="sr-Latn-BA"/>
              </w:rPr>
              <w:t>-</w:t>
            </w:r>
            <w:r w:rsidR="00003F34" w:rsidRPr="001B53A8">
              <w:rPr>
                <w:bCs/>
                <w:sz w:val="20"/>
                <w:szCs w:val="20"/>
                <w:lang w:val="sr-Latn-BA"/>
              </w:rPr>
              <w:t>a</w:t>
            </w:r>
            <w:r w:rsidRPr="001B53A8">
              <w:rPr>
                <w:bCs/>
                <w:sz w:val="20"/>
                <w:szCs w:val="20"/>
                <w:lang w:val="sr-Latn-BA"/>
              </w:rPr>
              <w:t xml:space="preserve">, </w:t>
            </w:r>
            <w:r w:rsidR="00003F34" w:rsidRPr="001B53A8">
              <w:rPr>
                <w:bCs/>
                <w:sz w:val="20"/>
                <w:szCs w:val="20"/>
                <w:lang w:val="sr-Latn-BA"/>
              </w:rPr>
              <w:t>certificirani</w:t>
            </w:r>
            <w:r w:rsidRPr="001B53A8">
              <w:rPr>
                <w:bCs/>
                <w:sz w:val="20"/>
                <w:szCs w:val="20"/>
                <w:lang w:val="sr-Latn-BA"/>
              </w:rPr>
              <w:t xml:space="preserve"> </w:t>
            </w:r>
            <w:r w:rsidR="00003F34" w:rsidRPr="001B53A8">
              <w:rPr>
                <w:bCs/>
                <w:sz w:val="20"/>
                <w:szCs w:val="20"/>
                <w:lang w:val="sr-Latn-BA"/>
              </w:rPr>
              <w:t>trener</w:t>
            </w:r>
            <w:r w:rsidRPr="001B53A8">
              <w:rPr>
                <w:bCs/>
                <w:sz w:val="20"/>
                <w:szCs w:val="20"/>
                <w:lang w:val="sr-Latn-BA"/>
              </w:rPr>
              <w:t xml:space="preserve"> </w:t>
            </w:r>
            <w:r w:rsidR="00003F34" w:rsidRPr="001B53A8">
              <w:rPr>
                <w:bCs/>
                <w:sz w:val="20"/>
                <w:szCs w:val="20"/>
                <w:lang w:val="sr-Latn-BA"/>
              </w:rPr>
              <w:t>Agencije</w:t>
            </w:r>
            <w:r w:rsidRPr="001B53A8">
              <w:rPr>
                <w:bCs/>
                <w:sz w:val="20"/>
                <w:szCs w:val="20"/>
                <w:lang w:val="sr-Latn-BA"/>
              </w:rPr>
              <w:t xml:space="preserve"> </w:t>
            </w:r>
            <w:r w:rsidR="00003F34" w:rsidRPr="001B53A8">
              <w:rPr>
                <w:bCs/>
                <w:sz w:val="20"/>
                <w:szCs w:val="20"/>
                <w:lang w:val="sr-Latn-BA"/>
              </w:rPr>
              <w:t>za</w:t>
            </w:r>
            <w:r w:rsidRPr="001B53A8">
              <w:rPr>
                <w:bCs/>
                <w:sz w:val="20"/>
                <w:szCs w:val="20"/>
                <w:lang w:val="sr-Latn-BA"/>
              </w:rPr>
              <w:t xml:space="preserve"> </w:t>
            </w:r>
            <w:r w:rsidR="00003F34" w:rsidRPr="001B53A8">
              <w:rPr>
                <w:bCs/>
                <w:sz w:val="20"/>
                <w:szCs w:val="20"/>
                <w:lang w:val="sr-Latn-BA"/>
              </w:rPr>
              <w:t>javne</w:t>
            </w:r>
            <w:r w:rsidRPr="001B53A8">
              <w:rPr>
                <w:bCs/>
                <w:sz w:val="20"/>
                <w:szCs w:val="20"/>
                <w:lang w:val="sr-Latn-BA"/>
              </w:rPr>
              <w:t xml:space="preserve"> </w:t>
            </w:r>
            <w:r w:rsidR="00003F34" w:rsidRPr="001B53A8">
              <w:rPr>
                <w:bCs/>
                <w:sz w:val="20"/>
                <w:szCs w:val="20"/>
                <w:lang w:val="sr-Latn-BA"/>
              </w:rPr>
              <w:t>nabavke</w:t>
            </w:r>
            <w:r w:rsidRPr="001B53A8">
              <w:rPr>
                <w:bCs/>
                <w:sz w:val="20"/>
                <w:szCs w:val="20"/>
                <w:lang w:val="sr-Latn-BA"/>
              </w:rPr>
              <w:t xml:space="preserve"> </w:t>
            </w:r>
            <w:r w:rsidR="00003F34" w:rsidRPr="001B53A8">
              <w:rPr>
                <w:bCs/>
                <w:sz w:val="20"/>
                <w:szCs w:val="20"/>
                <w:lang w:val="sr-Latn-BA"/>
              </w:rPr>
              <w:t>BiH</w:t>
            </w:r>
          </w:p>
          <w:p w14:paraId="757E8B3F" w14:textId="4C3911D6" w:rsidR="00875596" w:rsidRPr="001B53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20"/>
                <w:szCs w:val="20"/>
                <w:lang w:val="sr-Latn-BA"/>
              </w:rPr>
            </w:pPr>
            <w:r w:rsidRPr="001B53A8">
              <w:rPr>
                <w:bCs/>
                <w:sz w:val="20"/>
                <w:szCs w:val="20"/>
                <w:lang w:val="sr-Latn-BA"/>
              </w:rPr>
              <w:t>-</w:t>
            </w:r>
            <w:r w:rsidR="00003F34" w:rsidRPr="001B53A8">
              <w:rPr>
                <w:bCs/>
                <w:sz w:val="20"/>
                <w:szCs w:val="20"/>
                <w:lang w:val="sr-Latn-BA"/>
              </w:rPr>
              <w:t>Dražen</w:t>
            </w:r>
            <w:r w:rsidRPr="001B53A8">
              <w:rPr>
                <w:bCs/>
                <w:sz w:val="20"/>
                <w:szCs w:val="20"/>
                <w:lang w:val="sr-Latn-BA"/>
              </w:rPr>
              <w:t xml:space="preserve"> </w:t>
            </w:r>
            <w:r w:rsidR="00003F34" w:rsidRPr="001B53A8">
              <w:rPr>
                <w:bCs/>
                <w:sz w:val="20"/>
                <w:szCs w:val="20"/>
                <w:lang w:val="sr-Latn-BA"/>
              </w:rPr>
              <w:t>Vidaković</w:t>
            </w:r>
            <w:r w:rsidRPr="001B53A8">
              <w:rPr>
                <w:bCs/>
                <w:sz w:val="20"/>
                <w:szCs w:val="20"/>
                <w:lang w:val="sr-Latn-BA"/>
              </w:rPr>
              <w:t xml:space="preserve">, </w:t>
            </w:r>
            <w:r w:rsidR="00003F34" w:rsidRPr="001B53A8">
              <w:rPr>
                <w:bCs/>
                <w:sz w:val="20"/>
                <w:szCs w:val="20"/>
                <w:lang w:val="sr-Latn-BA"/>
              </w:rPr>
              <w:t>dipl</w:t>
            </w:r>
            <w:r w:rsidRPr="001B53A8">
              <w:rPr>
                <w:bCs/>
                <w:sz w:val="20"/>
                <w:szCs w:val="20"/>
                <w:lang w:val="sr-Latn-BA"/>
              </w:rPr>
              <w:t>.</w:t>
            </w:r>
            <w:r w:rsidR="00003F34" w:rsidRPr="001B53A8">
              <w:rPr>
                <w:bCs/>
                <w:sz w:val="20"/>
                <w:szCs w:val="20"/>
                <w:lang w:val="sr-Latn-BA"/>
              </w:rPr>
              <w:t>iur</w:t>
            </w:r>
            <w:r w:rsidRPr="001B53A8">
              <w:rPr>
                <w:bCs/>
                <w:sz w:val="20"/>
                <w:szCs w:val="20"/>
                <w:lang w:val="sr-Latn-BA"/>
              </w:rPr>
              <w:t xml:space="preserve">. </w:t>
            </w:r>
            <w:r w:rsidR="00003F34" w:rsidRPr="001B53A8">
              <w:rPr>
                <w:bCs/>
                <w:sz w:val="20"/>
                <w:szCs w:val="20"/>
                <w:lang w:val="sr-Latn-BA"/>
              </w:rPr>
              <w:t>Agencija</w:t>
            </w:r>
            <w:r w:rsidRPr="001B53A8">
              <w:rPr>
                <w:bCs/>
                <w:sz w:val="20"/>
                <w:szCs w:val="20"/>
                <w:lang w:val="sr-Latn-BA"/>
              </w:rPr>
              <w:t xml:space="preserve"> </w:t>
            </w:r>
            <w:r w:rsidR="00003F34" w:rsidRPr="001B53A8">
              <w:rPr>
                <w:bCs/>
                <w:sz w:val="20"/>
                <w:szCs w:val="20"/>
                <w:lang w:val="sr-Latn-BA"/>
              </w:rPr>
              <w:t>za</w:t>
            </w:r>
            <w:r w:rsidRPr="001B53A8">
              <w:rPr>
                <w:bCs/>
                <w:sz w:val="20"/>
                <w:szCs w:val="20"/>
                <w:lang w:val="sr-Latn-BA"/>
              </w:rPr>
              <w:t xml:space="preserve"> </w:t>
            </w:r>
            <w:r w:rsidR="00003F34" w:rsidRPr="001B53A8">
              <w:rPr>
                <w:bCs/>
                <w:sz w:val="20"/>
                <w:szCs w:val="20"/>
                <w:lang w:val="sr-Latn-BA"/>
              </w:rPr>
              <w:t>javne</w:t>
            </w:r>
            <w:r w:rsidRPr="001B53A8">
              <w:rPr>
                <w:bCs/>
                <w:sz w:val="20"/>
                <w:szCs w:val="20"/>
                <w:lang w:val="sr-Latn-BA"/>
              </w:rPr>
              <w:t xml:space="preserve"> </w:t>
            </w:r>
            <w:r w:rsidR="00003F34" w:rsidRPr="001B53A8">
              <w:rPr>
                <w:bCs/>
                <w:sz w:val="20"/>
                <w:szCs w:val="20"/>
                <w:lang w:val="sr-Latn-BA"/>
              </w:rPr>
              <w:t>nabavke</w:t>
            </w:r>
            <w:r w:rsidRPr="001B53A8">
              <w:rPr>
                <w:bCs/>
                <w:sz w:val="20"/>
                <w:szCs w:val="20"/>
                <w:lang w:val="sr-Latn-BA"/>
              </w:rPr>
              <w:t xml:space="preserve"> </w:t>
            </w:r>
            <w:r w:rsidR="00003F34" w:rsidRPr="001B53A8">
              <w:rPr>
                <w:bCs/>
                <w:sz w:val="20"/>
                <w:szCs w:val="20"/>
                <w:lang w:val="sr-Latn-BA"/>
              </w:rPr>
              <w:t>BiH</w:t>
            </w:r>
          </w:p>
          <w:p w14:paraId="12B0E9A6" w14:textId="4FE29017" w:rsidR="00875596" w:rsidRPr="001B53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20"/>
                <w:szCs w:val="20"/>
                <w:lang w:val="sr-Latn-BA"/>
              </w:rPr>
            </w:pPr>
            <w:r w:rsidRPr="001B53A8">
              <w:rPr>
                <w:bCs/>
                <w:sz w:val="20"/>
                <w:szCs w:val="20"/>
                <w:lang w:val="sr-Latn-BA"/>
              </w:rPr>
              <w:t>-</w:t>
            </w:r>
            <w:r w:rsidR="00003F34" w:rsidRPr="001B53A8">
              <w:rPr>
                <w:bCs/>
                <w:sz w:val="20"/>
                <w:szCs w:val="20"/>
                <w:lang w:val="sr-Latn-BA"/>
              </w:rPr>
              <w:t>Kemal</w:t>
            </w:r>
            <w:r w:rsidRPr="001B53A8">
              <w:rPr>
                <w:bCs/>
                <w:sz w:val="20"/>
                <w:szCs w:val="20"/>
                <w:lang w:val="sr-Latn-BA"/>
              </w:rPr>
              <w:t xml:space="preserve"> </w:t>
            </w:r>
            <w:r w:rsidR="00003F34" w:rsidRPr="001B53A8">
              <w:rPr>
                <w:bCs/>
                <w:sz w:val="20"/>
                <w:szCs w:val="20"/>
                <w:lang w:val="sr-Latn-BA"/>
              </w:rPr>
              <w:t>Muhamedović</w:t>
            </w:r>
            <w:r w:rsidRPr="001B53A8">
              <w:rPr>
                <w:bCs/>
                <w:sz w:val="20"/>
                <w:szCs w:val="20"/>
                <w:lang w:val="sr-Latn-BA"/>
              </w:rPr>
              <w:t xml:space="preserve">, </w:t>
            </w:r>
            <w:r w:rsidR="00003F34" w:rsidRPr="001B53A8">
              <w:rPr>
                <w:bCs/>
                <w:sz w:val="20"/>
                <w:szCs w:val="20"/>
                <w:lang w:val="sr-Latn-BA"/>
              </w:rPr>
              <w:t>dipl</w:t>
            </w:r>
            <w:r w:rsidRPr="001B53A8">
              <w:rPr>
                <w:bCs/>
                <w:sz w:val="20"/>
                <w:szCs w:val="20"/>
                <w:lang w:val="sr-Latn-BA"/>
              </w:rPr>
              <w:t xml:space="preserve">. </w:t>
            </w:r>
            <w:r w:rsidR="00003F34" w:rsidRPr="001B53A8">
              <w:rPr>
                <w:bCs/>
                <w:sz w:val="20"/>
                <w:szCs w:val="20"/>
                <w:lang w:val="sr-Latn-BA"/>
              </w:rPr>
              <w:t>oec</w:t>
            </w:r>
          </w:p>
        </w:tc>
      </w:tr>
      <w:tr w:rsidR="00875596" w:rsidRPr="001B53A8" w14:paraId="56BEA533" w14:textId="77777777" w:rsidTr="00875596">
        <w:trPr>
          <w:cnfStyle w:val="000000010000" w:firstRow="0" w:lastRow="0" w:firstColumn="0" w:lastColumn="0" w:oddVBand="0" w:evenVBand="0" w:oddHBand="0" w:evenHBand="1" w:firstRowFirstColumn="0" w:firstRowLastColumn="0" w:lastRowFirstColumn="0" w:lastRowLastColumn="0"/>
          <w:trHeight w:val="425"/>
          <w:jc w:val="center"/>
        </w:trPr>
        <w:tc>
          <w:tcPr>
            <w:cnfStyle w:val="001000000000" w:firstRow="0" w:lastRow="0" w:firstColumn="1" w:lastColumn="0" w:oddVBand="0" w:evenVBand="0" w:oddHBand="0" w:evenHBand="0" w:firstRowFirstColumn="0" w:firstRowLastColumn="0" w:lastRowFirstColumn="0" w:lastRowLastColumn="0"/>
            <w:tcW w:w="478" w:type="dxa"/>
          </w:tcPr>
          <w:p w14:paraId="2C865735" w14:textId="77777777" w:rsidR="00875596" w:rsidRPr="001B53A8" w:rsidRDefault="00875596" w:rsidP="00875596">
            <w:pPr>
              <w:spacing w:after="0" w:line="240" w:lineRule="auto"/>
              <w:ind w:firstLine="0"/>
              <w:rPr>
                <w:rFonts w:ascii="Times New Roman" w:hAnsi="Times New Roman" w:cs="Times New Roman"/>
                <w:sz w:val="20"/>
                <w:szCs w:val="20"/>
                <w:lang w:val="sr-Latn-BA"/>
              </w:rPr>
            </w:pPr>
            <w:r w:rsidRPr="001B53A8">
              <w:rPr>
                <w:rFonts w:ascii="Times New Roman" w:hAnsi="Times New Roman" w:cs="Times New Roman"/>
                <w:sz w:val="20"/>
                <w:szCs w:val="20"/>
                <w:lang w:val="sr-Latn-BA"/>
              </w:rPr>
              <w:t>2.</w:t>
            </w:r>
          </w:p>
        </w:tc>
        <w:tc>
          <w:tcPr>
            <w:tcW w:w="2211" w:type="dxa"/>
          </w:tcPr>
          <w:p w14:paraId="38CC5C81" w14:textId="77777777" w:rsidR="00875596" w:rsidRPr="001B53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Webex webinar: SEC’s Virtual International Institute for 2023</w:t>
            </w:r>
          </w:p>
          <w:p w14:paraId="130588F3" w14:textId="77777777" w:rsidR="00875596" w:rsidRPr="001B53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23.03.2023.godine</w:t>
            </w:r>
          </w:p>
        </w:tc>
        <w:tc>
          <w:tcPr>
            <w:tcW w:w="3603" w:type="dxa"/>
          </w:tcPr>
          <w:p w14:paraId="56637BB6" w14:textId="77777777" w:rsidR="00875596" w:rsidRPr="001B53A8" w:rsidRDefault="00875596"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rFonts w:eastAsiaTheme="majorEastAsia"/>
                <w:sz w:val="20"/>
                <w:szCs w:val="20"/>
                <w:lang w:val="sr-Latn-BA"/>
              </w:rPr>
            </w:pPr>
            <w:r w:rsidRPr="001B53A8">
              <w:rPr>
                <w:sz w:val="20"/>
                <w:szCs w:val="20"/>
                <w:lang w:val="sr-Latn-BA"/>
              </w:rPr>
              <w:t>Crypto Asset Market Developments</w:t>
            </w:r>
          </w:p>
        </w:tc>
        <w:tc>
          <w:tcPr>
            <w:tcW w:w="1418" w:type="dxa"/>
          </w:tcPr>
          <w:p w14:paraId="418DE01D" w14:textId="77777777" w:rsidR="00875596" w:rsidRPr="001B53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
                <w:w w:val="107"/>
                <w:sz w:val="20"/>
                <w:szCs w:val="20"/>
                <w:lang w:val="sr-Latn-BA"/>
              </w:rPr>
            </w:pPr>
            <w:r w:rsidRPr="001B53A8">
              <w:rPr>
                <w:sz w:val="20"/>
                <w:szCs w:val="20"/>
                <w:lang w:val="sr-Latn-BA"/>
              </w:rPr>
              <w:t>U.S. Securities and Exchange Commission</w:t>
            </w:r>
            <w:r w:rsidRPr="001B53A8">
              <w:rPr>
                <w:w w:val="107"/>
                <w:sz w:val="20"/>
                <w:szCs w:val="20"/>
                <w:lang w:val="sr-Latn-BA"/>
              </w:rPr>
              <w:t xml:space="preserve"> (SEC)</w:t>
            </w:r>
          </w:p>
        </w:tc>
        <w:tc>
          <w:tcPr>
            <w:tcW w:w="2203" w:type="dxa"/>
          </w:tcPr>
          <w:p w14:paraId="7ADBA10F" w14:textId="77777777" w:rsidR="00875596" w:rsidRPr="001B53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
                <w:sz w:val="20"/>
                <w:szCs w:val="20"/>
                <w:lang w:val="sr-Latn-BA"/>
              </w:rPr>
            </w:pPr>
            <w:r w:rsidRPr="001B53A8">
              <w:rPr>
                <w:sz w:val="20"/>
                <w:szCs w:val="20"/>
                <w:lang w:val="sr-Latn-BA"/>
              </w:rPr>
              <w:t>Valerie A. Szczepanik, Director of the Strategic Hub for Innovation and Financial Technology</w:t>
            </w:r>
          </w:p>
        </w:tc>
      </w:tr>
      <w:tr w:rsidR="00875596" w:rsidRPr="001B53A8" w14:paraId="74B638F9" w14:textId="77777777" w:rsidTr="00875596">
        <w:trPr>
          <w:cnfStyle w:val="000000100000" w:firstRow="0" w:lastRow="0" w:firstColumn="0" w:lastColumn="0" w:oddVBand="0" w:evenVBand="0" w:oddHBand="1" w:evenHBand="0"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478" w:type="dxa"/>
          </w:tcPr>
          <w:p w14:paraId="26DA426D" w14:textId="77777777" w:rsidR="00875596" w:rsidRPr="001B53A8" w:rsidRDefault="00875596" w:rsidP="00875596">
            <w:pPr>
              <w:spacing w:after="0" w:line="240" w:lineRule="auto"/>
              <w:ind w:firstLine="0"/>
              <w:rPr>
                <w:rFonts w:ascii="Times New Roman" w:hAnsi="Times New Roman" w:cs="Times New Roman"/>
                <w:sz w:val="20"/>
                <w:szCs w:val="20"/>
                <w:lang w:val="sr-Latn-BA"/>
              </w:rPr>
            </w:pPr>
            <w:r w:rsidRPr="001B53A8">
              <w:rPr>
                <w:rFonts w:ascii="Times New Roman" w:hAnsi="Times New Roman" w:cs="Times New Roman"/>
                <w:sz w:val="20"/>
                <w:szCs w:val="20"/>
                <w:lang w:val="sr-Latn-BA"/>
              </w:rPr>
              <w:t>3.</w:t>
            </w:r>
          </w:p>
        </w:tc>
        <w:tc>
          <w:tcPr>
            <w:tcW w:w="2211" w:type="dxa"/>
          </w:tcPr>
          <w:p w14:paraId="1E3311C3" w14:textId="213229B6" w:rsidR="00875596" w:rsidRPr="001B53A8" w:rsidRDefault="00003F34"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Savjetovanje</w:t>
            </w:r>
            <w:r w:rsidR="00875596" w:rsidRPr="001B53A8">
              <w:rPr>
                <w:sz w:val="20"/>
                <w:szCs w:val="20"/>
                <w:lang w:val="sr-Latn-BA"/>
              </w:rPr>
              <w:t xml:space="preserve"> </w:t>
            </w:r>
            <w:r w:rsidRPr="001B53A8">
              <w:rPr>
                <w:sz w:val="20"/>
                <w:szCs w:val="20"/>
                <w:lang w:val="sr-Latn-BA"/>
              </w:rPr>
              <w:t>iz</w:t>
            </w:r>
            <w:r w:rsidR="00875596" w:rsidRPr="001B53A8">
              <w:rPr>
                <w:sz w:val="20"/>
                <w:szCs w:val="20"/>
                <w:lang w:val="sr-Latn-BA"/>
              </w:rPr>
              <w:t xml:space="preserve"> </w:t>
            </w:r>
            <w:r w:rsidRPr="001B53A8">
              <w:rPr>
                <w:sz w:val="20"/>
                <w:szCs w:val="20"/>
                <w:lang w:val="sr-Latn-BA"/>
              </w:rPr>
              <w:t>Javnih</w:t>
            </w:r>
            <w:r w:rsidR="00875596" w:rsidRPr="001B53A8">
              <w:rPr>
                <w:sz w:val="20"/>
                <w:szCs w:val="20"/>
                <w:lang w:val="sr-Latn-BA"/>
              </w:rPr>
              <w:t xml:space="preserve"> </w:t>
            </w:r>
            <w:r w:rsidRPr="001B53A8">
              <w:rPr>
                <w:sz w:val="20"/>
                <w:szCs w:val="20"/>
                <w:lang w:val="sr-Latn-BA"/>
              </w:rPr>
              <w:t>nabavki</w:t>
            </w:r>
          </w:p>
          <w:p w14:paraId="283D283A" w14:textId="2B602714" w:rsidR="00875596" w:rsidRPr="001B53A8" w:rsidRDefault="00003F34"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Baška</w:t>
            </w:r>
            <w:r w:rsidR="00875596" w:rsidRPr="001B53A8">
              <w:rPr>
                <w:sz w:val="20"/>
                <w:szCs w:val="20"/>
                <w:lang w:val="sr-Latn-BA"/>
              </w:rPr>
              <w:t xml:space="preserve"> </w:t>
            </w:r>
            <w:r w:rsidRPr="001B53A8">
              <w:rPr>
                <w:sz w:val="20"/>
                <w:szCs w:val="20"/>
                <w:lang w:val="sr-Latn-BA"/>
              </w:rPr>
              <w:t>Voda</w:t>
            </w:r>
            <w:r w:rsidR="00875596" w:rsidRPr="001B53A8">
              <w:rPr>
                <w:sz w:val="20"/>
                <w:szCs w:val="20"/>
                <w:lang w:val="sr-Latn-BA"/>
              </w:rPr>
              <w:t xml:space="preserve"> 12.-14.04.2023.</w:t>
            </w:r>
            <w:r w:rsidRPr="001B53A8">
              <w:rPr>
                <w:sz w:val="20"/>
                <w:szCs w:val="20"/>
                <w:lang w:val="sr-Latn-BA"/>
              </w:rPr>
              <w:t>godine</w:t>
            </w:r>
          </w:p>
        </w:tc>
        <w:tc>
          <w:tcPr>
            <w:tcW w:w="3603" w:type="dxa"/>
          </w:tcPr>
          <w:p w14:paraId="4D3D105C" w14:textId="31B8BB86" w:rsidR="00875596" w:rsidRPr="001B53A8" w:rsidRDefault="00003F34"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sz w:val="20"/>
                <w:szCs w:val="20"/>
                <w:lang w:val="sr-Latn-BA"/>
              </w:rPr>
            </w:pPr>
            <w:r w:rsidRPr="001B53A8">
              <w:rPr>
                <w:rFonts w:eastAsiaTheme="majorEastAsia"/>
                <w:sz w:val="20"/>
                <w:szCs w:val="20"/>
                <w:lang w:val="sr-Latn-BA"/>
              </w:rPr>
              <w:t>Zakon</w:t>
            </w:r>
            <w:r w:rsidR="00875596" w:rsidRPr="001B53A8">
              <w:rPr>
                <w:rFonts w:eastAsiaTheme="majorEastAsia"/>
                <w:sz w:val="20"/>
                <w:szCs w:val="20"/>
                <w:lang w:val="sr-Latn-BA"/>
              </w:rPr>
              <w:t xml:space="preserve"> </w:t>
            </w:r>
            <w:r w:rsidRPr="001B53A8">
              <w:rPr>
                <w:rFonts w:eastAsiaTheme="majorEastAsia"/>
                <w:sz w:val="20"/>
                <w:szCs w:val="20"/>
                <w:lang w:val="sr-Latn-BA"/>
              </w:rPr>
              <w:t>o</w:t>
            </w:r>
            <w:r w:rsidR="00875596" w:rsidRPr="001B53A8">
              <w:rPr>
                <w:rFonts w:eastAsiaTheme="majorEastAsia"/>
                <w:sz w:val="20"/>
                <w:szCs w:val="20"/>
                <w:lang w:val="sr-Latn-BA"/>
              </w:rPr>
              <w:t xml:space="preserve"> </w:t>
            </w:r>
            <w:r w:rsidRPr="001B53A8">
              <w:rPr>
                <w:rFonts w:eastAsiaTheme="majorEastAsia"/>
                <w:sz w:val="20"/>
                <w:szCs w:val="20"/>
                <w:lang w:val="sr-Latn-BA"/>
              </w:rPr>
              <w:t>izmjena</w:t>
            </w:r>
            <w:r w:rsidR="00875596" w:rsidRPr="001B53A8">
              <w:rPr>
                <w:rFonts w:eastAsiaTheme="majorEastAsia"/>
                <w:sz w:val="20"/>
                <w:szCs w:val="20"/>
                <w:lang w:val="sr-Latn-BA"/>
              </w:rPr>
              <w:t xml:space="preserve"> </w:t>
            </w:r>
            <w:r w:rsidRPr="001B53A8">
              <w:rPr>
                <w:rFonts w:eastAsiaTheme="majorEastAsia"/>
                <w:sz w:val="20"/>
                <w:szCs w:val="20"/>
                <w:lang w:val="sr-Latn-BA"/>
              </w:rPr>
              <w:t>I</w:t>
            </w:r>
            <w:r w:rsidR="00875596" w:rsidRPr="001B53A8">
              <w:rPr>
                <w:rFonts w:eastAsiaTheme="majorEastAsia"/>
                <w:sz w:val="20"/>
                <w:szCs w:val="20"/>
                <w:lang w:val="sr-Latn-BA"/>
              </w:rPr>
              <w:t xml:space="preserve"> </w:t>
            </w:r>
            <w:r w:rsidRPr="001B53A8">
              <w:rPr>
                <w:rFonts w:eastAsiaTheme="majorEastAsia"/>
                <w:sz w:val="20"/>
                <w:szCs w:val="20"/>
                <w:lang w:val="sr-Latn-BA"/>
              </w:rPr>
              <w:t>dopunama</w:t>
            </w:r>
            <w:r w:rsidR="00875596" w:rsidRPr="001B53A8">
              <w:rPr>
                <w:rFonts w:eastAsiaTheme="majorEastAsia"/>
                <w:sz w:val="20"/>
                <w:szCs w:val="20"/>
                <w:lang w:val="sr-Latn-BA"/>
              </w:rPr>
              <w:t xml:space="preserve"> </w:t>
            </w:r>
            <w:r w:rsidRPr="001B53A8">
              <w:rPr>
                <w:rFonts w:eastAsiaTheme="majorEastAsia"/>
                <w:sz w:val="20"/>
                <w:szCs w:val="20"/>
                <w:lang w:val="sr-Latn-BA"/>
              </w:rPr>
              <w:t>Zakona</w:t>
            </w:r>
            <w:r w:rsidR="00875596" w:rsidRPr="001B53A8">
              <w:rPr>
                <w:rFonts w:eastAsiaTheme="majorEastAsia"/>
                <w:sz w:val="20"/>
                <w:szCs w:val="20"/>
                <w:lang w:val="sr-Latn-BA"/>
              </w:rPr>
              <w:t xml:space="preserve"> </w:t>
            </w:r>
            <w:r w:rsidRPr="001B53A8">
              <w:rPr>
                <w:rFonts w:eastAsiaTheme="majorEastAsia"/>
                <w:sz w:val="20"/>
                <w:szCs w:val="20"/>
                <w:lang w:val="sr-Latn-BA"/>
              </w:rPr>
              <w:t>o</w:t>
            </w:r>
            <w:r w:rsidR="00875596" w:rsidRPr="001B53A8">
              <w:rPr>
                <w:rFonts w:eastAsiaTheme="majorEastAsia"/>
                <w:sz w:val="20"/>
                <w:szCs w:val="20"/>
                <w:lang w:val="sr-Latn-BA"/>
              </w:rPr>
              <w:t xml:space="preserve"> </w:t>
            </w:r>
            <w:r w:rsidRPr="001B53A8">
              <w:rPr>
                <w:rFonts w:eastAsiaTheme="majorEastAsia"/>
                <w:sz w:val="20"/>
                <w:szCs w:val="20"/>
                <w:lang w:val="sr-Latn-BA"/>
              </w:rPr>
              <w:t>javnim</w:t>
            </w:r>
            <w:r w:rsidR="00875596" w:rsidRPr="001B53A8">
              <w:rPr>
                <w:rFonts w:eastAsiaTheme="majorEastAsia"/>
                <w:sz w:val="20"/>
                <w:szCs w:val="20"/>
                <w:lang w:val="sr-Latn-BA"/>
              </w:rPr>
              <w:t xml:space="preserve"> </w:t>
            </w:r>
            <w:r w:rsidRPr="001B53A8">
              <w:rPr>
                <w:rFonts w:eastAsiaTheme="majorEastAsia"/>
                <w:sz w:val="20"/>
                <w:szCs w:val="20"/>
                <w:lang w:val="sr-Latn-BA"/>
              </w:rPr>
              <w:t>nabavkama</w:t>
            </w:r>
          </w:p>
          <w:p w14:paraId="3AA98AB7" w14:textId="656807FA" w:rsidR="00875596" w:rsidRPr="001B53A8" w:rsidRDefault="00003F34"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sz w:val="20"/>
                <w:szCs w:val="20"/>
                <w:lang w:val="sr-Latn-BA"/>
              </w:rPr>
            </w:pPr>
            <w:r w:rsidRPr="001B53A8">
              <w:rPr>
                <w:rFonts w:eastAsiaTheme="majorEastAsia"/>
                <w:sz w:val="20"/>
                <w:szCs w:val="20"/>
                <w:lang w:val="sr-Latn-BA"/>
              </w:rPr>
              <w:t>Ciklus</w:t>
            </w:r>
            <w:r w:rsidR="00875596" w:rsidRPr="001B53A8">
              <w:rPr>
                <w:rFonts w:eastAsiaTheme="majorEastAsia"/>
                <w:sz w:val="20"/>
                <w:szCs w:val="20"/>
                <w:lang w:val="sr-Latn-BA"/>
              </w:rPr>
              <w:t xml:space="preserve"> </w:t>
            </w:r>
            <w:r w:rsidRPr="001B53A8">
              <w:rPr>
                <w:rFonts w:eastAsiaTheme="majorEastAsia"/>
                <w:sz w:val="20"/>
                <w:szCs w:val="20"/>
                <w:lang w:val="sr-Latn-BA"/>
              </w:rPr>
              <w:t>nabavke</w:t>
            </w:r>
          </w:p>
          <w:p w14:paraId="153B5A89" w14:textId="6BC8AEB5" w:rsidR="00875596" w:rsidRPr="001B53A8" w:rsidRDefault="00003F34"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sz w:val="20"/>
                <w:szCs w:val="20"/>
                <w:lang w:val="sr-Latn-BA"/>
              </w:rPr>
            </w:pPr>
            <w:r w:rsidRPr="001B53A8">
              <w:rPr>
                <w:rFonts w:eastAsiaTheme="majorEastAsia"/>
                <w:sz w:val="20"/>
                <w:szCs w:val="20"/>
                <w:lang w:val="sr-Latn-BA"/>
              </w:rPr>
              <w:t>Rješavanje</w:t>
            </w:r>
            <w:r w:rsidR="00875596" w:rsidRPr="001B53A8">
              <w:rPr>
                <w:rFonts w:eastAsiaTheme="majorEastAsia"/>
                <w:sz w:val="20"/>
                <w:szCs w:val="20"/>
                <w:lang w:val="sr-Latn-BA"/>
              </w:rPr>
              <w:t xml:space="preserve"> </w:t>
            </w:r>
            <w:r w:rsidRPr="001B53A8">
              <w:rPr>
                <w:rFonts w:eastAsiaTheme="majorEastAsia"/>
                <w:sz w:val="20"/>
                <w:szCs w:val="20"/>
                <w:lang w:val="sr-Latn-BA"/>
              </w:rPr>
              <w:t>problema</w:t>
            </w:r>
            <w:r w:rsidR="00875596" w:rsidRPr="001B53A8">
              <w:rPr>
                <w:rFonts w:eastAsiaTheme="majorEastAsia"/>
                <w:sz w:val="20"/>
                <w:szCs w:val="20"/>
                <w:lang w:val="sr-Latn-BA"/>
              </w:rPr>
              <w:t xml:space="preserve"> </w:t>
            </w:r>
            <w:r w:rsidRPr="001B53A8">
              <w:rPr>
                <w:rFonts w:eastAsiaTheme="majorEastAsia"/>
                <w:sz w:val="20"/>
                <w:szCs w:val="20"/>
                <w:lang w:val="sr-Latn-BA"/>
              </w:rPr>
              <w:t>prikaza</w:t>
            </w:r>
            <w:r w:rsidR="00875596" w:rsidRPr="001B53A8">
              <w:rPr>
                <w:rFonts w:eastAsiaTheme="majorEastAsia"/>
                <w:sz w:val="20"/>
                <w:szCs w:val="20"/>
                <w:lang w:val="sr-Latn-BA"/>
              </w:rPr>
              <w:t xml:space="preserve"> </w:t>
            </w:r>
            <w:r w:rsidRPr="001B53A8">
              <w:rPr>
                <w:rFonts w:eastAsiaTheme="majorEastAsia"/>
                <w:sz w:val="20"/>
                <w:szCs w:val="20"/>
                <w:lang w:val="sr-Latn-BA"/>
              </w:rPr>
              <w:t>ZJN</w:t>
            </w:r>
          </w:p>
          <w:p w14:paraId="210CFB42" w14:textId="4BF05401" w:rsidR="00875596" w:rsidRPr="001B53A8" w:rsidRDefault="00003F34"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sz w:val="20"/>
                <w:szCs w:val="20"/>
                <w:lang w:val="sr-Latn-BA"/>
              </w:rPr>
            </w:pPr>
            <w:r w:rsidRPr="001B53A8">
              <w:rPr>
                <w:rFonts w:eastAsiaTheme="majorEastAsia"/>
                <w:sz w:val="20"/>
                <w:szCs w:val="20"/>
                <w:lang w:val="sr-Latn-BA"/>
              </w:rPr>
              <w:t>Izmjene</w:t>
            </w:r>
            <w:r w:rsidR="00875596" w:rsidRPr="001B53A8">
              <w:rPr>
                <w:rFonts w:eastAsiaTheme="majorEastAsia"/>
                <w:sz w:val="20"/>
                <w:szCs w:val="20"/>
                <w:lang w:val="sr-Latn-BA"/>
              </w:rPr>
              <w:t xml:space="preserve"> </w:t>
            </w:r>
            <w:r w:rsidRPr="001B53A8">
              <w:rPr>
                <w:rFonts w:eastAsiaTheme="majorEastAsia"/>
                <w:sz w:val="20"/>
                <w:szCs w:val="20"/>
                <w:lang w:val="sr-Latn-BA"/>
              </w:rPr>
              <w:t>u</w:t>
            </w:r>
            <w:r w:rsidR="00875596" w:rsidRPr="001B53A8">
              <w:rPr>
                <w:rFonts w:eastAsiaTheme="majorEastAsia"/>
                <w:sz w:val="20"/>
                <w:szCs w:val="20"/>
                <w:lang w:val="sr-Latn-BA"/>
              </w:rPr>
              <w:t xml:space="preserve"> </w:t>
            </w:r>
            <w:r w:rsidRPr="001B53A8">
              <w:rPr>
                <w:rFonts w:eastAsiaTheme="majorEastAsia"/>
                <w:sz w:val="20"/>
                <w:szCs w:val="20"/>
                <w:lang w:val="sr-Latn-BA"/>
              </w:rPr>
              <w:t>ostalim</w:t>
            </w:r>
            <w:r w:rsidR="00875596" w:rsidRPr="001B53A8">
              <w:rPr>
                <w:rFonts w:eastAsiaTheme="majorEastAsia"/>
                <w:sz w:val="20"/>
                <w:szCs w:val="20"/>
                <w:lang w:val="sr-Latn-BA"/>
              </w:rPr>
              <w:t xml:space="preserve"> </w:t>
            </w:r>
            <w:r w:rsidRPr="001B53A8">
              <w:rPr>
                <w:rFonts w:eastAsiaTheme="majorEastAsia"/>
                <w:sz w:val="20"/>
                <w:szCs w:val="20"/>
                <w:lang w:val="sr-Latn-BA"/>
              </w:rPr>
              <w:t>postupcima</w:t>
            </w:r>
            <w:r w:rsidR="00875596" w:rsidRPr="001B53A8">
              <w:rPr>
                <w:rFonts w:eastAsiaTheme="majorEastAsia"/>
                <w:sz w:val="20"/>
                <w:szCs w:val="20"/>
                <w:lang w:val="sr-Latn-BA"/>
              </w:rPr>
              <w:t xml:space="preserve"> </w:t>
            </w:r>
            <w:r w:rsidRPr="001B53A8">
              <w:rPr>
                <w:rFonts w:eastAsiaTheme="majorEastAsia"/>
                <w:sz w:val="20"/>
                <w:szCs w:val="20"/>
                <w:lang w:val="sr-Latn-BA"/>
              </w:rPr>
              <w:t>nabavki</w:t>
            </w:r>
          </w:p>
          <w:p w14:paraId="0A0FE361" w14:textId="042C9A62" w:rsidR="00875596" w:rsidRPr="001B53A8" w:rsidRDefault="00003F34"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sz w:val="20"/>
                <w:szCs w:val="20"/>
                <w:lang w:val="sr-Latn-BA"/>
              </w:rPr>
            </w:pPr>
            <w:r w:rsidRPr="001B53A8">
              <w:rPr>
                <w:rFonts w:eastAsiaTheme="majorEastAsia"/>
                <w:sz w:val="20"/>
                <w:szCs w:val="20"/>
                <w:lang w:val="sr-Latn-BA"/>
              </w:rPr>
              <w:t>Pravna</w:t>
            </w:r>
            <w:r w:rsidR="00875596" w:rsidRPr="001B53A8">
              <w:rPr>
                <w:rFonts w:eastAsiaTheme="majorEastAsia"/>
                <w:sz w:val="20"/>
                <w:szCs w:val="20"/>
                <w:lang w:val="sr-Latn-BA"/>
              </w:rPr>
              <w:t xml:space="preserve"> </w:t>
            </w:r>
            <w:r w:rsidRPr="001B53A8">
              <w:rPr>
                <w:rFonts w:eastAsiaTheme="majorEastAsia"/>
                <w:sz w:val="20"/>
                <w:szCs w:val="20"/>
                <w:lang w:val="sr-Latn-BA"/>
              </w:rPr>
              <w:t>zaštita</w:t>
            </w:r>
            <w:r w:rsidR="00875596" w:rsidRPr="001B53A8">
              <w:rPr>
                <w:rFonts w:eastAsiaTheme="majorEastAsia"/>
                <w:sz w:val="20"/>
                <w:szCs w:val="20"/>
                <w:lang w:val="sr-Latn-BA"/>
              </w:rPr>
              <w:t xml:space="preserve"> </w:t>
            </w:r>
            <w:r w:rsidRPr="001B53A8">
              <w:rPr>
                <w:rFonts w:eastAsiaTheme="majorEastAsia"/>
                <w:sz w:val="20"/>
                <w:szCs w:val="20"/>
                <w:lang w:val="sr-Latn-BA"/>
              </w:rPr>
              <w:t>u</w:t>
            </w:r>
            <w:r w:rsidR="00875596" w:rsidRPr="001B53A8">
              <w:rPr>
                <w:rFonts w:eastAsiaTheme="majorEastAsia"/>
                <w:sz w:val="20"/>
                <w:szCs w:val="20"/>
                <w:lang w:val="sr-Latn-BA"/>
              </w:rPr>
              <w:t xml:space="preserve"> </w:t>
            </w:r>
            <w:r w:rsidRPr="001B53A8">
              <w:rPr>
                <w:rFonts w:eastAsiaTheme="majorEastAsia"/>
                <w:sz w:val="20"/>
                <w:szCs w:val="20"/>
                <w:lang w:val="sr-Latn-BA"/>
              </w:rPr>
              <w:t>postupcima</w:t>
            </w:r>
            <w:r w:rsidR="00875596" w:rsidRPr="001B53A8">
              <w:rPr>
                <w:rFonts w:eastAsiaTheme="majorEastAsia"/>
                <w:sz w:val="20"/>
                <w:szCs w:val="20"/>
                <w:lang w:val="sr-Latn-BA"/>
              </w:rPr>
              <w:t xml:space="preserve"> </w:t>
            </w:r>
            <w:r w:rsidRPr="001B53A8">
              <w:rPr>
                <w:rFonts w:eastAsiaTheme="majorEastAsia"/>
                <w:sz w:val="20"/>
                <w:szCs w:val="20"/>
                <w:lang w:val="sr-Latn-BA"/>
              </w:rPr>
              <w:t>javnih</w:t>
            </w:r>
            <w:r w:rsidR="00875596" w:rsidRPr="001B53A8">
              <w:rPr>
                <w:rFonts w:eastAsiaTheme="majorEastAsia"/>
                <w:sz w:val="20"/>
                <w:szCs w:val="20"/>
                <w:lang w:val="sr-Latn-BA"/>
              </w:rPr>
              <w:t xml:space="preserve"> </w:t>
            </w:r>
            <w:r w:rsidRPr="001B53A8">
              <w:rPr>
                <w:rFonts w:eastAsiaTheme="majorEastAsia"/>
                <w:sz w:val="20"/>
                <w:szCs w:val="20"/>
                <w:lang w:val="sr-Latn-BA"/>
              </w:rPr>
              <w:t>nabavki</w:t>
            </w:r>
          </w:p>
        </w:tc>
        <w:tc>
          <w:tcPr>
            <w:tcW w:w="1418" w:type="dxa"/>
          </w:tcPr>
          <w:p w14:paraId="1E92AFE5" w14:textId="2C8BC67B"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w w:val="107"/>
                <w:sz w:val="20"/>
                <w:szCs w:val="20"/>
                <w:lang w:val="sr-Latn-BA"/>
              </w:rPr>
            </w:pPr>
            <w:r w:rsidRPr="001B53A8">
              <w:rPr>
                <w:bCs/>
                <w:w w:val="107"/>
                <w:sz w:val="20"/>
                <w:szCs w:val="20"/>
                <w:lang w:val="sr-Latn-BA"/>
              </w:rPr>
              <w:t>Kventum</w:t>
            </w:r>
            <w:r w:rsidR="00875596" w:rsidRPr="001B53A8">
              <w:rPr>
                <w:bCs/>
                <w:w w:val="107"/>
                <w:sz w:val="20"/>
                <w:szCs w:val="20"/>
                <w:lang w:val="sr-Latn-BA"/>
              </w:rPr>
              <w:t xml:space="preserve"> – </w:t>
            </w:r>
            <w:r w:rsidRPr="001B53A8">
              <w:rPr>
                <w:bCs/>
                <w:w w:val="107"/>
                <w:sz w:val="20"/>
                <w:szCs w:val="20"/>
                <w:lang w:val="sr-Latn-BA"/>
              </w:rPr>
              <w:t>Poslovno</w:t>
            </w:r>
            <w:r w:rsidR="00875596" w:rsidRPr="001B53A8">
              <w:rPr>
                <w:bCs/>
                <w:w w:val="107"/>
                <w:sz w:val="20"/>
                <w:szCs w:val="20"/>
                <w:lang w:val="sr-Latn-BA"/>
              </w:rPr>
              <w:t xml:space="preserve"> </w:t>
            </w:r>
            <w:r w:rsidRPr="001B53A8">
              <w:rPr>
                <w:bCs/>
                <w:w w:val="107"/>
                <w:sz w:val="20"/>
                <w:szCs w:val="20"/>
                <w:lang w:val="sr-Latn-BA"/>
              </w:rPr>
              <w:t>edukativni</w:t>
            </w:r>
            <w:r w:rsidR="00875596" w:rsidRPr="001B53A8">
              <w:rPr>
                <w:bCs/>
                <w:w w:val="107"/>
                <w:sz w:val="20"/>
                <w:szCs w:val="20"/>
                <w:lang w:val="sr-Latn-BA"/>
              </w:rPr>
              <w:t xml:space="preserve"> </w:t>
            </w:r>
            <w:r w:rsidRPr="001B53A8">
              <w:rPr>
                <w:bCs/>
                <w:w w:val="107"/>
                <w:sz w:val="20"/>
                <w:szCs w:val="20"/>
                <w:lang w:val="sr-Latn-BA"/>
              </w:rPr>
              <w:t>centar</w:t>
            </w:r>
          </w:p>
        </w:tc>
        <w:tc>
          <w:tcPr>
            <w:tcW w:w="2203" w:type="dxa"/>
          </w:tcPr>
          <w:p w14:paraId="7C72ABBF" w14:textId="7AA277D2"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
                <w:sz w:val="20"/>
                <w:szCs w:val="20"/>
                <w:lang w:val="sr-Latn-BA"/>
              </w:rPr>
            </w:pPr>
            <w:r w:rsidRPr="001B53A8">
              <w:rPr>
                <w:b/>
                <w:sz w:val="20"/>
                <w:szCs w:val="20"/>
                <w:lang w:val="sr-Latn-BA"/>
              </w:rPr>
              <w:t>Josip</w:t>
            </w:r>
            <w:r w:rsidR="00875596" w:rsidRPr="001B53A8">
              <w:rPr>
                <w:b/>
                <w:sz w:val="20"/>
                <w:szCs w:val="20"/>
                <w:lang w:val="sr-Latn-BA"/>
              </w:rPr>
              <w:t xml:space="preserve"> </w:t>
            </w:r>
            <w:r w:rsidRPr="001B53A8">
              <w:rPr>
                <w:b/>
                <w:sz w:val="20"/>
                <w:szCs w:val="20"/>
                <w:lang w:val="sr-Latn-BA"/>
              </w:rPr>
              <w:t>Lipovac</w:t>
            </w:r>
            <w:r w:rsidR="00875596" w:rsidRPr="001B53A8">
              <w:rPr>
                <w:b/>
                <w:sz w:val="20"/>
                <w:szCs w:val="20"/>
                <w:lang w:val="sr-Latn-BA"/>
              </w:rPr>
              <w:t>,-</w:t>
            </w:r>
            <w:r w:rsidRPr="001B53A8">
              <w:rPr>
                <w:b/>
                <w:sz w:val="20"/>
                <w:szCs w:val="20"/>
                <w:lang w:val="sr-Latn-BA"/>
              </w:rPr>
              <w:t>Međunarodni</w:t>
            </w:r>
            <w:r w:rsidR="00875596" w:rsidRPr="001B53A8">
              <w:rPr>
                <w:b/>
                <w:sz w:val="20"/>
                <w:szCs w:val="20"/>
                <w:lang w:val="sr-Latn-BA"/>
              </w:rPr>
              <w:t xml:space="preserve"> </w:t>
            </w:r>
            <w:r w:rsidRPr="001B53A8">
              <w:rPr>
                <w:b/>
                <w:sz w:val="20"/>
                <w:szCs w:val="20"/>
                <w:lang w:val="sr-Latn-BA"/>
              </w:rPr>
              <w:t>master</w:t>
            </w:r>
            <w:r w:rsidR="00875596" w:rsidRPr="001B53A8">
              <w:rPr>
                <w:b/>
                <w:sz w:val="20"/>
                <w:szCs w:val="20"/>
                <w:lang w:val="sr-Latn-BA"/>
              </w:rPr>
              <w:t xml:space="preserve"> </w:t>
            </w:r>
            <w:r w:rsidRPr="001B53A8">
              <w:rPr>
                <w:b/>
                <w:sz w:val="20"/>
                <w:szCs w:val="20"/>
                <w:lang w:val="sr-Latn-BA"/>
              </w:rPr>
              <w:t>upravlјanja</w:t>
            </w:r>
            <w:r w:rsidR="00875596" w:rsidRPr="001B53A8">
              <w:rPr>
                <w:b/>
                <w:sz w:val="20"/>
                <w:szCs w:val="20"/>
                <w:lang w:val="sr-Latn-BA"/>
              </w:rPr>
              <w:t xml:space="preserve"> </w:t>
            </w:r>
            <w:r w:rsidRPr="001B53A8">
              <w:rPr>
                <w:b/>
                <w:sz w:val="20"/>
                <w:szCs w:val="20"/>
                <w:lang w:val="sr-Latn-BA"/>
              </w:rPr>
              <w:t>javnim</w:t>
            </w:r>
            <w:r w:rsidR="00875596" w:rsidRPr="001B53A8">
              <w:rPr>
                <w:b/>
                <w:sz w:val="20"/>
                <w:szCs w:val="20"/>
                <w:lang w:val="sr-Latn-BA"/>
              </w:rPr>
              <w:t xml:space="preserve"> </w:t>
            </w:r>
            <w:r w:rsidRPr="001B53A8">
              <w:rPr>
                <w:b/>
                <w:sz w:val="20"/>
                <w:szCs w:val="20"/>
                <w:lang w:val="sr-Latn-BA"/>
              </w:rPr>
              <w:t>nabavkama</w:t>
            </w:r>
            <w:r w:rsidR="00875596" w:rsidRPr="001B53A8">
              <w:rPr>
                <w:b/>
                <w:sz w:val="20"/>
                <w:szCs w:val="20"/>
                <w:lang w:val="sr-Latn-BA"/>
              </w:rPr>
              <w:t xml:space="preserve"> </w:t>
            </w:r>
          </w:p>
          <w:p w14:paraId="5633AA22" w14:textId="1CE4EF0A"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
                <w:sz w:val="20"/>
                <w:szCs w:val="20"/>
                <w:lang w:val="sr-Latn-BA"/>
              </w:rPr>
            </w:pPr>
            <w:r w:rsidRPr="001B53A8">
              <w:rPr>
                <w:b/>
                <w:sz w:val="20"/>
                <w:szCs w:val="20"/>
                <w:lang w:val="sr-Latn-BA"/>
              </w:rPr>
              <w:t>Ivana</w:t>
            </w:r>
            <w:r w:rsidR="00875596" w:rsidRPr="001B53A8">
              <w:rPr>
                <w:b/>
                <w:sz w:val="20"/>
                <w:szCs w:val="20"/>
                <w:lang w:val="sr-Latn-BA"/>
              </w:rPr>
              <w:t xml:space="preserve"> </w:t>
            </w:r>
            <w:r w:rsidRPr="001B53A8">
              <w:rPr>
                <w:b/>
                <w:sz w:val="20"/>
                <w:szCs w:val="20"/>
                <w:lang w:val="sr-Latn-BA"/>
              </w:rPr>
              <w:t>Grgić</w:t>
            </w:r>
            <w:r w:rsidR="00875596" w:rsidRPr="001B53A8">
              <w:rPr>
                <w:b/>
                <w:sz w:val="20"/>
                <w:szCs w:val="20"/>
                <w:lang w:val="sr-Latn-BA"/>
              </w:rPr>
              <w:t>,-</w:t>
            </w:r>
            <w:r w:rsidRPr="001B53A8">
              <w:rPr>
                <w:b/>
                <w:sz w:val="20"/>
                <w:szCs w:val="20"/>
                <w:lang w:val="sr-Latn-BA"/>
              </w:rPr>
              <w:t>Ovlašćeni</w:t>
            </w:r>
            <w:r w:rsidR="00875596" w:rsidRPr="001B53A8">
              <w:rPr>
                <w:b/>
                <w:sz w:val="20"/>
                <w:szCs w:val="20"/>
                <w:lang w:val="sr-Latn-BA"/>
              </w:rPr>
              <w:t xml:space="preserve"> </w:t>
            </w:r>
            <w:r w:rsidRPr="001B53A8">
              <w:rPr>
                <w:b/>
                <w:sz w:val="20"/>
                <w:szCs w:val="20"/>
                <w:lang w:val="sr-Latn-BA"/>
              </w:rPr>
              <w:t>predavač</w:t>
            </w:r>
            <w:r w:rsidR="00875596" w:rsidRPr="001B53A8">
              <w:rPr>
                <w:b/>
                <w:sz w:val="20"/>
                <w:szCs w:val="20"/>
                <w:lang w:val="sr-Latn-BA"/>
              </w:rPr>
              <w:t xml:space="preserve"> </w:t>
            </w:r>
            <w:r w:rsidRPr="001B53A8">
              <w:rPr>
                <w:b/>
                <w:sz w:val="20"/>
                <w:szCs w:val="20"/>
                <w:lang w:val="sr-Latn-BA"/>
              </w:rPr>
              <w:t>za</w:t>
            </w:r>
            <w:r w:rsidR="00875596" w:rsidRPr="001B53A8">
              <w:rPr>
                <w:b/>
                <w:sz w:val="20"/>
                <w:szCs w:val="20"/>
                <w:lang w:val="sr-Latn-BA"/>
              </w:rPr>
              <w:t xml:space="preserve"> </w:t>
            </w:r>
            <w:r w:rsidRPr="001B53A8">
              <w:rPr>
                <w:b/>
                <w:sz w:val="20"/>
                <w:szCs w:val="20"/>
                <w:lang w:val="sr-Latn-BA"/>
              </w:rPr>
              <w:t>javne</w:t>
            </w:r>
            <w:r w:rsidR="00875596" w:rsidRPr="001B53A8">
              <w:rPr>
                <w:b/>
                <w:sz w:val="20"/>
                <w:szCs w:val="20"/>
                <w:lang w:val="sr-Latn-BA"/>
              </w:rPr>
              <w:t xml:space="preserve"> </w:t>
            </w:r>
            <w:r w:rsidRPr="001B53A8">
              <w:rPr>
                <w:b/>
                <w:sz w:val="20"/>
                <w:szCs w:val="20"/>
                <w:lang w:val="sr-Latn-BA"/>
              </w:rPr>
              <w:t>nabavke</w:t>
            </w:r>
            <w:r w:rsidR="00875596" w:rsidRPr="001B53A8">
              <w:rPr>
                <w:b/>
                <w:sz w:val="20"/>
                <w:szCs w:val="20"/>
                <w:lang w:val="sr-Latn-BA"/>
              </w:rPr>
              <w:t xml:space="preserve"> </w:t>
            </w:r>
            <w:r w:rsidRPr="001B53A8">
              <w:rPr>
                <w:b/>
                <w:sz w:val="20"/>
                <w:szCs w:val="20"/>
                <w:lang w:val="sr-Latn-BA"/>
              </w:rPr>
              <w:t>u</w:t>
            </w:r>
            <w:r w:rsidR="00875596" w:rsidRPr="001B53A8">
              <w:rPr>
                <w:b/>
                <w:sz w:val="20"/>
                <w:szCs w:val="20"/>
                <w:lang w:val="sr-Latn-BA"/>
              </w:rPr>
              <w:t xml:space="preserve"> </w:t>
            </w:r>
            <w:r w:rsidRPr="001B53A8">
              <w:rPr>
                <w:b/>
                <w:sz w:val="20"/>
                <w:szCs w:val="20"/>
                <w:lang w:val="sr-Latn-BA"/>
              </w:rPr>
              <w:t>BiH</w:t>
            </w:r>
          </w:p>
          <w:p w14:paraId="1712BBFC" w14:textId="10E7075F"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
                <w:sz w:val="20"/>
                <w:szCs w:val="20"/>
                <w:lang w:val="sr-Latn-BA"/>
              </w:rPr>
            </w:pPr>
            <w:r w:rsidRPr="001B53A8">
              <w:rPr>
                <w:b/>
                <w:sz w:val="20"/>
                <w:szCs w:val="20"/>
                <w:lang w:val="sr-Latn-BA"/>
              </w:rPr>
              <w:t>Bojana</w:t>
            </w:r>
            <w:r w:rsidR="00875596" w:rsidRPr="001B53A8">
              <w:rPr>
                <w:b/>
                <w:sz w:val="20"/>
                <w:szCs w:val="20"/>
                <w:lang w:val="sr-Latn-BA"/>
              </w:rPr>
              <w:t xml:space="preserve"> </w:t>
            </w:r>
            <w:r w:rsidRPr="001B53A8">
              <w:rPr>
                <w:b/>
                <w:sz w:val="20"/>
                <w:szCs w:val="20"/>
                <w:lang w:val="sr-Latn-BA"/>
              </w:rPr>
              <w:t>Ždrale</w:t>
            </w:r>
            <w:r w:rsidR="00875596" w:rsidRPr="001B53A8">
              <w:rPr>
                <w:b/>
                <w:sz w:val="20"/>
                <w:szCs w:val="20"/>
                <w:lang w:val="sr-Latn-BA"/>
              </w:rPr>
              <w:t>,-</w:t>
            </w:r>
            <w:r w:rsidRPr="001B53A8">
              <w:rPr>
                <w:b/>
                <w:sz w:val="20"/>
                <w:szCs w:val="20"/>
                <w:lang w:val="sr-Latn-BA"/>
              </w:rPr>
              <w:t>Ovlašteni</w:t>
            </w:r>
            <w:r w:rsidR="00875596" w:rsidRPr="001B53A8">
              <w:rPr>
                <w:b/>
                <w:sz w:val="20"/>
                <w:szCs w:val="20"/>
                <w:lang w:val="sr-Latn-BA"/>
              </w:rPr>
              <w:t xml:space="preserve"> </w:t>
            </w:r>
            <w:r w:rsidRPr="001B53A8">
              <w:rPr>
                <w:b/>
                <w:sz w:val="20"/>
                <w:szCs w:val="20"/>
                <w:lang w:val="sr-Latn-BA"/>
              </w:rPr>
              <w:t>predavač</w:t>
            </w:r>
            <w:r w:rsidR="00875596" w:rsidRPr="001B53A8">
              <w:rPr>
                <w:b/>
                <w:sz w:val="20"/>
                <w:szCs w:val="20"/>
                <w:lang w:val="sr-Latn-BA"/>
              </w:rPr>
              <w:t xml:space="preserve"> </w:t>
            </w:r>
            <w:r w:rsidRPr="001B53A8">
              <w:rPr>
                <w:b/>
                <w:sz w:val="20"/>
                <w:szCs w:val="20"/>
                <w:lang w:val="sr-Latn-BA"/>
              </w:rPr>
              <w:t>za</w:t>
            </w:r>
            <w:r w:rsidR="00875596" w:rsidRPr="001B53A8">
              <w:rPr>
                <w:b/>
                <w:sz w:val="20"/>
                <w:szCs w:val="20"/>
                <w:lang w:val="sr-Latn-BA"/>
              </w:rPr>
              <w:t xml:space="preserve"> </w:t>
            </w:r>
            <w:r w:rsidRPr="001B53A8">
              <w:rPr>
                <w:b/>
                <w:sz w:val="20"/>
                <w:szCs w:val="20"/>
                <w:lang w:val="sr-Latn-BA"/>
              </w:rPr>
              <w:t>javne</w:t>
            </w:r>
            <w:r w:rsidR="00875596" w:rsidRPr="001B53A8">
              <w:rPr>
                <w:b/>
                <w:sz w:val="20"/>
                <w:szCs w:val="20"/>
                <w:lang w:val="sr-Latn-BA"/>
              </w:rPr>
              <w:t xml:space="preserve"> </w:t>
            </w:r>
            <w:r w:rsidRPr="001B53A8">
              <w:rPr>
                <w:b/>
                <w:sz w:val="20"/>
                <w:szCs w:val="20"/>
                <w:lang w:val="sr-Latn-BA"/>
              </w:rPr>
              <w:t>nabavke</w:t>
            </w:r>
          </w:p>
          <w:p w14:paraId="44C28006" w14:textId="77777777" w:rsidR="00875596" w:rsidRPr="001B53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
                <w:sz w:val="20"/>
                <w:szCs w:val="20"/>
                <w:lang w:val="sr-Latn-BA"/>
              </w:rPr>
            </w:pPr>
          </w:p>
        </w:tc>
      </w:tr>
      <w:tr w:rsidR="00875596" w:rsidRPr="001B53A8" w14:paraId="329DCA37" w14:textId="77777777" w:rsidTr="00875596">
        <w:trPr>
          <w:cnfStyle w:val="000000010000" w:firstRow="0" w:lastRow="0" w:firstColumn="0" w:lastColumn="0" w:oddVBand="0" w:evenVBand="0" w:oddHBand="0" w:evenHBand="1"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478" w:type="dxa"/>
          </w:tcPr>
          <w:p w14:paraId="0DB49DA6" w14:textId="77777777" w:rsidR="00875596" w:rsidRPr="001B53A8" w:rsidRDefault="00875596" w:rsidP="00875596">
            <w:pPr>
              <w:spacing w:after="0" w:line="240" w:lineRule="auto"/>
              <w:ind w:firstLine="0"/>
              <w:rPr>
                <w:rFonts w:ascii="Times New Roman" w:hAnsi="Times New Roman" w:cs="Times New Roman"/>
                <w:sz w:val="20"/>
                <w:szCs w:val="20"/>
                <w:lang w:val="sr-Latn-BA"/>
              </w:rPr>
            </w:pPr>
            <w:r w:rsidRPr="001B53A8">
              <w:rPr>
                <w:rFonts w:ascii="Times New Roman" w:hAnsi="Times New Roman" w:cs="Times New Roman"/>
                <w:sz w:val="20"/>
                <w:szCs w:val="20"/>
                <w:lang w:val="sr-Latn-BA"/>
              </w:rPr>
              <w:t>4.</w:t>
            </w:r>
          </w:p>
        </w:tc>
        <w:tc>
          <w:tcPr>
            <w:tcW w:w="2211" w:type="dxa"/>
          </w:tcPr>
          <w:p w14:paraId="6510A013" w14:textId="59F81B26" w:rsidR="00875596" w:rsidRPr="001B53A8" w:rsidRDefault="00003F34"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Jahorina</w:t>
            </w:r>
            <w:r w:rsidR="00875596" w:rsidRPr="001B53A8">
              <w:rPr>
                <w:sz w:val="20"/>
                <w:szCs w:val="20"/>
                <w:lang w:val="sr-Latn-BA"/>
              </w:rPr>
              <w:t xml:space="preserve"> </w:t>
            </w:r>
            <w:r w:rsidRPr="001B53A8">
              <w:rPr>
                <w:sz w:val="20"/>
                <w:szCs w:val="20"/>
                <w:lang w:val="sr-Latn-BA"/>
              </w:rPr>
              <w:t>ekonomski</w:t>
            </w:r>
            <w:r w:rsidR="00875596" w:rsidRPr="001B53A8">
              <w:rPr>
                <w:sz w:val="20"/>
                <w:szCs w:val="20"/>
                <w:lang w:val="sr-Latn-BA"/>
              </w:rPr>
              <w:t xml:space="preserve"> </w:t>
            </w:r>
            <w:r w:rsidRPr="001B53A8">
              <w:rPr>
                <w:sz w:val="20"/>
                <w:szCs w:val="20"/>
                <w:lang w:val="sr-Latn-BA"/>
              </w:rPr>
              <w:t>forum</w:t>
            </w:r>
            <w:r w:rsidR="00875596" w:rsidRPr="001B53A8">
              <w:rPr>
                <w:sz w:val="20"/>
                <w:szCs w:val="20"/>
                <w:lang w:val="sr-Latn-BA"/>
              </w:rPr>
              <w:t xml:space="preserve"> 26.04-28.04.2023</w:t>
            </w:r>
          </w:p>
        </w:tc>
        <w:tc>
          <w:tcPr>
            <w:tcW w:w="3603" w:type="dxa"/>
          </w:tcPr>
          <w:p w14:paraId="49D9F0A3" w14:textId="03AB9A93" w:rsidR="00875596" w:rsidRPr="001B53A8" w:rsidRDefault="00003F34"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rFonts w:eastAsiaTheme="majorEastAsia"/>
                <w:sz w:val="20"/>
                <w:szCs w:val="20"/>
                <w:lang w:val="sr-Latn-BA"/>
              </w:rPr>
            </w:pPr>
            <w:r w:rsidRPr="001B53A8">
              <w:rPr>
                <w:rFonts w:eastAsiaTheme="majorEastAsia"/>
                <w:sz w:val="20"/>
                <w:szCs w:val="20"/>
                <w:lang w:val="sr-Latn-BA"/>
              </w:rPr>
              <w:t>Otvoreni</w:t>
            </w:r>
            <w:r w:rsidR="00875596" w:rsidRPr="001B53A8">
              <w:rPr>
                <w:rFonts w:eastAsiaTheme="majorEastAsia"/>
                <w:sz w:val="20"/>
                <w:szCs w:val="20"/>
                <w:lang w:val="sr-Latn-BA"/>
              </w:rPr>
              <w:t xml:space="preserve"> </w:t>
            </w:r>
            <w:r w:rsidRPr="001B53A8">
              <w:rPr>
                <w:rFonts w:eastAsiaTheme="majorEastAsia"/>
                <w:sz w:val="20"/>
                <w:szCs w:val="20"/>
                <w:lang w:val="sr-Latn-BA"/>
              </w:rPr>
              <w:t>Balkan</w:t>
            </w:r>
            <w:r w:rsidR="00875596" w:rsidRPr="001B53A8">
              <w:rPr>
                <w:rFonts w:eastAsiaTheme="majorEastAsia"/>
                <w:sz w:val="20"/>
                <w:szCs w:val="20"/>
                <w:lang w:val="sr-Latn-BA"/>
              </w:rPr>
              <w:t xml:space="preserve">, </w:t>
            </w:r>
            <w:r w:rsidRPr="001B53A8">
              <w:rPr>
                <w:rFonts w:eastAsiaTheme="majorEastAsia"/>
                <w:sz w:val="20"/>
                <w:szCs w:val="20"/>
                <w:lang w:val="sr-Latn-BA"/>
              </w:rPr>
              <w:t>Energetska</w:t>
            </w:r>
            <w:r w:rsidR="00875596" w:rsidRPr="001B53A8">
              <w:rPr>
                <w:rFonts w:eastAsiaTheme="majorEastAsia"/>
                <w:sz w:val="20"/>
                <w:szCs w:val="20"/>
                <w:lang w:val="sr-Latn-BA"/>
              </w:rPr>
              <w:t xml:space="preserve"> </w:t>
            </w:r>
            <w:r w:rsidRPr="001B53A8">
              <w:rPr>
                <w:rFonts w:eastAsiaTheme="majorEastAsia"/>
                <w:sz w:val="20"/>
                <w:szCs w:val="20"/>
                <w:lang w:val="sr-Latn-BA"/>
              </w:rPr>
              <w:t>tranzicija</w:t>
            </w:r>
            <w:r w:rsidR="00875596" w:rsidRPr="001B53A8">
              <w:rPr>
                <w:rFonts w:eastAsiaTheme="majorEastAsia"/>
                <w:sz w:val="20"/>
                <w:szCs w:val="20"/>
                <w:lang w:val="sr-Latn-BA"/>
              </w:rPr>
              <w:t xml:space="preserve">, </w:t>
            </w:r>
            <w:r w:rsidRPr="001B53A8">
              <w:rPr>
                <w:rFonts w:eastAsiaTheme="majorEastAsia"/>
                <w:sz w:val="20"/>
                <w:szCs w:val="20"/>
                <w:lang w:val="sr-Latn-BA"/>
              </w:rPr>
              <w:t>Tržište</w:t>
            </w:r>
            <w:r w:rsidR="00875596" w:rsidRPr="001B53A8">
              <w:rPr>
                <w:rFonts w:eastAsiaTheme="majorEastAsia"/>
                <w:sz w:val="20"/>
                <w:szCs w:val="20"/>
                <w:lang w:val="sr-Latn-BA"/>
              </w:rPr>
              <w:t xml:space="preserve"> </w:t>
            </w:r>
            <w:r w:rsidRPr="001B53A8">
              <w:rPr>
                <w:rFonts w:eastAsiaTheme="majorEastAsia"/>
                <w:sz w:val="20"/>
                <w:szCs w:val="20"/>
                <w:lang w:val="sr-Latn-BA"/>
              </w:rPr>
              <w:t>nekretnina</w:t>
            </w:r>
            <w:r w:rsidR="00875596" w:rsidRPr="001B53A8">
              <w:rPr>
                <w:rFonts w:eastAsiaTheme="majorEastAsia"/>
                <w:sz w:val="20"/>
                <w:szCs w:val="20"/>
                <w:lang w:val="sr-Latn-BA"/>
              </w:rPr>
              <w:t xml:space="preserve">, </w:t>
            </w:r>
            <w:r w:rsidRPr="001B53A8">
              <w:rPr>
                <w:rFonts w:eastAsiaTheme="majorEastAsia"/>
                <w:sz w:val="20"/>
                <w:szCs w:val="20"/>
                <w:lang w:val="sr-Latn-BA"/>
              </w:rPr>
              <w:t>Inflacija</w:t>
            </w:r>
            <w:r w:rsidR="00875596" w:rsidRPr="001B53A8">
              <w:rPr>
                <w:rFonts w:eastAsiaTheme="majorEastAsia"/>
                <w:sz w:val="20"/>
                <w:szCs w:val="20"/>
                <w:lang w:val="sr-Latn-BA"/>
              </w:rPr>
              <w:t xml:space="preserve">, </w:t>
            </w:r>
            <w:r w:rsidRPr="001B53A8">
              <w:rPr>
                <w:rFonts w:eastAsiaTheme="majorEastAsia"/>
                <w:sz w:val="20"/>
                <w:szCs w:val="20"/>
                <w:lang w:val="sr-Latn-BA"/>
              </w:rPr>
              <w:t>Sport</w:t>
            </w:r>
            <w:r w:rsidR="00875596" w:rsidRPr="001B53A8">
              <w:rPr>
                <w:rFonts w:eastAsiaTheme="majorEastAsia"/>
                <w:sz w:val="20"/>
                <w:szCs w:val="20"/>
                <w:lang w:val="sr-Latn-BA"/>
              </w:rPr>
              <w:t xml:space="preserve"> </w:t>
            </w:r>
            <w:r w:rsidRPr="001B53A8">
              <w:rPr>
                <w:rFonts w:eastAsiaTheme="majorEastAsia"/>
                <w:sz w:val="20"/>
                <w:szCs w:val="20"/>
                <w:lang w:val="sr-Latn-BA"/>
              </w:rPr>
              <w:t>kao</w:t>
            </w:r>
            <w:r w:rsidR="00875596" w:rsidRPr="001B53A8">
              <w:rPr>
                <w:rFonts w:eastAsiaTheme="majorEastAsia"/>
                <w:sz w:val="20"/>
                <w:szCs w:val="20"/>
                <w:lang w:val="sr-Latn-BA"/>
              </w:rPr>
              <w:t xml:space="preserve"> </w:t>
            </w:r>
            <w:r w:rsidRPr="001B53A8">
              <w:rPr>
                <w:rFonts w:eastAsiaTheme="majorEastAsia"/>
                <w:sz w:val="20"/>
                <w:szCs w:val="20"/>
                <w:lang w:val="sr-Latn-BA"/>
              </w:rPr>
              <w:t>brend</w:t>
            </w:r>
            <w:r w:rsidR="00875596" w:rsidRPr="001B53A8">
              <w:rPr>
                <w:rFonts w:eastAsiaTheme="majorEastAsia"/>
                <w:sz w:val="20"/>
                <w:szCs w:val="20"/>
                <w:lang w:val="sr-Latn-BA"/>
              </w:rPr>
              <w:t xml:space="preserve">, </w:t>
            </w:r>
            <w:r w:rsidRPr="001B53A8">
              <w:rPr>
                <w:rFonts w:eastAsiaTheme="majorEastAsia"/>
                <w:sz w:val="20"/>
                <w:szCs w:val="20"/>
                <w:lang w:val="sr-Latn-BA"/>
              </w:rPr>
              <w:t>Digitalizacija</w:t>
            </w:r>
            <w:r w:rsidR="00875596" w:rsidRPr="001B53A8">
              <w:rPr>
                <w:rFonts w:eastAsiaTheme="majorEastAsia"/>
                <w:sz w:val="20"/>
                <w:szCs w:val="20"/>
                <w:lang w:val="sr-Latn-BA"/>
              </w:rPr>
              <w:t xml:space="preserve"> </w:t>
            </w:r>
            <w:r w:rsidRPr="001B53A8">
              <w:rPr>
                <w:rFonts w:eastAsiaTheme="majorEastAsia"/>
                <w:sz w:val="20"/>
                <w:szCs w:val="20"/>
                <w:lang w:val="sr-Latn-BA"/>
              </w:rPr>
              <w:t>u</w:t>
            </w:r>
            <w:r w:rsidR="00875596" w:rsidRPr="001B53A8">
              <w:rPr>
                <w:rFonts w:eastAsiaTheme="majorEastAsia"/>
                <w:sz w:val="20"/>
                <w:szCs w:val="20"/>
                <w:lang w:val="sr-Latn-BA"/>
              </w:rPr>
              <w:t xml:space="preserve"> </w:t>
            </w:r>
            <w:r w:rsidRPr="001B53A8">
              <w:rPr>
                <w:rFonts w:eastAsiaTheme="majorEastAsia"/>
                <w:sz w:val="20"/>
                <w:szCs w:val="20"/>
                <w:lang w:val="sr-Latn-BA"/>
              </w:rPr>
              <w:t>osiguranju</w:t>
            </w:r>
            <w:r w:rsidR="00875596" w:rsidRPr="001B53A8">
              <w:rPr>
                <w:rFonts w:eastAsiaTheme="majorEastAsia"/>
                <w:sz w:val="20"/>
                <w:szCs w:val="20"/>
                <w:lang w:val="sr-Latn-BA"/>
              </w:rPr>
              <w:t xml:space="preserve">, </w:t>
            </w:r>
            <w:r w:rsidRPr="001B53A8">
              <w:rPr>
                <w:rFonts w:eastAsiaTheme="majorEastAsia"/>
                <w:sz w:val="20"/>
                <w:szCs w:val="20"/>
                <w:lang w:val="sr-Latn-BA"/>
              </w:rPr>
              <w:t>Pametni</w:t>
            </w:r>
            <w:r w:rsidR="00875596" w:rsidRPr="001B53A8">
              <w:rPr>
                <w:rFonts w:eastAsiaTheme="majorEastAsia"/>
                <w:sz w:val="20"/>
                <w:szCs w:val="20"/>
                <w:lang w:val="sr-Latn-BA"/>
              </w:rPr>
              <w:t xml:space="preserve"> </w:t>
            </w:r>
            <w:r w:rsidRPr="001B53A8">
              <w:rPr>
                <w:rFonts w:eastAsiaTheme="majorEastAsia"/>
                <w:sz w:val="20"/>
                <w:szCs w:val="20"/>
                <w:lang w:val="sr-Latn-BA"/>
              </w:rPr>
              <w:t>gradovi</w:t>
            </w:r>
            <w:r w:rsidR="00875596" w:rsidRPr="001B53A8">
              <w:rPr>
                <w:rFonts w:eastAsiaTheme="majorEastAsia"/>
                <w:sz w:val="20"/>
                <w:szCs w:val="20"/>
                <w:lang w:val="sr-Latn-BA"/>
              </w:rPr>
              <w:t xml:space="preserve"> </w:t>
            </w:r>
            <w:r w:rsidRPr="001B53A8">
              <w:rPr>
                <w:rFonts w:eastAsiaTheme="majorEastAsia"/>
                <w:sz w:val="20"/>
                <w:szCs w:val="20"/>
                <w:lang w:val="sr-Latn-BA"/>
              </w:rPr>
              <w:t>itd</w:t>
            </w:r>
            <w:r w:rsidR="00875596" w:rsidRPr="001B53A8">
              <w:rPr>
                <w:rFonts w:eastAsiaTheme="majorEastAsia"/>
                <w:sz w:val="20"/>
                <w:szCs w:val="20"/>
                <w:lang w:val="sr-Latn-BA"/>
              </w:rPr>
              <w:t>.</w:t>
            </w:r>
          </w:p>
        </w:tc>
        <w:tc>
          <w:tcPr>
            <w:tcW w:w="1418" w:type="dxa"/>
          </w:tcPr>
          <w:p w14:paraId="48F18118" w14:textId="421DB305" w:rsidR="00875596" w:rsidRPr="001B53A8" w:rsidRDefault="00003F34"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w w:val="107"/>
                <w:sz w:val="20"/>
                <w:szCs w:val="20"/>
                <w:lang w:val="sr-Latn-BA"/>
              </w:rPr>
            </w:pPr>
            <w:r w:rsidRPr="001B53A8">
              <w:rPr>
                <w:bCs/>
                <w:w w:val="107"/>
                <w:sz w:val="20"/>
                <w:szCs w:val="20"/>
                <w:lang w:val="sr-Latn-BA"/>
              </w:rPr>
              <w:t>Privredna</w:t>
            </w:r>
            <w:r w:rsidR="00875596" w:rsidRPr="001B53A8">
              <w:rPr>
                <w:bCs/>
                <w:w w:val="107"/>
                <w:sz w:val="20"/>
                <w:szCs w:val="20"/>
                <w:lang w:val="sr-Latn-BA"/>
              </w:rPr>
              <w:t xml:space="preserve"> </w:t>
            </w:r>
            <w:r w:rsidRPr="001B53A8">
              <w:rPr>
                <w:bCs/>
                <w:w w:val="107"/>
                <w:sz w:val="20"/>
                <w:szCs w:val="20"/>
                <w:lang w:val="sr-Latn-BA"/>
              </w:rPr>
              <w:t>komora</w:t>
            </w:r>
            <w:r w:rsidR="00875596" w:rsidRPr="001B53A8">
              <w:rPr>
                <w:bCs/>
                <w:w w:val="107"/>
                <w:sz w:val="20"/>
                <w:szCs w:val="20"/>
                <w:lang w:val="sr-Latn-BA"/>
              </w:rPr>
              <w:t xml:space="preserve"> </w:t>
            </w:r>
            <w:r w:rsidRPr="001B53A8">
              <w:rPr>
                <w:bCs/>
                <w:w w:val="107"/>
                <w:sz w:val="20"/>
                <w:szCs w:val="20"/>
                <w:lang w:val="sr-Latn-BA"/>
              </w:rPr>
              <w:t>Banja</w:t>
            </w:r>
            <w:r w:rsidR="00875596" w:rsidRPr="001B53A8">
              <w:rPr>
                <w:bCs/>
                <w:w w:val="107"/>
                <w:sz w:val="20"/>
                <w:szCs w:val="20"/>
                <w:lang w:val="sr-Latn-BA"/>
              </w:rPr>
              <w:t xml:space="preserve"> </w:t>
            </w:r>
            <w:r w:rsidRPr="001B53A8">
              <w:rPr>
                <w:bCs/>
                <w:w w:val="107"/>
                <w:sz w:val="20"/>
                <w:szCs w:val="20"/>
                <w:lang w:val="sr-Latn-BA"/>
              </w:rPr>
              <w:t>Luka</w:t>
            </w:r>
          </w:p>
        </w:tc>
        <w:tc>
          <w:tcPr>
            <w:tcW w:w="2203" w:type="dxa"/>
          </w:tcPr>
          <w:p w14:paraId="73F2546D" w14:textId="3AEC201D" w:rsidR="00875596" w:rsidRPr="001B53A8" w:rsidRDefault="00003F34"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20"/>
                <w:szCs w:val="20"/>
                <w:lang w:val="sr-Latn-BA"/>
              </w:rPr>
            </w:pPr>
            <w:r w:rsidRPr="001B53A8">
              <w:rPr>
                <w:bCs/>
                <w:sz w:val="20"/>
                <w:szCs w:val="20"/>
                <w:lang w:val="sr-Latn-BA"/>
              </w:rPr>
              <w:t>Predstavnici</w:t>
            </w:r>
            <w:r w:rsidR="00875596" w:rsidRPr="001B53A8">
              <w:rPr>
                <w:bCs/>
                <w:sz w:val="20"/>
                <w:szCs w:val="20"/>
                <w:lang w:val="sr-Latn-BA"/>
              </w:rPr>
              <w:t xml:space="preserve"> </w:t>
            </w:r>
            <w:r w:rsidRPr="001B53A8">
              <w:rPr>
                <w:bCs/>
                <w:sz w:val="20"/>
                <w:szCs w:val="20"/>
                <w:lang w:val="sr-Latn-BA"/>
              </w:rPr>
              <w:t>privrede</w:t>
            </w:r>
            <w:r w:rsidR="00875596" w:rsidRPr="001B53A8">
              <w:rPr>
                <w:bCs/>
                <w:sz w:val="20"/>
                <w:szCs w:val="20"/>
                <w:lang w:val="sr-Latn-BA"/>
              </w:rPr>
              <w:t xml:space="preserve">, </w:t>
            </w:r>
            <w:r w:rsidRPr="001B53A8">
              <w:rPr>
                <w:bCs/>
                <w:sz w:val="20"/>
                <w:szCs w:val="20"/>
                <w:lang w:val="sr-Latn-BA"/>
              </w:rPr>
              <w:t>lokalne</w:t>
            </w:r>
            <w:r w:rsidR="00875596" w:rsidRPr="001B53A8">
              <w:rPr>
                <w:bCs/>
                <w:sz w:val="20"/>
                <w:szCs w:val="20"/>
                <w:lang w:val="sr-Latn-BA"/>
              </w:rPr>
              <w:t xml:space="preserve"> </w:t>
            </w:r>
            <w:r w:rsidRPr="001B53A8">
              <w:rPr>
                <w:bCs/>
                <w:sz w:val="20"/>
                <w:szCs w:val="20"/>
                <w:lang w:val="sr-Latn-BA"/>
              </w:rPr>
              <w:t>samouprave</w:t>
            </w:r>
            <w:r w:rsidR="00875596" w:rsidRPr="001B53A8">
              <w:rPr>
                <w:bCs/>
                <w:sz w:val="20"/>
                <w:szCs w:val="20"/>
                <w:lang w:val="sr-Latn-BA"/>
              </w:rPr>
              <w:t xml:space="preserve">, </w:t>
            </w:r>
            <w:r w:rsidRPr="001B53A8">
              <w:rPr>
                <w:bCs/>
                <w:sz w:val="20"/>
                <w:szCs w:val="20"/>
                <w:lang w:val="sr-Latn-BA"/>
              </w:rPr>
              <w:t>državnih</w:t>
            </w:r>
            <w:r w:rsidR="00875596" w:rsidRPr="001B53A8">
              <w:rPr>
                <w:bCs/>
                <w:sz w:val="20"/>
                <w:szCs w:val="20"/>
                <w:lang w:val="sr-Latn-BA"/>
              </w:rPr>
              <w:t xml:space="preserve"> </w:t>
            </w:r>
            <w:r w:rsidRPr="001B53A8">
              <w:rPr>
                <w:bCs/>
                <w:sz w:val="20"/>
                <w:szCs w:val="20"/>
                <w:lang w:val="sr-Latn-BA"/>
              </w:rPr>
              <w:t>institucija</w:t>
            </w:r>
            <w:r w:rsidR="00875596" w:rsidRPr="001B53A8">
              <w:rPr>
                <w:bCs/>
                <w:sz w:val="20"/>
                <w:szCs w:val="20"/>
                <w:lang w:val="sr-Latn-BA"/>
              </w:rPr>
              <w:t xml:space="preserve"> </w:t>
            </w:r>
            <w:r w:rsidRPr="001B53A8">
              <w:rPr>
                <w:bCs/>
                <w:sz w:val="20"/>
                <w:szCs w:val="20"/>
                <w:lang w:val="sr-Latn-BA"/>
              </w:rPr>
              <w:t>iz</w:t>
            </w:r>
            <w:r w:rsidR="00875596" w:rsidRPr="001B53A8">
              <w:rPr>
                <w:bCs/>
                <w:sz w:val="20"/>
                <w:szCs w:val="20"/>
                <w:lang w:val="sr-Latn-BA"/>
              </w:rPr>
              <w:t xml:space="preserve"> </w:t>
            </w:r>
            <w:r w:rsidRPr="001B53A8">
              <w:rPr>
                <w:bCs/>
                <w:sz w:val="20"/>
                <w:szCs w:val="20"/>
                <w:lang w:val="sr-Latn-BA"/>
              </w:rPr>
              <w:t>BiH</w:t>
            </w:r>
            <w:r w:rsidR="00875596" w:rsidRPr="001B53A8">
              <w:rPr>
                <w:bCs/>
                <w:sz w:val="20"/>
                <w:szCs w:val="20"/>
                <w:lang w:val="sr-Latn-BA"/>
              </w:rPr>
              <w:t xml:space="preserve"> </w:t>
            </w:r>
            <w:r w:rsidRPr="001B53A8">
              <w:rPr>
                <w:bCs/>
                <w:sz w:val="20"/>
                <w:szCs w:val="20"/>
                <w:lang w:val="sr-Latn-BA"/>
              </w:rPr>
              <w:t>i</w:t>
            </w:r>
            <w:r w:rsidR="00875596" w:rsidRPr="001B53A8">
              <w:rPr>
                <w:bCs/>
                <w:sz w:val="20"/>
                <w:szCs w:val="20"/>
                <w:lang w:val="sr-Latn-BA"/>
              </w:rPr>
              <w:t xml:space="preserve"> </w:t>
            </w:r>
            <w:r w:rsidRPr="001B53A8">
              <w:rPr>
                <w:bCs/>
                <w:sz w:val="20"/>
                <w:szCs w:val="20"/>
                <w:lang w:val="sr-Latn-BA"/>
              </w:rPr>
              <w:t>zemalјa</w:t>
            </w:r>
            <w:r w:rsidR="00875596" w:rsidRPr="001B53A8">
              <w:rPr>
                <w:bCs/>
                <w:sz w:val="20"/>
                <w:szCs w:val="20"/>
                <w:lang w:val="sr-Latn-BA"/>
              </w:rPr>
              <w:t xml:space="preserve"> </w:t>
            </w:r>
            <w:r w:rsidRPr="001B53A8">
              <w:rPr>
                <w:bCs/>
                <w:sz w:val="20"/>
                <w:szCs w:val="20"/>
                <w:lang w:val="sr-Latn-BA"/>
              </w:rPr>
              <w:t>okruženja</w:t>
            </w:r>
          </w:p>
        </w:tc>
      </w:tr>
      <w:tr w:rsidR="00875596" w:rsidRPr="001B53A8" w14:paraId="4579E3C0" w14:textId="77777777" w:rsidTr="00875596">
        <w:trPr>
          <w:cnfStyle w:val="000000100000" w:firstRow="0" w:lastRow="0" w:firstColumn="0" w:lastColumn="0" w:oddVBand="0" w:evenVBand="0" w:oddHBand="1" w:evenHBand="0"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478" w:type="dxa"/>
          </w:tcPr>
          <w:p w14:paraId="6A637A1E" w14:textId="77777777" w:rsidR="00875596" w:rsidRPr="001B53A8" w:rsidRDefault="00875596" w:rsidP="00875596">
            <w:pPr>
              <w:spacing w:after="0" w:line="240" w:lineRule="auto"/>
              <w:ind w:firstLine="0"/>
              <w:rPr>
                <w:rFonts w:ascii="Times New Roman" w:hAnsi="Times New Roman" w:cs="Times New Roman"/>
                <w:sz w:val="20"/>
                <w:szCs w:val="20"/>
                <w:lang w:val="sr-Latn-BA"/>
              </w:rPr>
            </w:pPr>
            <w:r w:rsidRPr="001B53A8">
              <w:rPr>
                <w:rFonts w:ascii="Times New Roman" w:hAnsi="Times New Roman" w:cs="Times New Roman"/>
                <w:sz w:val="20"/>
                <w:szCs w:val="20"/>
                <w:lang w:val="sr-Latn-BA"/>
              </w:rPr>
              <w:t>5.</w:t>
            </w:r>
          </w:p>
        </w:tc>
        <w:tc>
          <w:tcPr>
            <w:tcW w:w="2211" w:type="dxa"/>
          </w:tcPr>
          <w:p w14:paraId="0550BE73" w14:textId="7532F9E3" w:rsidR="00875596" w:rsidRPr="001B53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bCs/>
                <w:sz w:val="20"/>
                <w:szCs w:val="20"/>
                <w:lang w:val="sr-Latn-BA"/>
              </w:rPr>
            </w:pPr>
            <w:r w:rsidRPr="001B53A8">
              <w:rPr>
                <w:bCs/>
                <w:sz w:val="20"/>
                <w:szCs w:val="20"/>
                <w:lang w:val="sr-Latn-BA"/>
              </w:rPr>
              <w:t>X</w:t>
            </w:r>
            <w:r w:rsidR="00003F34" w:rsidRPr="001B53A8">
              <w:rPr>
                <w:bCs/>
                <w:sz w:val="20"/>
                <w:szCs w:val="20"/>
                <w:lang w:val="sr-Latn-BA"/>
              </w:rPr>
              <w:t>V</w:t>
            </w:r>
            <w:r w:rsidRPr="001B53A8">
              <w:rPr>
                <w:bCs/>
                <w:sz w:val="20"/>
                <w:szCs w:val="20"/>
                <w:lang w:val="sr-Latn-BA"/>
              </w:rPr>
              <w:t xml:space="preserve"> </w:t>
            </w:r>
            <w:r w:rsidR="00003F34" w:rsidRPr="001B53A8">
              <w:rPr>
                <w:bCs/>
                <w:sz w:val="20"/>
                <w:szCs w:val="20"/>
                <w:lang w:val="sr-Latn-BA"/>
              </w:rPr>
              <w:t>Forumu</w:t>
            </w:r>
            <w:r w:rsidRPr="001B53A8">
              <w:rPr>
                <w:bCs/>
                <w:sz w:val="20"/>
                <w:szCs w:val="20"/>
                <w:lang w:val="sr-Latn-BA"/>
              </w:rPr>
              <w:t xml:space="preserve"> </w:t>
            </w:r>
            <w:r w:rsidR="00003F34" w:rsidRPr="001B53A8">
              <w:rPr>
                <w:bCs/>
                <w:sz w:val="20"/>
                <w:szCs w:val="20"/>
                <w:lang w:val="sr-Latn-BA"/>
              </w:rPr>
              <w:t>SPN</w:t>
            </w:r>
            <w:r w:rsidRPr="001B53A8">
              <w:rPr>
                <w:bCs/>
                <w:sz w:val="20"/>
                <w:szCs w:val="20"/>
                <w:lang w:val="sr-Latn-BA"/>
              </w:rPr>
              <w:t xml:space="preserve">, </w:t>
            </w:r>
            <w:r w:rsidR="00003F34" w:rsidRPr="001B53A8">
              <w:rPr>
                <w:bCs/>
                <w:sz w:val="20"/>
                <w:szCs w:val="20"/>
                <w:lang w:val="sr-Latn-BA"/>
              </w:rPr>
              <w:t>FTA</w:t>
            </w:r>
            <w:r w:rsidRPr="001B53A8">
              <w:rPr>
                <w:bCs/>
                <w:sz w:val="20"/>
                <w:szCs w:val="20"/>
                <w:lang w:val="sr-Latn-BA"/>
              </w:rPr>
              <w:t xml:space="preserve"> </w:t>
            </w:r>
            <w:r w:rsidR="00003F34" w:rsidRPr="001B53A8">
              <w:rPr>
                <w:bCs/>
                <w:sz w:val="20"/>
                <w:szCs w:val="20"/>
                <w:lang w:val="sr-Latn-BA"/>
              </w:rPr>
              <w:t>i</w:t>
            </w:r>
            <w:r w:rsidRPr="001B53A8">
              <w:rPr>
                <w:bCs/>
                <w:sz w:val="20"/>
                <w:szCs w:val="20"/>
                <w:lang w:val="sr-Latn-BA"/>
              </w:rPr>
              <w:t xml:space="preserve"> </w:t>
            </w:r>
            <w:r w:rsidR="00003F34" w:rsidRPr="001B53A8">
              <w:rPr>
                <w:bCs/>
                <w:sz w:val="20"/>
                <w:szCs w:val="20"/>
                <w:lang w:val="sr-Latn-BA"/>
              </w:rPr>
              <w:t>borba</w:t>
            </w:r>
            <w:r w:rsidRPr="001B53A8">
              <w:rPr>
                <w:bCs/>
                <w:sz w:val="20"/>
                <w:szCs w:val="20"/>
                <w:lang w:val="sr-Latn-BA"/>
              </w:rPr>
              <w:t xml:space="preserve"> </w:t>
            </w:r>
            <w:r w:rsidR="00003F34" w:rsidRPr="001B53A8">
              <w:rPr>
                <w:bCs/>
                <w:sz w:val="20"/>
                <w:szCs w:val="20"/>
                <w:lang w:val="sr-Latn-BA"/>
              </w:rPr>
              <w:t>protiv</w:t>
            </w:r>
            <w:r w:rsidRPr="001B53A8">
              <w:rPr>
                <w:bCs/>
                <w:sz w:val="20"/>
                <w:szCs w:val="20"/>
                <w:lang w:val="sr-Latn-BA"/>
              </w:rPr>
              <w:t xml:space="preserve"> </w:t>
            </w:r>
            <w:r w:rsidR="00003F34" w:rsidRPr="001B53A8">
              <w:rPr>
                <w:bCs/>
                <w:sz w:val="20"/>
                <w:szCs w:val="20"/>
                <w:lang w:val="sr-Latn-BA"/>
              </w:rPr>
              <w:t>korupcije</w:t>
            </w:r>
            <w:r w:rsidRPr="001B53A8">
              <w:rPr>
                <w:bCs/>
                <w:sz w:val="20"/>
                <w:szCs w:val="20"/>
                <w:lang w:val="sr-Latn-BA"/>
              </w:rPr>
              <w:t>,</w:t>
            </w:r>
          </w:p>
          <w:p w14:paraId="05A6E453" w14:textId="1A78B1D2" w:rsidR="00875596" w:rsidRPr="001B53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bCs/>
                <w:sz w:val="20"/>
                <w:szCs w:val="20"/>
                <w:lang w:val="sr-Latn-BA"/>
              </w:rPr>
            </w:pPr>
            <w:r w:rsidRPr="001B53A8">
              <w:rPr>
                <w:bCs/>
                <w:sz w:val="20"/>
                <w:szCs w:val="20"/>
                <w:lang w:val="sr-Latn-BA"/>
              </w:rPr>
              <w:t xml:space="preserve">26. </w:t>
            </w:r>
            <w:r w:rsidR="00003F34" w:rsidRPr="001B53A8">
              <w:rPr>
                <w:bCs/>
                <w:sz w:val="20"/>
                <w:szCs w:val="20"/>
                <w:lang w:val="sr-Latn-BA"/>
              </w:rPr>
              <w:t>i</w:t>
            </w:r>
            <w:r w:rsidRPr="001B53A8">
              <w:rPr>
                <w:bCs/>
                <w:sz w:val="20"/>
                <w:szCs w:val="20"/>
                <w:lang w:val="sr-Latn-BA"/>
              </w:rPr>
              <w:t xml:space="preserve"> 27.04.2023.</w:t>
            </w:r>
          </w:p>
        </w:tc>
        <w:tc>
          <w:tcPr>
            <w:tcW w:w="3603" w:type="dxa"/>
          </w:tcPr>
          <w:p w14:paraId="6E91ED83" w14:textId="6CDB0A7D" w:rsidR="00875596" w:rsidRPr="001B53A8" w:rsidRDefault="00003F34"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PRIJETNјE</w:t>
            </w:r>
            <w:r w:rsidR="00875596" w:rsidRPr="001B53A8">
              <w:rPr>
                <w:sz w:val="20"/>
                <w:szCs w:val="20"/>
                <w:lang w:val="sr-Latn-BA"/>
              </w:rPr>
              <w:t xml:space="preserve"> </w:t>
            </w:r>
            <w:r w:rsidRPr="001B53A8">
              <w:rPr>
                <w:sz w:val="20"/>
                <w:szCs w:val="20"/>
                <w:lang w:val="sr-Latn-BA"/>
              </w:rPr>
              <w:t>OD</w:t>
            </w:r>
            <w:r w:rsidR="00875596" w:rsidRPr="001B53A8">
              <w:rPr>
                <w:sz w:val="20"/>
                <w:szCs w:val="20"/>
                <w:lang w:val="sr-Latn-BA"/>
              </w:rPr>
              <w:t xml:space="preserve"> </w:t>
            </w:r>
            <w:r w:rsidRPr="001B53A8">
              <w:rPr>
                <w:sz w:val="20"/>
                <w:szCs w:val="20"/>
                <w:lang w:val="sr-Latn-BA"/>
              </w:rPr>
              <w:t>PRANјE</w:t>
            </w:r>
            <w:r w:rsidR="00875596" w:rsidRPr="001B53A8">
              <w:rPr>
                <w:sz w:val="20"/>
                <w:szCs w:val="20"/>
                <w:lang w:val="sr-Latn-BA"/>
              </w:rPr>
              <w:t xml:space="preserve"> </w:t>
            </w:r>
            <w:r w:rsidRPr="001B53A8">
              <w:rPr>
                <w:sz w:val="20"/>
                <w:szCs w:val="20"/>
                <w:lang w:val="sr-Latn-BA"/>
              </w:rPr>
              <w:t>NOVCA</w:t>
            </w:r>
            <w:r w:rsidR="00875596" w:rsidRPr="001B53A8">
              <w:rPr>
                <w:sz w:val="20"/>
                <w:szCs w:val="20"/>
                <w:lang w:val="sr-Latn-BA"/>
              </w:rPr>
              <w:t xml:space="preserve">, </w:t>
            </w:r>
            <w:r w:rsidRPr="001B53A8">
              <w:rPr>
                <w:sz w:val="20"/>
                <w:szCs w:val="20"/>
                <w:lang w:val="sr-Latn-BA"/>
              </w:rPr>
              <w:t>FINANSIRANјA</w:t>
            </w:r>
            <w:r w:rsidR="00875596" w:rsidRPr="001B53A8">
              <w:rPr>
                <w:sz w:val="20"/>
                <w:szCs w:val="20"/>
                <w:lang w:val="sr-Latn-BA"/>
              </w:rPr>
              <w:t xml:space="preserve"> </w:t>
            </w:r>
            <w:r w:rsidRPr="001B53A8">
              <w:rPr>
                <w:sz w:val="20"/>
                <w:szCs w:val="20"/>
                <w:lang w:val="sr-Latn-BA"/>
              </w:rPr>
              <w:t>TERORISTIČKIH</w:t>
            </w:r>
            <w:r w:rsidR="00875596" w:rsidRPr="001B53A8">
              <w:rPr>
                <w:sz w:val="20"/>
                <w:szCs w:val="20"/>
                <w:lang w:val="sr-Latn-BA"/>
              </w:rPr>
              <w:t xml:space="preserve"> </w:t>
            </w:r>
            <w:r w:rsidRPr="001B53A8">
              <w:rPr>
                <w:sz w:val="20"/>
                <w:szCs w:val="20"/>
                <w:lang w:val="sr-Latn-BA"/>
              </w:rPr>
              <w:t>AKTIVNOSTI</w:t>
            </w:r>
            <w:r w:rsidR="00875596" w:rsidRPr="001B53A8">
              <w:rPr>
                <w:sz w:val="20"/>
                <w:szCs w:val="20"/>
                <w:lang w:val="sr-Latn-BA"/>
              </w:rPr>
              <w:t xml:space="preserve"> </w:t>
            </w:r>
            <w:r w:rsidRPr="001B53A8">
              <w:rPr>
                <w:sz w:val="20"/>
                <w:szCs w:val="20"/>
                <w:lang w:val="sr-Latn-BA"/>
              </w:rPr>
              <w:t>I</w:t>
            </w:r>
            <w:r w:rsidR="00875596" w:rsidRPr="001B53A8">
              <w:rPr>
                <w:sz w:val="20"/>
                <w:szCs w:val="20"/>
                <w:lang w:val="sr-Latn-BA"/>
              </w:rPr>
              <w:t xml:space="preserve"> </w:t>
            </w:r>
            <w:r w:rsidRPr="001B53A8">
              <w:rPr>
                <w:sz w:val="20"/>
                <w:szCs w:val="20"/>
                <w:lang w:val="sr-Latn-BA"/>
              </w:rPr>
              <w:t>KORUPCIJA</w:t>
            </w:r>
          </w:p>
          <w:p w14:paraId="6F519E9E" w14:textId="6F3A37E2"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Nova</w:t>
            </w:r>
            <w:r w:rsidR="00875596" w:rsidRPr="001B53A8">
              <w:rPr>
                <w:sz w:val="20"/>
                <w:szCs w:val="20"/>
                <w:lang w:val="sr-Latn-BA"/>
              </w:rPr>
              <w:t xml:space="preserve"> </w:t>
            </w:r>
            <w:r w:rsidRPr="001B53A8">
              <w:rPr>
                <w:sz w:val="20"/>
                <w:szCs w:val="20"/>
                <w:lang w:val="sr-Latn-BA"/>
              </w:rPr>
              <w:t>nacionalna</w:t>
            </w:r>
            <w:r w:rsidR="00875596" w:rsidRPr="001B53A8">
              <w:rPr>
                <w:sz w:val="20"/>
                <w:szCs w:val="20"/>
                <w:lang w:val="sr-Latn-BA"/>
              </w:rPr>
              <w:t xml:space="preserve"> </w:t>
            </w:r>
            <w:r w:rsidRPr="001B53A8">
              <w:rPr>
                <w:sz w:val="20"/>
                <w:szCs w:val="20"/>
                <w:lang w:val="sr-Latn-BA"/>
              </w:rPr>
              <w:t>procjena</w:t>
            </w:r>
            <w:r w:rsidR="00875596" w:rsidRPr="001B53A8">
              <w:rPr>
                <w:sz w:val="20"/>
                <w:szCs w:val="20"/>
                <w:lang w:val="sr-Latn-BA"/>
              </w:rPr>
              <w:t xml:space="preserve"> </w:t>
            </w:r>
            <w:r w:rsidRPr="001B53A8">
              <w:rPr>
                <w:sz w:val="20"/>
                <w:szCs w:val="20"/>
                <w:lang w:val="sr-Latn-BA"/>
              </w:rPr>
              <w:t>rizika</w:t>
            </w:r>
            <w:r w:rsidR="00875596" w:rsidRPr="001B53A8">
              <w:rPr>
                <w:sz w:val="20"/>
                <w:szCs w:val="20"/>
                <w:lang w:val="sr-Latn-BA"/>
              </w:rPr>
              <w:t xml:space="preserve"> </w:t>
            </w:r>
            <w:r w:rsidRPr="001B53A8">
              <w:rPr>
                <w:sz w:val="20"/>
                <w:szCs w:val="20"/>
                <w:lang w:val="sr-Latn-BA"/>
              </w:rPr>
              <w:t>i</w:t>
            </w:r>
            <w:r w:rsidR="00875596" w:rsidRPr="001B53A8">
              <w:rPr>
                <w:sz w:val="20"/>
                <w:szCs w:val="20"/>
                <w:lang w:val="sr-Latn-BA"/>
              </w:rPr>
              <w:t xml:space="preserve"> </w:t>
            </w:r>
            <w:r w:rsidRPr="001B53A8">
              <w:rPr>
                <w:sz w:val="20"/>
                <w:szCs w:val="20"/>
                <w:lang w:val="sr-Latn-BA"/>
              </w:rPr>
              <w:t>akcioni</w:t>
            </w:r>
            <w:r w:rsidR="00875596" w:rsidRPr="001B53A8">
              <w:rPr>
                <w:sz w:val="20"/>
                <w:szCs w:val="20"/>
                <w:lang w:val="sr-Latn-BA"/>
              </w:rPr>
              <w:t xml:space="preserve"> </w:t>
            </w:r>
            <w:r w:rsidRPr="001B53A8">
              <w:rPr>
                <w:sz w:val="20"/>
                <w:szCs w:val="20"/>
                <w:lang w:val="sr-Latn-BA"/>
              </w:rPr>
              <w:t>plan</w:t>
            </w:r>
          </w:p>
          <w:p w14:paraId="293F001F" w14:textId="794D9800"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Novi</w:t>
            </w:r>
            <w:r w:rsidR="00875596" w:rsidRPr="001B53A8">
              <w:rPr>
                <w:sz w:val="20"/>
                <w:szCs w:val="20"/>
                <w:lang w:val="sr-Latn-BA"/>
              </w:rPr>
              <w:t xml:space="preserve"> </w:t>
            </w:r>
            <w:r w:rsidRPr="001B53A8">
              <w:rPr>
                <w:sz w:val="20"/>
                <w:szCs w:val="20"/>
                <w:lang w:val="sr-Latn-BA"/>
              </w:rPr>
              <w:t>Zakon</w:t>
            </w:r>
            <w:r w:rsidR="00875596" w:rsidRPr="001B53A8">
              <w:rPr>
                <w:sz w:val="20"/>
                <w:szCs w:val="20"/>
                <w:lang w:val="sr-Latn-BA"/>
              </w:rPr>
              <w:t xml:space="preserve"> </w:t>
            </w:r>
            <w:r w:rsidRPr="001B53A8">
              <w:rPr>
                <w:sz w:val="20"/>
                <w:szCs w:val="20"/>
                <w:lang w:val="sr-Latn-BA"/>
              </w:rPr>
              <w:t>o</w:t>
            </w:r>
            <w:r w:rsidR="00875596" w:rsidRPr="001B53A8">
              <w:rPr>
                <w:sz w:val="20"/>
                <w:szCs w:val="20"/>
                <w:lang w:val="sr-Latn-BA"/>
              </w:rPr>
              <w:t xml:space="preserve"> </w:t>
            </w:r>
            <w:r w:rsidRPr="001B53A8">
              <w:rPr>
                <w:sz w:val="20"/>
                <w:szCs w:val="20"/>
                <w:lang w:val="sr-Latn-BA"/>
              </w:rPr>
              <w:t>SPN</w:t>
            </w:r>
            <w:r w:rsidR="00875596" w:rsidRPr="001B53A8">
              <w:rPr>
                <w:sz w:val="20"/>
                <w:szCs w:val="20"/>
                <w:lang w:val="sr-Latn-BA"/>
              </w:rPr>
              <w:t xml:space="preserve"> </w:t>
            </w:r>
            <w:r w:rsidRPr="001B53A8">
              <w:rPr>
                <w:sz w:val="20"/>
                <w:szCs w:val="20"/>
                <w:lang w:val="sr-Latn-BA"/>
              </w:rPr>
              <w:t>i</w:t>
            </w:r>
            <w:r w:rsidR="00875596" w:rsidRPr="001B53A8">
              <w:rPr>
                <w:sz w:val="20"/>
                <w:szCs w:val="20"/>
                <w:lang w:val="sr-Latn-BA"/>
              </w:rPr>
              <w:t xml:space="preserve"> </w:t>
            </w:r>
            <w:r w:rsidRPr="001B53A8">
              <w:rPr>
                <w:sz w:val="20"/>
                <w:szCs w:val="20"/>
                <w:lang w:val="sr-Latn-BA"/>
              </w:rPr>
              <w:t>FTA</w:t>
            </w:r>
          </w:p>
          <w:p w14:paraId="70F46E50" w14:textId="48881BF4"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Utvrđeno</w:t>
            </w:r>
            <w:r w:rsidR="00875596" w:rsidRPr="001B53A8">
              <w:rPr>
                <w:sz w:val="20"/>
                <w:szCs w:val="20"/>
                <w:lang w:val="sr-Latn-BA"/>
              </w:rPr>
              <w:t xml:space="preserve"> </w:t>
            </w:r>
            <w:r w:rsidRPr="001B53A8">
              <w:rPr>
                <w:sz w:val="20"/>
                <w:szCs w:val="20"/>
                <w:lang w:val="sr-Latn-BA"/>
              </w:rPr>
              <w:t>stanje</w:t>
            </w:r>
            <w:r w:rsidR="00875596" w:rsidRPr="001B53A8">
              <w:rPr>
                <w:sz w:val="20"/>
                <w:szCs w:val="20"/>
                <w:lang w:val="sr-Latn-BA"/>
              </w:rPr>
              <w:t xml:space="preserve"> </w:t>
            </w:r>
            <w:r w:rsidRPr="001B53A8">
              <w:rPr>
                <w:sz w:val="20"/>
                <w:szCs w:val="20"/>
                <w:lang w:val="sr-Latn-BA"/>
              </w:rPr>
              <w:t>u</w:t>
            </w:r>
            <w:r w:rsidR="00875596" w:rsidRPr="001B53A8">
              <w:rPr>
                <w:sz w:val="20"/>
                <w:szCs w:val="20"/>
                <w:lang w:val="sr-Latn-BA"/>
              </w:rPr>
              <w:t xml:space="preserve"> </w:t>
            </w:r>
            <w:r w:rsidRPr="001B53A8">
              <w:rPr>
                <w:sz w:val="20"/>
                <w:szCs w:val="20"/>
                <w:lang w:val="sr-Latn-BA"/>
              </w:rPr>
              <w:t>nadzoru</w:t>
            </w:r>
            <w:r w:rsidR="00875596" w:rsidRPr="001B53A8">
              <w:rPr>
                <w:sz w:val="20"/>
                <w:szCs w:val="20"/>
                <w:lang w:val="sr-Latn-BA"/>
              </w:rPr>
              <w:t xml:space="preserve"> </w:t>
            </w:r>
            <w:r w:rsidRPr="001B53A8">
              <w:rPr>
                <w:sz w:val="20"/>
                <w:szCs w:val="20"/>
                <w:lang w:val="sr-Latn-BA"/>
              </w:rPr>
              <w:t>subjekata</w:t>
            </w:r>
            <w:r w:rsidR="00875596" w:rsidRPr="001B53A8">
              <w:rPr>
                <w:sz w:val="20"/>
                <w:szCs w:val="20"/>
                <w:lang w:val="sr-Latn-BA"/>
              </w:rPr>
              <w:t xml:space="preserve"> </w:t>
            </w:r>
            <w:r w:rsidRPr="001B53A8">
              <w:rPr>
                <w:sz w:val="20"/>
                <w:szCs w:val="20"/>
                <w:lang w:val="sr-Latn-BA"/>
              </w:rPr>
              <w:t>u</w:t>
            </w:r>
            <w:r w:rsidR="00875596" w:rsidRPr="001B53A8">
              <w:rPr>
                <w:sz w:val="20"/>
                <w:szCs w:val="20"/>
                <w:lang w:val="sr-Latn-BA"/>
              </w:rPr>
              <w:t xml:space="preserve"> </w:t>
            </w:r>
            <w:r w:rsidRPr="001B53A8">
              <w:rPr>
                <w:sz w:val="20"/>
                <w:szCs w:val="20"/>
                <w:lang w:val="sr-Latn-BA"/>
              </w:rPr>
              <w:t>bankarskom</w:t>
            </w:r>
            <w:r w:rsidR="00875596" w:rsidRPr="001B53A8">
              <w:rPr>
                <w:sz w:val="20"/>
                <w:szCs w:val="20"/>
                <w:lang w:val="sr-Latn-BA"/>
              </w:rPr>
              <w:t xml:space="preserve"> </w:t>
            </w:r>
            <w:r w:rsidRPr="001B53A8">
              <w:rPr>
                <w:sz w:val="20"/>
                <w:szCs w:val="20"/>
                <w:lang w:val="sr-Latn-BA"/>
              </w:rPr>
              <w:t>sektoru</w:t>
            </w:r>
            <w:r w:rsidR="00875596" w:rsidRPr="001B53A8">
              <w:rPr>
                <w:sz w:val="20"/>
                <w:szCs w:val="20"/>
                <w:lang w:val="sr-Latn-BA"/>
              </w:rPr>
              <w:t xml:space="preserve"> </w:t>
            </w:r>
            <w:r w:rsidRPr="001B53A8">
              <w:rPr>
                <w:sz w:val="20"/>
                <w:szCs w:val="20"/>
                <w:lang w:val="sr-Latn-BA"/>
              </w:rPr>
              <w:t>vezano</w:t>
            </w:r>
            <w:r w:rsidR="00875596" w:rsidRPr="001B53A8">
              <w:rPr>
                <w:sz w:val="20"/>
                <w:szCs w:val="20"/>
                <w:lang w:val="sr-Latn-BA"/>
              </w:rPr>
              <w:t xml:space="preserve"> </w:t>
            </w:r>
            <w:r w:rsidRPr="001B53A8">
              <w:rPr>
                <w:sz w:val="20"/>
                <w:szCs w:val="20"/>
                <w:lang w:val="sr-Latn-BA"/>
              </w:rPr>
              <w:t>za</w:t>
            </w:r>
            <w:r w:rsidR="00875596" w:rsidRPr="001B53A8">
              <w:rPr>
                <w:sz w:val="20"/>
                <w:szCs w:val="20"/>
                <w:lang w:val="sr-Latn-BA"/>
              </w:rPr>
              <w:t xml:space="preserve"> </w:t>
            </w:r>
            <w:r w:rsidRPr="001B53A8">
              <w:rPr>
                <w:sz w:val="20"/>
                <w:szCs w:val="20"/>
                <w:lang w:val="sr-Latn-BA"/>
              </w:rPr>
              <w:t>SPN</w:t>
            </w:r>
            <w:r w:rsidR="00875596" w:rsidRPr="001B53A8">
              <w:rPr>
                <w:sz w:val="20"/>
                <w:szCs w:val="20"/>
                <w:lang w:val="sr-Latn-BA"/>
              </w:rPr>
              <w:t xml:space="preserve"> </w:t>
            </w:r>
            <w:r w:rsidRPr="001B53A8">
              <w:rPr>
                <w:sz w:val="20"/>
                <w:szCs w:val="20"/>
                <w:lang w:val="sr-Latn-BA"/>
              </w:rPr>
              <w:t>i</w:t>
            </w:r>
            <w:r w:rsidR="00875596" w:rsidRPr="001B53A8">
              <w:rPr>
                <w:sz w:val="20"/>
                <w:szCs w:val="20"/>
                <w:lang w:val="sr-Latn-BA"/>
              </w:rPr>
              <w:t xml:space="preserve"> </w:t>
            </w:r>
            <w:r w:rsidRPr="001B53A8">
              <w:rPr>
                <w:sz w:val="20"/>
                <w:szCs w:val="20"/>
                <w:lang w:val="sr-Latn-BA"/>
              </w:rPr>
              <w:t>FTA</w:t>
            </w:r>
            <w:r w:rsidR="00875596" w:rsidRPr="001B53A8">
              <w:rPr>
                <w:sz w:val="20"/>
                <w:szCs w:val="20"/>
                <w:lang w:val="sr-Latn-BA"/>
              </w:rPr>
              <w:t xml:space="preserve"> – </w:t>
            </w:r>
            <w:r w:rsidRPr="001B53A8">
              <w:rPr>
                <w:sz w:val="20"/>
                <w:szCs w:val="20"/>
                <w:lang w:val="sr-Latn-BA"/>
              </w:rPr>
              <w:t>preporuke</w:t>
            </w:r>
            <w:r w:rsidR="00875596" w:rsidRPr="001B53A8">
              <w:rPr>
                <w:sz w:val="20"/>
                <w:szCs w:val="20"/>
                <w:lang w:val="sr-Latn-BA"/>
              </w:rPr>
              <w:t xml:space="preserve"> </w:t>
            </w:r>
            <w:r w:rsidRPr="001B53A8">
              <w:rPr>
                <w:sz w:val="20"/>
                <w:szCs w:val="20"/>
                <w:lang w:val="sr-Latn-BA"/>
              </w:rPr>
              <w:t>za</w:t>
            </w:r>
            <w:r w:rsidR="00875596" w:rsidRPr="001B53A8">
              <w:rPr>
                <w:sz w:val="20"/>
                <w:szCs w:val="20"/>
                <w:lang w:val="sr-Latn-BA"/>
              </w:rPr>
              <w:t xml:space="preserve"> </w:t>
            </w:r>
            <w:r w:rsidRPr="001B53A8">
              <w:rPr>
                <w:sz w:val="20"/>
                <w:szCs w:val="20"/>
                <w:lang w:val="sr-Latn-BA"/>
              </w:rPr>
              <w:t>unapređenje</w:t>
            </w:r>
            <w:r w:rsidR="00875596" w:rsidRPr="001B53A8">
              <w:rPr>
                <w:sz w:val="20"/>
                <w:szCs w:val="20"/>
                <w:lang w:val="sr-Latn-BA"/>
              </w:rPr>
              <w:t xml:space="preserve"> </w:t>
            </w:r>
            <w:r w:rsidRPr="001B53A8">
              <w:rPr>
                <w:sz w:val="20"/>
                <w:szCs w:val="20"/>
                <w:lang w:val="sr-Latn-BA"/>
              </w:rPr>
              <w:t>aktuelne</w:t>
            </w:r>
            <w:r w:rsidR="00875596" w:rsidRPr="001B53A8">
              <w:rPr>
                <w:sz w:val="20"/>
                <w:szCs w:val="20"/>
                <w:lang w:val="sr-Latn-BA"/>
              </w:rPr>
              <w:t xml:space="preserve"> </w:t>
            </w:r>
            <w:r w:rsidRPr="001B53A8">
              <w:rPr>
                <w:sz w:val="20"/>
                <w:szCs w:val="20"/>
                <w:lang w:val="sr-Latn-BA"/>
              </w:rPr>
              <w:t>normativne</w:t>
            </w:r>
            <w:r w:rsidR="00875596" w:rsidRPr="001B53A8">
              <w:rPr>
                <w:sz w:val="20"/>
                <w:szCs w:val="20"/>
                <w:lang w:val="sr-Latn-BA"/>
              </w:rPr>
              <w:t xml:space="preserve"> </w:t>
            </w:r>
            <w:r w:rsidRPr="001B53A8">
              <w:rPr>
                <w:sz w:val="20"/>
                <w:szCs w:val="20"/>
                <w:lang w:val="sr-Latn-BA"/>
              </w:rPr>
              <w:t>uređenosti</w:t>
            </w:r>
            <w:r w:rsidR="00875596" w:rsidRPr="001B53A8">
              <w:rPr>
                <w:sz w:val="20"/>
                <w:szCs w:val="20"/>
                <w:lang w:val="sr-Latn-BA"/>
              </w:rPr>
              <w:t xml:space="preserve"> </w:t>
            </w:r>
            <w:r w:rsidRPr="001B53A8">
              <w:rPr>
                <w:sz w:val="20"/>
                <w:szCs w:val="20"/>
                <w:lang w:val="sr-Latn-BA"/>
              </w:rPr>
              <w:t>i</w:t>
            </w:r>
            <w:r w:rsidR="00875596" w:rsidRPr="001B53A8">
              <w:rPr>
                <w:sz w:val="20"/>
                <w:szCs w:val="20"/>
                <w:lang w:val="sr-Latn-BA"/>
              </w:rPr>
              <w:t xml:space="preserve"> </w:t>
            </w:r>
            <w:r w:rsidRPr="001B53A8">
              <w:rPr>
                <w:sz w:val="20"/>
                <w:szCs w:val="20"/>
                <w:lang w:val="sr-Latn-BA"/>
              </w:rPr>
              <w:t>praksi</w:t>
            </w:r>
          </w:p>
          <w:p w14:paraId="6C38F715" w14:textId="6CA71CA7"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Reguliranje</w:t>
            </w:r>
            <w:r w:rsidR="00875596" w:rsidRPr="001B53A8">
              <w:rPr>
                <w:sz w:val="20"/>
                <w:szCs w:val="20"/>
                <w:lang w:val="sr-Latn-BA"/>
              </w:rPr>
              <w:t xml:space="preserve"> </w:t>
            </w:r>
            <w:r w:rsidRPr="001B53A8">
              <w:rPr>
                <w:sz w:val="20"/>
                <w:szCs w:val="20"/>
                <w:lang w:val="sr-Latn-BA"/>
              </w:rPr>
              <w:t>virtualne</w:t>
            </w:r>
            <w:r w:rsidR="00875596" w:rsidRPr="001B53A8">
              <w:rPr>
                <w:sz w:val="20"/>
                <w:szCs w:val="20"/>
                <w:lang w:val="sr-Latn-BA"/>
              </w:rPr>
              <w:t xml:space="preserve"> </w:t>
            </w:r>
            <w:r w:rsidRPr="001B53A8">
              <w:rPr>
                <w:sz w:val="20"/>
                <w:szCs w:val="20"/>
                <w:lang w:val="sr-Latn-BA"/>
              </w:rPr>
              <w:t>imovine</w:t>
            </w:r>
          </w:p>
          <w:p w14:paraId="606BE2ED" w14:textId="649B20DD"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Porezne</w:t>
            </w:r>
            <w:r w:rsidR="00875596" w:rsidRPr="001B53A8">
              <w:rPr>
                <w:sz w:val="20"/>
                <w:szCs w:val="20"/>
                <w:lang w:val="sr-Latn-BA"/>
              </w:rPr>
              <w:t xml:space="preserve"> </w:t>
            </w:r>
            <w:r w:rsidRPr="001B53A8">
              <w:rPr>
                <w:sz w:val="20"/>
                <w:szCs w:val="20"/>
                <w:lang w:val="sr-Latn-BA"/>
              </w:rPr>
              <w:t>prevare</w:t>
            </w:r>
            <w:r w:rsidR="00875596" w:rsidRPr="001B53A8">
              <w:rPr>
                <w:sz w:val="20"/>
                <w:szCs w:val="20"/>
                <w:lang w:val="sr-Latn-BA"/>
              </w:rPr>
              <w:t xml:space="preserve"> </w:t>
            </w:r>
            <w:r w:rsidRPr="001B53A8">
              <w:rPr>
                <w:sz w:val="20"/>
                <w:szCs w:val="20"/>
                <w:lang w:val="sr-Latn-BA"/>
              </w:rPr>
              <w:t>i</w:t>
            </w:r>
            <w:r w:rsidR="00875596" w:rsidRPr="001B53A8">
              <w:rPr>
                <w:sz w:val="20"/>
                <w:szCs w:val="20"/>
                <w:lang w:val="sr-Latn-BA"/>
              </w:rPr>
              <w:t xml:space="preserve"> </w:t>
            </w:r>
            <w:r w:rsidRPr="001B53A8">
              <w:rPr>
                <w:sz w:val="20"/>
                <w:szCs w:val="20"/>
                <w:lang w:val="sr-Latn-BA"/>
              </w:rPr>
              <w:t>evazija</w:t>
            </w:r>
            <w:r w:rsidR="00875596" w:rsidRPr="001B53A8">
              <w:rPr>
                <w:sz w:val="20"/>
                <w:szCs w:val="20"/>
                <w:lang w:val="sr-Latn-BA"/>
              </w:rPr>
              <w:t xml:space="preserve"> </w:t>
            </w:r>
            <w:r w:rsidRPr="001B53A8">
              <w:rPr>
                <w:sz w:val="20"/>
                <w:szCs w:val="20"/>
                <w:lang w:val="sr-Latn-BA"/>
              </w:rPr>
              <w:t>poreza</w:t>
            </w:r>
            <w:r w:rsidR="00875596" w:rsidRPr="001B53A8">
              <w:rPr>
                <w:sz w:val="20"/>
                <w:szCs w:val="20"/>
                <w:lang w:val="sr-Latn-BA"/>
              </w:rPr>
              <w:t xml:space="preserve"> </w:t>
            </w:r>
            <w:r w:rsidRPr="001B53A8">
              <w:rPr>
                <w:sz w:val="20"/>
                <w:szCs w:val="20"/>
                <w:lang w:val="sr-Latn-BA"/>
              </w:rPr>
              <w:t>u</w:t>
            </w:r>
            <w:r w:rsidR="00875596" w:rsidRPr="001B53A8">
              <w:rPr>
                <w:sz w:val="20"/>
                <w:szCs w:val="20"/>
                <w:lang w:val="sr-Latn-BA"/>
              </w:rPr>
              <w:t xml:space="preserve"> </w:t>
            </w:r>
            <w:r w:rsidRPr="001B53A8">
              <w:rPr>
                <w:sz w:val="20"/>
                <w:szCs w:val="20"/>
                <w:lang w:val="sr-Latn-BA"/>
              </w:rPr>
              <w:t>svjetlu</w:t>
            </w:r>
            <w:r w:rsidR="00875596" w:rsidRPr="001B53A8">
              <w:rPr>
                <w:sz w:val="20"/>
                <w:szCs w:val="20"/>
                <w:lang w:val="sr-Latn-BA"/>
              </w:rPr>
              <w:t xml:space="preserve"> </w:t>
            </w:r>
            <w:r w:rsidRPr="001B53A8">
              <w:rPr>
                <w:sz w:val="20"/>
                <w:szCs w:val="20"/>
                <w:lang w:val="sr-Latn-BA"/>
              </w:rPr>
              <w:t>PN</w:t>
            </w:r>
            <w:r w:rsidR="00875596" w:rsidRPr="001B53A8">
              <w:rPr>
                <w:sz w:val="20"/>
                <w:szCs w:val="20"/>
                <w:lang w:val="sr-Latn-BA"/>
              </w:rPr>
              <w:t xml:space="preserve"> </w:t>
            </w:r>
            <w:r w:rsidRPr="001B53A8">
              <w:rPr>
                <w:sz w:val="20"/>
                <w:szCs w:val="20"/>
                <w:lang w:val="sr-Latn-BA"/>
              </w:rPr>
              <w:t>i</w:t>
            </w:r>
            <w:r w:rsidR="00875596" w:rsidRPr="001B53A8">
              <w:rPr>
                <w:sz w:val="20"/>
                <w:szCs w:val="20"/>
                <w:lang w:val="sr-Latn-BA"/>
              </w:rPr>
              <w:t xml:space="preserve"> </w:t>
            </w:r>
            <w:r w:rsidRPr="001B53A8">
              <w:rPr>
                <w:sz w:val="20"/>
                <w:szCs w:val="20"/>
                <w:lang w:val="sr-Latn-BA"/>
              </w:rPr>
              <w:t>FTA</w:t>
            </w:r>
          </w:p>
          <w:p w14:paraId="25ED9982" w14:textId="4FC741FC"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TIPOLOGIJE</w:t>
            </w:r>
            <w:r w:rsidR="00875596" w:rsidRPr="001B53A8">
              <w:rPr>
                <w:sz w:val="20"/>
                <w:szCs w:val="20"/>
                <w:lang w:val="sr-Latn-BA"/>
              </w:rPr>
              <w:t xml:space="preserve"> </w:t>
            </w:r>
            <w:r w:rsidRPr="001B53A8">
              <w:rPr>
                <w:sz w:val="20"/>
                <w:szCs w:val="20"/>
                <w:lang w:val="sr-Latn-BA"/>
              </w:rPr>
              <w:t>PRANјA</w:t>
            </w:r>
            <w:r w:rsidR="00875596" w:rsidRPr="001B53A8">
              <w:rPr>
                <w:sz w:val="20"/>
                <w:szCs w:val="20"/>
                <w:lang w:val="sr-Latn-BA"/>
              </w:rPr>
              <w:t xml:space="preserve"> </w:t>
            </w:r>
            <w:r w:rsidRPr="001B53A8">
              <w:rPr>
                <w:sz w:val="20"/>
                <w:szCs w:val="20"/>
                <w:lang w:val="sr-Latn-BA"/>
              </w:rPr>
              <w:t>NOVCA</w:t>
            </w:r>
            <w:r w:rsidR="00875596" w:rsidRPr="001B53A8">
              <w:rPr>
                <w:sz w:val="20"/>
                <w:szCs w:val="20"/>
                <w:lang w:val="sr-Latn-BA"/>
              </w:rPr>
              <w:t xml:space="preserve"> </w:t>
            </w:r>
            <w:r w:rsidRPr="001B53A8">
              <w:rPr>
                <w:sz w:val="20"/>
                <w:szCs w:val="20"/>
                <w:lang w:val="sr-Latn-BA"/>
              </w:rPr>
              <w:t>I</w:t>
            </w:r>
            <w:r w:rsidR="00875596" w:rsidRPr="001B53A8">
              <w:rPr>
                <w:sz w:val="20"/>
                <w:szCs w:val="20"/>
                <w:lang w:val="sr-Latn-BA"/>
              </w:rPr>
              <w:t xml:space="preserve"> </w:t>
            </w:r>
            <w:r w:rsidRPr="001B53A8">
              <w:rPr>
                <w:sz w:val="20"/>
                <w:szCs w:val="20"/>
                <w:lang w:val="sr-Latn-BA"/>
              </w:rPr>
              <w:t>FINANSIRANјA</w:t>
            </w:r>
            <w:r w:rsidR="00875596" w:rsidRPr="001B53A8">
              <w:rPr>
                <w:sz w:val="20"/>
                <w:szCs w:val="20"/>
                <w:lang w:val="sr-Latn-BA"/>
              </w:rPr>
              <w:t xml:space="preserve"> </w:t>
            </w:r>
            <w:r w:rsidRPr="001B53A8">
              <w:rPr>
                <w:sz w:val="20"/>
                <w:szCs w:val="20"/>
                <w:lang w:val="sr-Latn-BA"/>
              </w:rPr>
              <w:t>TERORISTIČKIH</w:t>
            </w:r>
            <w:r w:rsidR="00875596" w:rsidRPr="001B53A8">
              <w:rPr>
                <w:sz w:val="20"/>
                <w:szCs w:val="20"/>
                <w:lang w:val="sr-Latn-BA"/>
              </w:rPr>
              <w:t xml:space="preserve"> </w:t>
            </w:r>
            <w:r w:rsidRPr="001B53A8">
              <w:rPr>
                <w:sz w:val="20"/>
                <w:szCs w:val="20"/>
                <w:lang w:val="sr-Latn-BA"/>
              </w:rPr>
              <w:t>AKTIVNOSTI</w:t>
            </w:r>
          </w:p>
        </w:tc>
        <w:tc>
          <w:tcPr>
            <w:tcW w:w="1418" w:type="dxa"/>
          </w:tcPr>
          <w:p w14:paraId="2726C9EC" w14:textId="55322E32"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
                <w:w w:val="107"/>
                <w:sz w:val="20"/>
                <w:szCs w:val="20"/>
                <w:lang w:val="sr-Latn-BA"/>
              </w:rPr>
            </w:pPr>
            <w:r w:rsidRPr="001B53A8">
              <w:rPr>
                <w:w w:val="107"/>
                <w:sz w:val="20"/>
                <w:szCs w:val="20"/>
                <w:lang w:val="sr-Latn-BA"/>
              </w:rPr>
              <w:t>REVICON</w:t>
            </w:r>
          </w:p>
        </w:tc>
        <w:tc>
          <w:tcPr>
            <w:tcW w:w="2203" w:type="dxa"/>
          </w:tcPr>
          <w:p w14:paraId="161D3755" w14:textId="38D3163E"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Edin</w:t>
            </w:r>
            <w:r w:rsidR="00875596" w:rsidRPr="001B53A8">
              <w:rPr>
                <w:sz w:val="20"/>
                <w:szCs w:val="20"/>
                <w:lang w:val="sr-Latn-BA"/>
              </w:rPr>
              <w:t xml:space="preserve"> </w:t>
            </w:r>
            <w:r w:rsidRPr="001B53A8">
              <w:rPr>
                <w:sz w:val="20"/>
                <w:szCs w:val="20"/>
                <w:lang w:val="sr-Latn-BA"/>
              </w:rPr>
              <w:t>Jahić</w:t>
            </w:r>
          </w:p>
          <w:p w14:paraId="79E06E20" w14:textId="75953D33"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Faris</w:t>
            </w:r>
            <w:r w:rsidR="00875596" w:rsidRPr="001B53A8">
              <w:rPr>
                <w:sz w:val="20"/>
                <w:szCs w:val="20"/>
                <w:lang w:val="sr-Latn-BA"/>
              </w:rPr>
              <w:t xml:space="preserve"> </w:t>
            </w:r>
            <w:r w:rsidRPr="001B53A8">
              <w:rPr>
                <w:sz w:val="20"/>
                <w:szCs w:val="20"/>
                <w:lang w:val="sr-Latn-BA"/>
              </w:rPr>
              <w:t>Bogunić</w:t>
            </w:r>
          </w:p>
          <w:p w14:paraId="31EDAEF2" w14:textId="17F8585A"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Bilјana</w:t>
            </w:r>
            <w:r w:rsidR="00875596" w:rsidRPr="001B53A8">
              <w:rPr>
                <w:sz w:val="20"/>
                <w:szCs w:val="20"/>
                <w:lang w:val="sr-Latn-BA"/>
              </w:rPr>
              <w:t xml:space="preserve"> </w:t>
            </w:r>
            <w:r w:rsidRPr="001B53A8">
              <w:rPr>
                <w:sz w:val="20"/>
                <w:szCs w:val="20"/>
                <w:lang w:val="sr-Latn-BA"/>
              </w:rPr>
              <w:t>Jovetić</w:t>
            </w:r>
            <w:r w:rsidR="00875596" w:rsidRPr="001B53A8">
              <w:rPr>
                <w:sz w:val="20"/>
                <w:szCs w:val="20"/>
                <w:lang w:val="sr-Latn-BA"/>
              </w:rPr>
              <w:t xml:space="preserve"> </w:t>
            </w:r>
            <w:r w:rsidRPr="001B53A8">
              <w:rPr>
                <w:sz w:val="20"/>
                <w:szCs w:val="20"/>
                <w:lang w:val="sr-Latn-BA"/>
              </w:rPr>
              <w:t>Bušinoska</w:t>
            </w:r>
          </w:p>
          <w:p w14:paraId="065D545B" w14:textId="3D0183C7"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
                <w:sz w:val="20"/>
                <w:szCs w:val="20"/>
                <w:lang w:val="sr-Latn-BA"/>
              </w:rPr>
            </w:pPr>
            <w:r w:rsidRPr="001B53A8">
              <w:rPr>
                <w:sz w:val="20"/>
                <w:szCs w:val="20"/>
                <w:lang w:val="sr-Latn-BA"/>
              </w:rPr>
              <w:t>Šerif</w:t>
            </w:r>
            <w:r w:rsidR="00875596" w:rsidRPr="001B53A8">
              <w:rPr>
                <w:sz w:val="20"/>
                <w:szCs w:val="20"/>
                <w:lang w:val="sr-Latn-BA"/>
              </w:rPr>
              <w:t xml:space="preserve"> </w:t>
            </w:r>
            <w:r w:rsidRPr="001B53A8">
              <w:rPr>
                <w:sz w:val="20"/>
                <w:szCs w:val="20"/>
                <w:lang w:val="sr-Latn-BA"/>
              </w:rPr>
              <w:t>Isović</w:t>
            </w:r>
          </w:p>
        </w:tc>
      </w:tr>
      <w:tr w:rsidR="00875596" w:rsidRPr="001B53A8" w14:paraId="7DE9F052" w14:textId="77777777" w:rsidTr="00875596">
        <w:trPr>
          <w:cnfStyle w:val="000000010000" w:firstRow="0" w:lastRow="0" w:firstColumn="0" w:lastColumn="0" w:oddVBand="0" w:evenVBand="0" w:oddHBand="0" w:evenHBand="1"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478" w:type="dxa"/>
          </w:tcPr>
          <w:p w14:paraId="70231B88" w14:textId="77777777" w:rsidR="00875596" w:rsidRPr="001B53A8" w:rsidRDefault="00875596" w:rsidP="00875596">
            <w:pPr>
              <w:spacing w:after="0" w:line="240" w:lineRule="auto"/>
              <w:ind w:firstLine="0"/>
              <w:rPr>
                <w:rFonts w:ascii="Times New Roman" w:hAnsi="Times New Roman" w:cs="Times New Roman"/>
                <w:sz w:val="20"/>
                <w:szCs w:val="20"/>
                <w:lang w:val="sr-Latn-BA"/>
              </w:rPr>
            </w:pPr>
            <w:r w:rsidRPr="001B53A8">
              <w:rPr>
                <w:rFonts w:ascii="Times New Roman" w:hAnsi="Times New Roman" w:cs="Times New Roman"/>
                <w:sz w:val="20"/>
                <w:szCs w:val="20"/>
                <w:lang w:val="sr-Latn-BA"/>
              </w:rPr>
              <w:t>6.</w:t>
            </w:r>
          </w:p>
        </w:tc>
        <w:tc>
          <w:tcPr>
            <w:tcW w:w="2211" w:type="dxa"/>
          </w:tcPr>
          <w:p w14:paraId="0DE427FF" w14:textId="3AE276C2" w:rsidR="00875596" w:rsidRPr="001B53A8" w:rsidRDefault="00003F34"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Centar</w:t>
            </w:r>
            <w:r w:rsidR="00875596" w:rsidRPr="001B53A8">
              <w:rPr>
                <w:sz w:val="20"/>
                <w:szCs w:val="20"/>
                <w:lang w:val="sr-Latn-BA"/>
              </w:rPr>
              <w:t xml:space="preserve"> </w:t>
            </w:r>
            <w:r w:rsidRPr="001B53A8">
              <w:rPr>
                <w:sz w:val="20"/>
                <w:szCs w:val="20"/>
                <w:lang w:val="sr-Latn-BA"/>
              </w:rPr>
              <w:t>za</w:t>
            </w:r>
            <w:r w:rsidR="00875596" w:rsidRPr="001B53A8">
              <w:rPr>
                <w:sz w:val="20"/>
                <w:szCs w:val="20"/>
                <w:lang w:val="sr-Latn-BA"/>
              </w:rPr>
              <w:t xml:space="preserve"> </w:t>
            </w:r>
            <w:r w:rsidRPr="001B53A8">
              <w:rPr>
                <w:sz w:val="20"/>
                <w:szCs w:val="20"/>
                <w:lang w:val="sr-Latn-BA"/>
              </w:rPr>
              <w:t>unapređenje</w:t>
            </w:r>
            <w:r w:rsidR="00875596" w:rsidRPr="001B53A8">
              <w:rPr>
                <w:sz w:val="20"/>
                <w:szCs w:val="20"/>
                <w:lang w:val="sr-Latn-BA"/>
              </w:rPr>
              <w:t xml:space="preserve"> </w:t>
            </w:r>
            <w:r w:rsidRPr="001B53A8">
              <w:rPr>
                <w:sz w:val="20"/>
                <w:szCs w:val="20"/>
                <w:lang w:val="sr-Latn-BA"/>
              </w:rPr>
              <w:t>korporativnog</w:t>
            </w:r>
            <w:r w:rsidR="00875596" w:rsidRPr="001B53A8">
              <w:rPr>
                <w:sz w:val="20"/>
                <w:szCs w:val="20"/>
                <w:lang w:val="sr-Latn-BA"/>
              </w:rPr>
              <w:t xml:space="preserve"> </w:t>
            </w:r>
            <w:r w:rsidRPr="001B53A8">
              <w:rPr>
                <w:sz w:val="20"/>
                <w:szCs w:val="20"/>
                <w:lang w:val="sr-Latn-BA"/>
              </w:rPr>
              <w:t>upravlјanja</w:t>
            </w:r>
            <w:r w:rsidR="00875596" w:rsidRPr="001B53A8">
              <w:rPr>
                <w:sz w:val="20"/>
                <w:szCs w:val="20"/>
                <w:lang w:val="sr-Latn-BA"/>
              </w:rPr>
              <w:t>,</w:t>
            </w:r>
          </w:p>
          <w:p w14:paraId="04DF1138" w14:textId="5077BFE8" w:rsidR="00875596" w:rsidRPr="001B53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 xml:space="preserve">26.05.2023. </w:t>
            </w:r>
            <w:r w:rsidR="00003F34" w:rsidRPr="001B53A8">
              <w:rPr>
                <w:sz w:val="20"/>
                <w:szCs w:val="20"/>
                <w:lang w:val="sr-Latn-BA"/>
              </w:rPr>
              <w:t>god</w:t>
            </w:r>
            <w:r w:rsidRPr="001B53A8">
              <w:rPr>
                <w:sz w:val="20"/>
                <w:szCs w:val="20"/>
                <w:lang w:val="sr-Latn-BA"/>
              </w:rPr>
              <w:t xml:space="preserve"> </w:t>
            </w:r>
            <w:r w:rsidR="00003F34" w:rsidRPr="001B53A8">
              <w:rPr>
                <w:sz w:val="20"/>
                <w:szCs w:val="20"/>
                <w:lang w:val="sr-Latn-BA"/>
              </w:rPr>
              <w:t>u</w:t>
            </w:r>
            <w:r w:rsidRPr="001B53A8">
              <w:rPr>
                <w:sz w:val="20"/>
                <w:szCs w:val="20"/>
                <w:lang w:val="sr-Latn-BA"/>
              </w:rPr>
              <w:t xml:space="preserve"> 11.00 </w:t>
            </w:r>
            <w:r w:rsidR="00003F34" w:rsidRPr="001B53A8">
              <w:rPr>
                <w:sz w:val="20"/>
                <w:szCs w:val="20"/>
                <w:lang w:val="sr-Latn-BA"/>
              </w:rPr>
              <w:t>časova</w:t>
            </w:r>
          </w:p>
        </w:tc>
        <w:tc>
          <w:tcPr>
            <w:tcW w:w="3603" w:type="dxa"/>
          </w:tcPr>
          <w:p w14:paraId="7CA451EE" w14:textId="3FDF3B3F" w:rsidR="00875596" w:rsidRPr="001B53A8" w:rsidRDefault="00003F34"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rFonts w:eastAsiaTheme="majorEastAsia"/>
                <w:sz w:val="20"/>
                <w:szCs w:val="20"/>
                <w:lang w:val="sr-Latn-BA"/>
              </w:rPr>
            </w:pPr>
            <w:r w:rsidRPr="001B53A8">
              <w:rPr>
                <w:sz w:val="20"/>
                <w:szCs w:val="20"/>
                <w:lang w:val="sr-Latn-BA"/>
              </w:rPr>
              <w:t>PRAKTIČNA</w:t>
            </w:r>
            <w:r w:rsidR="00875596" w:rsidRPr="001B53A8">
              <w:rPr>
                <w:sz w:val="20"/>
                <w:szCs w:val="20"/>
                <w:lang w:val="sr-Latn-BA"/>
              </w:rPr>
              <w:t xml:space="preserve"> </w:t>
            </w:r>
            <w:r w:rsidRPr="001B53A8">
              <w:rPr>
                <w:sz w:val="20"/>
                <w:szCs w:val="20"/>
                <w:lang w:val="sr-Latn-BA"/>
              </w:rPr>
              <w:t>PRIMJENA</w:t>
            </w:r>
            <w:r w:rsidR="00875596" w:rsidRPr="001B53A8">
              <w:rPr>
                <w:sz w:val="20"/>
                <w:szCs w:val="20"/>
                <w:lang w:val="sr-Latn-BA"/>
              </w:rPr>
              <w:t xml:space="preserve"> </w:t>
            </w:r>
            <w:r w:rsidR="00875596" w:rsidRPr="001B53A8">
              <w:rPr>
                <w:sz w:val="20"/>
                <w:szCs w:val="20"/>
                <w:lang w:val="sr-Latn-BA"/>
              </w:rPr>
              <w:br/>
            </w:r>
            <w:r w:rsidRPr="001B53A8">
              <w:rPr>
                <w:sz w:val="20"/>
                <w:szCs w:val="20"/>
                <w:lang w:val="sr-Latn-BA"/>
              </w:rPr>
              <w:t>PROPISA</w:t>
            </w:r>
            <w:r w:rsidR="00875596" w:rsidRPr="001B53A8">
              <w:rPr>
                <w:sz w:val="20"/>
                <w:szCs w:val="20"/>
                <w:lang w:val="sr-Latn-BA"/>
              </w:rPr>
              <w:t xml:space="preserve"> </w:t>
            </w:r>
            <w:r w:rsidRPr="001B53A8">
              <w:rPr>
                <w:sz w:val="20"/>
                <w:szCs w:val="20"/>
                <w:lang w:val="sr-Latn-BA"/>
              </w:rPr>
              <w:t>O</w:t>
            </w:r>
            <w:r w:rsidR="00875596" w:rsidRPr="001B53A8">
              <w:rPr>
                <w:sz w:val="20"/>
                <w:szCs w:val="20"/>
                <w:lang w:val="sr-Latn-BA"/>
              </w:rPr>
              <w:t xml:space="preserve"> </w:t>
            </w:r>
            <w:r w:rsidRPr="001B53A8">
              <w:rPr>
                <w:sz w:val="20"/>
                <w:szCs w:val="20"/>
                <w:lang w:val="sr-Latn-BA"/>
              </w:rPr>
              <w:t>KANCELARIJSKOM</w:t>
            </w:r>
            <w:r w:rsidR="00875596" w:rsidRPr="001B53A8">
              <w:rPr>
                <w:sz w:val="20"/>
                <w:szCs w:val="20"/>
                <w:lang w:val="sr-Latn-BA"/>
              </w:rPr>
              <w:t xml:space="preserve"> </w:t>
            </w:r>
            <w:r w:rsidRPr="001B53A8">
              <w:rPr>
                <w:sz w:val="20"/>
                <w:szCs w:val="20"/>
                <w:lang w:val="sr-Latn-BA"/>
              </w:rPr>
              <w:t>I</w:t>
            </w:r>
            <w:r w:rsidR="00875596" w:rsidRPr="001B53A8">
              <w:rPr>
                <w:sz w:val="20"/>
                <w:szCs w:val="20"/>
                <w:lang w:val="sr-Latn-BA"/>
              </w:rPr>
              <w:t xml:space="preserve"> </w:t>
            </w:r>
            <w:r w:rsidRPr="001B53A8">
              <w:rPr>
                <w:sz w:val="20"/>
                <w:szCs w:val="20"/>
                <w:lang w:val="sr-Latn-BA"/>
              </w:rPr>
              <w:t>ARHIVSKOM</w:t>
            </w:r>
            <w:r w:rsidR="00875596" w:rsidRPr="001B53A8">
              <w:rPr>
                <w:sz w:val="20"/>
                <w:szCs w:val="20"/>
                <w:lang w:val="sr-Latn-BA"/>
              </w:rPr>
              <w:t xml:space="preserve"> </w:t>
            </w:r>
            <w:r w:rsidRPr="001B53A8">
              <w:rPr>
                <w:sz w:val="20"/>
                <w:szCs w:val="20"/>
                <w:lang w:val="sr-Latn-BA"/>
              </w:rPr>
              <w:t>POSLOVANјU</w:t>
            </w:r>
          </w:p>
        </w:tc>
        <w:tc>
          <w:tcPr>
            <w:tcW w:w="1418" w:type="dxa"/>
          </w:tcPr>
          <w:p w14:paraId="46E80754" w14:textId="55833B8E" w:rsidR="00875596" w:rsidRPr="001B53A8" w:rsidRDefault="00003F34"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b/>
                <w:w w:val="107"/>
                <w:sz w:val="20"/>
                <w:szCs w:val="20"/>
                <w:lang w:val="sr-Latn-BA"/>
              </w:rPr>
            </w:pPr>
            <w:r w:rsidRPr="001B53A8">
              <w:rPr>
                <w:iCs/>
                <w:sz w:val="20"/>
                <w:szCs w:val="20"/>
                <w:lang w:val="sr-Latn-BA"/>
              </w:rPr>
              <w:t>Univerzitet</w:t>
            </w:r>
            <w:r w:rsidR="00875596" w:rsidRPr="001B53A8">
              <w:rPr>
                <w:iCs/>
                <w:sz w:val="20"/>
                <w:szCs w:val="20"/>
                <w:lang w:val="sr-Latn-BA"/>
              </w:rPr>
              <w:t xml:space="preserve"> </w:t>
            </w:r>
            <w:r w:rsidRPr="001B53A8">
              <w:rPr>
                <w:iCs/>
                <w:sz w:val="20"/>
                <w:szCs w:val="20"/>
                <w:lang w:val="sr-Latn-BA"/>
              </w:rPr>
              <w:t>za</w:t>
            </w:r>
            <w:r w:rsidR="00875596" w:rsidRPr="001B53A8">
              <w:rPr>
                <w:iCs/>
                <w:sz w:val="20"/>
                <w:szCs w:val="20"/>
                <w:lang w:val="sr-Latn-BA"/>
              </w:rPr>
              <w:t xml:space="preserve"> </w:t>
            </w:r>
            <w:r w:rsidRPr="001B53A8">
              <w:rPr>
                <w:iCs/>
                <w:sz w:val="20"/>
                <w:szCs w:val="20"/>
                <w:lang w:val="sr-Latn-BA"/>
              </w:rPr>
              <w:t>poslovne</w:t>
            </w:r>
            <w:r w:rsidR="00875596" w:rsidRPr="001B53A8">
              <w:rPr>
                <w:iCs/>
                <w:sz w:val="20"/>
                <w:szCs w:val="20"/>
                <w:lang w:val="sr-Latn-BA"/>
              </w:rPr>
              <w:t xml:space="preserve"> </w:t>
            </w:r>
            <w:r w:rsidRPr="001B53A8">
              <w:rPr>
                <w:iCs/>
                <w:sz w:val="20"/>
                <w:szCs w:val="20"/>
                <w:lang w:val="sr-Latn-BA"/>
              </w:rPr>
              <w:t>studije</w:t>
            </w:r>
            <w:r w:rsidR="00875596" w:rsidRPr="001B53A8">
              <w:rPr>
                <w:iCs/>
                <w:sz w:val="20"/>
                <w:szCs w:val="20"/>
                <w:lang w:val="sr-Latn-BA"/>
              </w:rPr>
              <w:t xml:space="preserve">, </w:t>
            </w:r>
            <w:r w:rsidRPr="001B53A8">
              <w:rPr>
                <w:iCs/>
                <w:sz w:val="20"/>
                <w:szCs w:val="20"/>
                <w:lang w:val="sr-Latn-BA"/>
              </w:rPr>
              <w:t>Banja</w:t>
            </w:r>
            <w:r w:rsidR="00875596" w:rsidRPr="001B53A8">
              <w:rPr>
                <w:iCs/>
                <w:sz w:val="20"/>
                <w:szCs w:val="20"/>
                <w:lang w:val="sr-Latn-BA"/>
              </w:rPr>
              <w:t xml:space="preserve"> </w:t>
            </w:r>
            <w:r w:rsidRPr="001B53A8">
              <w:rPr>
                <w:iCs/>
                <w:sz w:val="20"/>
                <w:szCs w:val="20"/>
                <w:lang w:val="sr-Latn-BA"/>
              </w:rPr>
              <w:t>Luka</w:t>
            </w:r>
          </w:p>
        </w:tc>
        <w:tc>
          <w:tcPr>
            <w:tcW w:w="2203" w:type="dxa"/>
          </w:tcPr>
          <w:p w14:paraId="4E6E02B2" w14:textId="2A78087A" w:rsidR="00875596" w:rsidRPr="001B53A8" w:rsidRDefault="00003F34"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Latn-BA"/>
              </w:rPr>
            </w:pPr>
            <w:r w:rsidRPr="001B53A8">
              <w:rPr>
                <w:rFonts w:eastAsia="Times New Roman"/>
                <w:sz w:val="20"/>
                <w:szCs w:val="20"/>
                <w:lang w:val="sr-Latn-BA"/>
              </w:rPr>
              <w:t>Predavač</w:t>
            </w:r>
            <w:r w:rsidR="00875596" w:rsidRPr="001B53A8">
              <w:rPr>
                <w:rFonts w:eastAsia="Times New Roman"/>
                <w:sz w:val="20"/>
                <w:szCs w:val="20"/>
                <w:lang w:val="sr-Latn-BA"/>
              </w:rPr>
              <w:t xml:space="preserve">: </w:t>
            </w:r>
            <w:r w:rsidRPr="001B53A8">
              <w:rPr>
                <w:rFonts w:eastAsia="Times New Roman"/>
                <w:sz w:val="20"/>
                <w:szCs w:val="20"/>
                <w:lang w:val="sr-Latn-BA"/>
              </w:rPr>
              <w:t>Prof</w:t>
            </w:r>
            <w:r w:rsidR="00875596" w:rsidRPr="001B53A8">
              <w:rPr>
                <w:rFonts w:eastAsia="Times New Roman"/>
                <w:sz w:val="20"/>
                <w:szCs w:val="20"/>
                <w:lang w:val="sr-Latn-BA"/>
              </w:rPr>
              <w:t xml:space="preserve">. </w:t>
            </w:r>
            <w:r w:rsidRPr="001B53A8">
              <w:rPr>
                <w:rFonts w:eastAsia="Times New Roman"/>
                <w:sz w:val="20"/>
                <w:szCs w:val="20"/>
                <w:lang w:val="sr-Latn-BA"/>
              </w:rPr>
              <w:t>dr</w:t>
            </w:r>
            <w:r w:rsidR="00875596" w:rsidRPr="001B53A8">
              <w:rPr>
                <w:rFonts w:eastAsia="Times New Roman"/>
                <w:sz w:val="20"/>
                <w:szCs w:val="20"/>
                <w:lang w:val="sr-Latn-BA"/>
              </w:rPr>
              <w:t xml:space="preserve"> </w:t>
            </w:r>
            <w:r w:rsidRPr="001B53A8">
              <w:rPr>
                <w:rFonts w:eastAsia="Times New Roman"/>
                <w:sz w:val="20"/>
                <w:szCs w:val="20"/>
                <w:lang w:val="sr-Latn-BA"/>
              </w:rPr>
              <w:t>Milica</w:t>
            </w:r>
            <w:r w:rsidR="00875596" w:rsidRPr="001B53A8">
              <w:rPr>
                <w:rFonts w:eastAsia="Times New Roman"/>
                <w:sz w:val="20"/>
                <w:szCs w:val="20"/>
                <w:lang w:val="sr-Latn-BA"/>
              </w:rPr>
              <w:t xml:space="preserve"> </w:t>
            </w:r>
            <w:r w:rsidRPr="001B53A8">
              <w:rPr>
                <w:rFonts w:eastAsia="Times New Roman"/>
                <w:sz w:val="20"/>
                <w:szCs w:val="20"/>
                <w:lang w:val="sr-Latn-BA"/>
              </w:rPr>
              <w:t>Tepšić</w:t>
            </w:r>
          </w:p>
          <w:p w14:paraId="6D6A570E" w14:textId="77777777" w:rsidR="00875596" w:rsidRPr="001B53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Latn-BA"/>
              </w:rPr>
            </w:pPr>
          </w:p>
          <w:p w14:paraId="239A9F9C" w14:textId="77777777" w:rsidR="00875596" w:rsidRPr="001B53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
                <w:sz w:val="20"/>
                <w:szCs w:val="20"/>
                <w:lang w:val="sr-Latn-BA"/>
              </w:rPr>
            </w:pPr>
          </w:p>
        </w:tc>
      </w:tr>
      <w:tr w:rsidR="00875596" w:rsidRPr="001B53A8" w14:paraId="758F874F" w14:textId="77777777" w:rsidTr="00875596">
        <w:trPr>
          <w:cnfStyle w:val="000000100000" w:firstRow="0" w:lastRow="0" w:firstColumn="0" w:lastColumn="0" w:oddVBand="0" w:evenVBand="0" w:oddHBand="1" w:evenHBand="0"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478" w:type="dxa"/>
          </w:tcPr>
          <w:p w14:paraId="12B57307" w14:textId="77777777" w:rsidR="00875596" w:rsidRPr="001B53A8" w:rsidRDefault="00875596" w:rsidP="00875596">
            <w:pPr>
              <w:spacing w:after="0" w:line="240" w:lineRule="auto"/>
              <w:ind w:firstLine="0"/>
              <w:rPr>
                <w:rFonts w:ascii="Times New Roman" w:hAnsi="Times New Roman" w:cs="Times New Roman"/>
                <w:sz w:val="20"/>
                <w:szCs w:val="20"/>
                <w:lang w:val="sr-Latn-BA"/>
              </w:rPr>
            </w:pPr>
            <w:r w:rsidRPr="001B53A8">
              <w:rPr>
                <w:rFonts w:ascii="Times New Roman" w:hAnsi="Times New Roman" w:cs="Times New Roman"/>
                <w:sz w:val="20"/>
                <w:szCs w:val="20"/>
                <w:lang w:val="sr-Latn-BA"/>
              </w:rPr>
              <w:t>7.</w:t>
            </w:r>
          </w:p>
        </w:tc>
        <w:tc>
          <w:tcPr>
            <w:tcW w:w="2211" w:type="dxa"/>
          </w:tcPr>
          <w:p w14:paraId="560A831F" w14:textId="3A2BCEF5" w:rsidR="00875596" w:rsidRPr="00A47DF9" w:rsidRDefault="00003F34"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Hotel</w:t>
            </w:r>
            <w:r w:rsidR="00875596" w:rsidRPr="001B53A8">
              <w:rPr>
                <w:sz w:val="20"/>
                <w:szCs w:val="20"/>
                <w:lang w:val="sr-Latn-BA"/>
              </w:rPr>
              <w:t xml:space="preserve"> “</w:t>
            </w:r>
            <w:r w:rsidRPr="001B53A8">
              <w:rPr>
                <w:sz w:val="20"/>
                <w:szCs w:val="20"/>
                <w:lang w:val="sr-Latn-BA"/>
              </w:rPr>
              <w:t>Bosna</w:t>
            </w:r>
            <w:r w:rsidR="00875596" w:rsidRPr="00A47DF9">
              <w:rPr>
                <w:sz w:val="20"/>
                <w:szCs w:val="20"/>
                <w:lang w:val="sr-Latn-BA"/>
              </w:rPr>
              <w:t xml:space="preserve">”, </w:t>
            </w:r>
            <w:r w:rsidRPr="001B53A8">
              <w:rPr>
                <w:sz w:val="20"/>
                <w:szCs w:val="20"/>
                <w:lang w:val="sr-Latn-BA"/>
              </w:rPr>
              <w:t>Kristalna</w:t>
            </w:r>
            <w:r w:rsidR="00875596" w:rsidRPr="001B53A8">
              <w:rPr>
                <w:sz w:val="20"/>
                <w:szCs w:val="20"/>
                <w:lang w:val="sr-Latn-BA"/>
              </w:rPr>
              <w:t xml:space="preserve"> </w:t>
            </w:r>
            <w:r w:rsidRPr="001B53A8">
              <w:rPr>
                <w:sz w:val="20"/>
                <w:szCs w:val="20"/>
                <w:lang w:val="sr-Latn-BA"/>
              </w:rPr>
              <w:t>sala</w:t>
            </w:r>
          </w:p>
          <w:p w14:paraId="6C552336" w14:textId="77777777" w:rsidR="00875596" w:rsidRPr="001B53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A47DF9">
              <w:rPr>
                <w:sz w:val="20"/>
                <w:szCs w:val="20"/>
                <w:lang w:val="sr-Latn-BA"/>
              </w:rPr>
              <w:t>30.05.2023</w:t>
            </w:r>
          </w:p>
          <w:p w14:paraId="1934BE7D" w14:textId="77777777" w:rsidR="00875596" w:rsidRPr="001B53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Latn-BA"/>
              </w:rPr>
            </w:pPr>
          </w:p>
        </w:tc>
        <w:tc>
          <w:tcPr>
            <w:tcW w:w="3603" w:type="dxa"/>
          </w:tcPr>
          <w:p w14:paraId="177C7C3B" w14:textId="11C8255F" w:rsidR="00875596" w:rsidRPr="001B53A8" w:rsidRDefault="00003F34"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imes New Roman"/>
                <w:bCs/>
                <w:sz w:val="20"/>
                <w:szCs w:val="20"/>
                <w:lang w:val="sr-Latn-BA"/>
              </w:rPr>
            </w:pPr>
            <w:r w:rsidRPr="001B53A8">
              <w:rPr>
                <w:rFonts w:eastAsia="Times New Roman"/>
                <w:bCs/>
                <w:sz w:val="20"/>
                <w:szCs w:val="20"/>
                <w:lang w:val="sr-Latn-BA"/>
              </w:rPr>
              <w:t>Bankarski</w:t>
            </w:r>
            <w:r w:rsidR="00875596" w:rsidRPr="001B53A8">
              <w:rPr>
                <w:rFonts w:eastAsia="Times New Roman"/>
                <w:bCs/>
                <w:sz w:val="20"/>
                <w:szCs w:val="20"/>
                <w:lang w:val="sr-Latn-BA"/>
              </w:rPr>
              <w:t xml:space="preserve"> </w:t>
            </w:r>
            <w:r w:rsidRPr="001B53A8">
              <w:rPr>
                <w:rFonts w:eastAsia="Times New Roman"/>
                <w:bCs/>
                <w:sz w:val="20"/>
                <w:szCs w:val="20"/>
                <w:lang w:val="sr-Latn-BA"/>
              </w:rPr>
              <w:t>sektor</w:t>
            </w:r>
            <w:r w:rsidR="00875596" w:rsidRPr="001B53A8">
              <w:rPr>
                <w:rFonts w:eastAsia="Times New Roman"/>
                <w:bCs/>
                <w:sz w:val="20"/>
                <w:szCs w:val="20"/>
                <w:lang w:val="sr-Latn-BA"/>
              </w:rPr>
              <w:t xml:space="preserve"> </w:t>
            </w:r>
            <w:r w:rsidRPr="001B53A8">
              <w:rPr>
                <w:rFonts w:eastAsia="Times New Roman"/>
                <w:bCs/>
                <w:sz w:val="20"/>
                <w:szCs w:val="20"/>
                <w:lang w:val="sr-Latn-BA"/>
              </w:rPr>
              <w:t>u</w:t>
            </w:r>
            <w:r w:rsidR="00875596" w:rsidRPr="001B53A8">
              <w:rPr>
                <w:rFonts w:eastAsia="Times New Roman"/>
                <w:bCs/>
                <w:sz w:val="20"/>
                <w:szCs w:val="20"/>
                <w:lang w:val="sr-Latn-BA"/>
              </w:rPr>
              <w:t xml:space="preserve"> </w:t>
            </w:r>
            <w:r w:rsidRPr="001B53A8">
              <w:rPr>
                <w:rFonts w:eastAsia="Times New Roman"/>
                <w:bCs/>
                <w:sz w:val="20"/>
                <w:szCs w:val="20"/>
                <w:lang w:val="sr-Latn-BA"/>
              </w:rPr>
              <w:t>doba</w:t>
            </w:r>
            <w:r w:rsidR="00875596" w:rsidRPr="001B53A8">
              <w:rPr>
                <w:rFonts w:eastAsia="Times New Roman"/>
                <w:bCs/>
                <w:sz w:val="20"/>
                <w:szCs w:val="20"/>
                <w:lang w:val="sr-Latn-BA"/>
              </w:rPr>
              <w:t xml:space="preserve"> </w:t>
            </w:r>
            <w:r w:rsidRPr="001B53A8">
              <w:rPr>
                <w:rFonts w:eastAsia="Times New Roman"/>
                <w:bCs/>
                <w:sz w:val="20"/>
                <w:szCs w:val="20"/>
                <w:lang w:val="sr-Latn-BA"/>
              </w:rPr>
              <w:t>neizvjesnosti</w:t>
            </w:r>
            <w:r w:rsidR="00875596" w:rsidRPr="001B53A8">
              <w:rPr>
                <w:rFonts w:eastAsia="Times New Roman"/>
                <w:bCs/>
                <w:sz w:val="20"/>
                <w:szCs w:val="20"/>
                <w:lang w:val="sr-Latn-BA"/>
              </w:rPr>
              <w:t xml:space="preserve"> - </w:t>
            </w:r>
            <w:r w:rsidRPr="001B53A8">
              <w:rPr>
                <w:rFonts w:eastAsia="Times New Roman"/>
                <w:bCs/>
                <w:sz w:val="20"/>
                <w:szCs w:val="20"/>
                <w:lang w:val="sr-Latn-BA"/>
              </w:rPr>
              <w:t>kako</w:t>
            </w:r>
            <w:r w:rsidR="00875596" w:rsidRPr="001B53A8">
              <w:rPr>
                <w:rFonts w:eastAsia="Times New Roman"/>
                <w:bCs/>
                <w:sz w:val="20"/>
                <w:szCs w:val="20"/>
                <w:lang w:val="sr-Latn-BA"/>
              </w:rPr>
              <w:t xml:space="preserve"> </w:t>
            </w:r>
            <w:r w:rsidRPr="001B53A8">
              <w:rPr>
                <w:rFonts w:eastAsia="Times New Roman"/>
                <w:bCs/>
                <w:sz w:val="20"/>
                <w:szCs w:val="20"/>
                <w:lang w:val="sr-Latn-BA"/>
              </w:rPr>
              <w:t>dalјe</w:t>
            </w:r>
            <w:r w:rsidR="00875596" w:rsidRPr="001B53A8">
              <w:rPr>
                <w:rFonts w:eastAsia="Times New Roman"/>
                <w:bCs/>
                <w:sz w:val="20"/>
                <w:szCs w:val="20"/>
                <w:lang w:val="sr-Latn-BA"/>
              </w:rPr>
              <w:t>;</w:t>
            </w:r>
          </w:p>
          <w:p w14:paraId="1DB6AD77" w14:textId="7EE8A2DA"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Calibri"/>
                <w:sz w:val="20"/>
                <w:szCs w:val="20"/>
                <w:lang w:val="sr-Latn-BA"/>
              </w:rPr>
            </w:pPr>
            <w:r w:rsidRPr="001B53A8">
              <w:rPr>
                <w:rFonts w:eastAsia="Calibri"/>
                <w:sz w:val="20"/>
                <w:szCs w:val="20"/>
                <w:lang w:val="sr-Latn-BA"/>
              </w:rPr>
              <w:t>Uloga</w:t>
            </w:r>
            <w:r w:rsidR="00875596" w:rsidRPr="001B53A8">
              <w:rPr>
                <w:rFonts w:eastAsia="Calibri"/>
                <w:sz w:val="20"/>
                <w:szCs w:val="20"/>
                <w:lang w:val="sr-Latn-BA"/>
              </w:rPr>
              <w:t xml:space="preserve"> </w:t>
            </w:r>
            <w:r w:rsidRPr="001B53A8">
              <w:rPr>
                <w:rFonts w:eastAsia="Calibri"/>
                <w:sz w:val="20"/>
                <w:szCs w:val="20"/>
                <w:lang w:val="sr-Latn-BA"/>
              </w:rPr>
              <w:t>investicionih</w:t>
            </w:r>
            <w:r w:rsidR="00875596" w:rsidRPr="001B53A8">
              <w:rPr>
                <w:rFonts w:eastAsia="Calibri"/>
                <w:sz w:val="20"/>
                <w:szCs w:val="20"/>
                <w:lang w:val="sr-Latn-BA"/>
              </w:rPr>
              <w:t xml:space="preserve"> </w:t>
            </w:r>
            <w:r w:rsidRPr="001B53A8">
              <w:rPr>
                <w:rFonts w:eastAsia="Calibri"/>
                <w:sz w:val="20"/>
                <w:szCs w:val="20"/>
                <w:lang w:val="sr-Latn-BA"/>
              </w:rPr>
              <w:t>fondova</w:t>
            </w:r>
            <w:r w:rsidR="00875596" w:rsidRPr="001B53A8">
              <w:rPr>
                <w:rFonts w:eastAsia="Calibri"/>
                <w:sz w:val="20"/>
                <w:szCs w:val="20"/>
                <w:lang w:val="sr-Latn-BA"/>
              </w:rPr>
              <w:t xml:space="preserve"> </w:t>
            </w:r>
            <w:r w:rsidRPr="001B53A8">
              <w:rPr>
                <w:rFonts w:eastAsia="Calibri"/>
                <w:sz w:val="20"/>
                <w:szCs w:val="20"/>
                <w:lang w:val="sr-Latn-BA"/>
              </w:rPr>
              <w:t>na</w:t>
            </w:r>
            <w:r w:rsidR="00875596" w:rsidRPr="001B53A8">
              <w:rPr>
                <w:rFonts w:eastAsia="Calibri"/>
                <w:sz w:val="20"/>
                <w:szCs w:val="20"/>
                <w:lang w:val="sr-Latn-BA"/>
              </w:rPr>
              <w:t xml:space="preserve"> </w:t>
            </w:r>
            <w:r w:rsidRPr="001B53A8">
              <w:rPr>
                <w:rFonts w:eastAsia="Calibri"/>
                <w:sz w:val="20"/>
                <w:szCs w:val="20"/>
                <w:lang w:val="sr-Latn-BA"/>
              </w:rPr>
              <w:t>tržištu</w:t>
            </w:r>
            <w:r w:rsidR="00875596" w:rsidRPr="001B53A8">
              <w:rPr>
                <w:rFonts w:eastAsia="Calibri"/>
                <w:sz w:val="20"/>
                <w:szCs w:val="20"/>
                <w:lang w:val="sr-Latn-BA"/>
              </w:rPr>
              <w:t xml:space="preserve"> </w:t>
            </w:r>
            <w:r w:rsidRPr="001B53A8">
              <w:rPr>
                <w:rFonts w:eastAsia="Calibri"/>
                <w:sz w:val="20"/>
                <w:szCs w:val="20"/>
                <w:lang w:val="sr-Latn-BA"/>
              </w:rPr>
              <w:t>kapitala</w:t>
            </w:r>
          </w:p>
          <w:p w14:paraId="04297365" w14:textId="686C0863"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Calibri"/>
                <w:sz w:val="20"/>
                <w:szCs w:val="20"/>
                <w:lang w:val="sr-Latn-BA"/>
              </w:rPr>
            </w:pPr>
            <w:r w:rsidRPr="001B53A8">
              <w:rPr>
                <w:rFonts w:eastAsia="Calibri"/>
                <w:sz w:val="20"/>
                <w:szCs w:val="20"/>
                <w:lang w:val="sr-Latn-BA"/>
              </w:rPr>
              <w:lastRenderedPageBreak/>
              <w:t>Fintech</w:t>
            </w:r>
            <w:r w:rsidR="00875596" w:rsidRPr="001B53A8">
              <w:rPr>
                <w:rFonts w:eastAsia="Calibri"/>
                <w:sz w:val="20"/>
                <w:szCs w:val="20"/>
                <w:lang w:val="sr-Latn-BA"/>
              </w:rPr>
              <w:t xml:space="preserve">-3 </w:t>
            </w:r>
            <w:r w:rsidRPr="001B53A8">
              <w:rPr>
                <w:rFonts w:eastAsia="Calibri"/>
                <w:sz w:val="20"/>
                <w:szCs w:val="20"/>
                <w:lang w:val="sr-Latn-BA"/>
              </w:rPr>
              <w:t>u</w:t>
            </w:r>
            <w:r w:rsidR="00875596" w:rsidRPr="001B53A8">
              <w:rPr>
                <w:rFonts w:eastAsia="Calibri"/>
                <w:sz w:val="20"/>
                <w:szCs w:val="20"/>
                <w:lang w:val="sr-Latn-BA"/>
              </w:rPr>
              <w:t xml:space="preserve"> 1, </w:t>
            </w:r>
            <w:r w:rsidRPr="001B53A8">
              <w:rPr>
                <w:rFonts w:eastAsia="Calibri"/>
                <w:sz w:val="20"/>
                <w:szCs w:val="20"/>
                <w:lang w:val="sr-Latn-BA"/>
              </w:rPr>
              <w:t>produktivnost</w:t>
            </w:r>
            <w:r w:rsidR="00875596" w:rsidRPr="001B53A8">
              <w:rPr>
                <w:rFonts w:eastAsia="Calibri"/>
                <w:sz w:val="20"/>
                <w:szCs w:val="20"/>
                <w:lang w:val="sr-Latn-BA"/>
              </w:rPr>
              <w:t xml:space="preserve">, </w:t>
            </w:r>
            <w:r w:rsidRPr="001B53A8">
              <w:rPr>
                <w:rFonts w:eastAsia="Calibri"/>
                <w:sz w:val="20"/>
                <w:szCs w:val="20"/>
                <w:lang w:val="sr-Latn-BA"/>
              </w:rPr>
              <w:t>sigurnost</w:t>
            </w:r>
            <w:r w:rsidR="00875596" w:rsidRPr="001B53A8">
              <w:rPr>
                <w:rFonts w:eastAsia="Calibri"/>
                <w:sz w:val="20"/>
                <w:szCs w:val="20"/>
                <w:lang w:val="sr-Latn-BA"/>
              </w:rPr>
              <w:t xml:space="preserve"> </w:t>
            </w:r>
            <w:r w:rsidRPr="001B53A8">
              <w:rPr>
                <w:rFonts w:eastAsia="Calibri"/>
                <w:sz w:val="20"/>
                <w:szCs w:val="20"/>
                <w:lang w:val="sr-Latn-BA"/>
              </w:rPr>
              <w:t>i</w:t>
            </w:r>
            <w:r w:rsidR="00875596" w:rsidRPr="001B53A8">
              <w:rPr>
                <w:rFonts w:eastAsia="Calibri"/>
                <w:sz w:val="20"/>
                <w:szCs w:val="20"/>
                <w:lang w:val="sr-Latn-BA"/>
              </w:rPr>
              <w:t xml:space="preserve"> </w:t>
            </w:r>
            <w:r w:rsidRPr="001B53A8">
              <w:rPr>
                <w:rFonts w:eastAsia="Calibri"/>
                <w:sz w:val="20"/>
                <w:szCs w:val="20"/>
                <w:lang w:val="sr-Latn-BA"/>
              </w:rPr>
              <w:t>zadovolјstvo</w:t>
            </w:r>
            <w:r w:rsidR="00875596" w:rsidRPr="001B53A8">
              <w:rPr>
                <w:rFonts w:eastAsia="Calibri"/>
                <w:sz w:val="20"/>
                <w:szCs w:val="20"/>
                <w:lang w:val="sr-Latn-BA"/>
              </w:rPr>
              <w:t xml:space="preserve"> </w:t>
            </w:r>
            <w:r w:rsidRPr="001B53A8">
              <w:rPr>
                <w:rFonts w:eastAsia="Calibri"/>
                <w:sz w:val="20"/>
                <w:szCs w:val="20"/>
                <w:lang w:val="sr-Latn-BA"/>
              </w:rPr>
              <w:t>klijenta</w:t>
            </w:r>
            <w:r w:rsidR="00875596" w:rsidRPr="001B53A8">
              <w:rPr>
                <w:rFonts w:eastAsia="Calibri"/>
                <w:sz w:val="20"/>
                <w:szCs w:val="20"/>
                <w:lang w:val="sr-Latn-BA"/>
              </w:rPr>
              <w:t>?</w:t>
            </w:r>
          </w:p>
          <w:p w14:paraId="453C8FE8" w14:textId="00BF9E8E"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Calibri"/>
                <w:sz w:val="20"/>
                <w:szCs w:val="20"/>
                <w:lang w:val="sr-Latn-BA"/>
              </w:rPr>
            </w:pPr>
            <w:r w:rsidRPr="001B53A8">
              <w:rPr>
                <w:rFonts w:eastAsia="Calibri"/>
                <w:sz w:val="20"/>
                <w:szCs w:val="20"/>
                <w:lang w:val="sr-Latn-BA"/>
              </w:rPr>
              <w:t>Poslovanje</w:t>
            </w:r>
            <w:r w:rsidR="00875596" w:rsidRPr="001B53A8">
              <w:rPr>
                <w:rFonts w:eastAsia="Calibri"/>
                <w:sz w:val="20"/>
                <w:szCs w:val="20"/>
                <w:lang w:val="sr-Latn-BA"/>
              </w:rPr>
              <w:t xml:space="preserve"> </w:t>
            </w:r>
            <w:r w:rsidRPr="001B53A8">
              <w:rPr>
                <w:rFonts w:eastAsia="Calibri"/>
                <w:sz w:val="20"/>
                <w:szCs w:val="20"/>
                <w:lang w:val="sr-Latn-BA"/>
              </w:rPr>
              <w:t>mikrokreditnih</w:t>
            </w:r>
            <w:r w:rsidR="00875596" w:rsidRPr="001B53A8">
              <w:rPr>
                <w:rFonts w:eastAsia="Calibri"/>
                <w:sz w:val="20"/>
                <w:szCs w:val="20"/>
                <w:lang w:val="sr-Latn-BA"/>
              </w:rPr>
              <w:t xml:space="preserve"> </w:t>
            </w:r>
            <w:r w:rsidRPr="001B53A8">
              <w:rPr>
                <w:rFonts w:eastAsia="Calibri"/>
                <w:sz w:val="20"/>
                <w:szCs w:val="20"/>
                <w:lang w:val="sr-Latn-BA"/>
              </w:rPr>
              <w:t>organizacija</w:t>
            </w:r>
            <w:r w:rsidR="00875596" w:rsidRPr="001B53A8">
              <w:rPr>
                <w:rFonts w:eastAsia="Calibri"/>
                <w:sz w:val="20"/>
                <w:szCs w:val="20"/>
                <w:lang w:val="sr-Latn-BA"/>
              </w:rPr>
              <w:t xml:space="preserve"> </w:t>
            </w:r>
            <w:r w:rsidRPr="001B53A8">
              <w:rPr>
                <w:rFonts w:eastAsia="Calibri"/>
                <w:sz w:val="20"/>
                <w:szCs w:val="20"/>
                <w:lang w:val="sr-Latn-BA"/>
              </w:rPr>
              <w:t>u</w:t>
            </w:r>
            <w:r w:rsidR="00875596" w:rsidRPr="001B53A8">
              <w:rPr>
                <w:rFonts w:eastAsia="Calibri"/>
                <w:sz w:val="20"/>
                <w:szCs w:val="20"/>
                <w:lang w:val="sr-Latn-BA"/>
              </w:rPr>
              <w:t xml:space="preserve"> </w:t>
            </w:r>
            <w:r w:rsidRPr="001B53A8">
              <w:rPr>
                <w:rFonts w:eastAsia="Calibri"/>
                <w:sz w:val="20"/>
                <w:szCs w:val="20"/>
                <w:lang w:val="sr-Latn-BA"/>
              </w:rPr>
              <w:t>kompleksnom</w:t>
            </w:r>
            <w:r w:rsidR="00875596" w:rsidRPr="001B53A8">
              <w:rPr>
                <w:rFonts w:eastAsia="Calibri"/>
                <w:sz w:val="20"/>
                <w:szCs w:val="20"/>
                <w:lang w:val="sr-Latn-BA"/>
              </w:rPr>
              <w:t xml:space="preserve"> </w:t>
            </w:r>
            <w:r w:rsidRPr="001B53A8">
              <w:rPr>
                <w:rFonts w:eastAsia="Calibri"/>
                <w:sz w:val="20"/>
                <w:szCs w:val="20"/>
                <w:lang w:val="sr-Latn-BA"/>
              </w:rPr>
              <w:t>ekonomsko</w:t>
            </w:r>
            <w:r w:rsidR="00875596" w:rsidRPr="001B53A8">
              <w:rPr>
                <w:rFonts w:eastAsia="Calibri"/>
                <w:sz w:val="20"/>
                <w:szCs w:val="20"/>
                <w:lang w:val="sr-Latn-BA"/>
              </w:rPr>
              <w:t>-</w:t>
            </w:r>
            <w:r w:rsidRPr="001B53A8">
              <w:rPr>
                <w:rFonts w:eastAsia="Calibri"/>
                <w:sz w:val="20"/>
                <w:szCs w:val="20"/>
                <w:lang w:val="sr-Latn-BA"/>
              </w:rPr>
              <w:t>političkom</w:t>
            </w:r>
            <w:r w:rsidR="00875596" w:rsidRPr="001B53A8">
              <w:rPr>
                <w:rFonts w:eastAsia="Calibri"/>
                <w:sz w:val="20"/>
                <w:szCs w:val="20"/>
                <w:lang w:val="sr-Latn-BA"/>
              </w:rPr>
              <w:t xml:space="preserve"> </w:t>
            </w:r>
            <w:r w:rsidRPr="001B53A8">
              <w:rPr>
                <w:rFonts w:eastAsia="Calibri"/>
                <w:sz w:val="20"/>
                <w:szCs w:val="20"/>
                <w:lang w:val="sr-Latn-BA"/>
              </w:rPr>
              <w:t>okruženju</w:t>
            </w:r>
            <w:r w:rsidR="00875596" w:rsidRPr="001B53A8">
              <w:rPr>
                <w:rFonts w:eastAsia="Calibri"/>
                <w:sz w:val="20"/>
                <w:szCs w:val="20"/>
                <w:lang w:val="sr-Latn-BA"/>
              </w:rPr>
              <w:t>-</w:t>
            </w:r>
            <w:r w:rsidRPr="001B53A8">
              <w:rPr>
                <w:rFonts w:eastAsia="Calibri"/>
                <w:sz w:val="20"/>
                <w:szCs w:val="20"/>
                <w:lang w:val="sr-Latn-BA"/>
              </w:rPr>
              <w:t>mogući</w:t>
            </w:r>
            <w:r w:rsidR="00875596" w:rsidRPr="001B53A8">
              <w:rPr>
                <w:rFonts w:eastAsia="Calibri"/>
                <w:sz w:val="20"/>
                <w:szCs w:val="20"/>
                <w:lang w:val="sr-Latn-BA"/>
              </w:rPr>
              <w:t xml:space="preserve"> </w:t>
            </w:r>
            <w:r w:rsidRPr="001B53A8">
              <w:rPr>
                <w:rFonts w:eastAsia="Calibri"/>
                <w:sz w:val="20"/>
                <w:szCs w:val="20"/>
                <w:lang w:val="sr-Latn-BA"/>
              </w:rPr>
              <w:t>pravci</w:t>
            </w:r>
            <w:r w:rsidR="00875596" w:rsidRPr="001B53A8">
              <w:rPr>
                <w:rFonts w:eastAsia="Calibri"/>
                <w:sz w:val="20"/>
                <w:szCs w:val="20"/>
                <w:lang w:val="sr-Latn-BA"/>
              </w:rPr>
              <w:t xml:space="preserve"> </w:t>
            </w:r>
            <w:r w:rsidRPr="001B53A8">
              <w:rPr>
                <w:rFonts w:eastAsia="Calibri"/>
                <w:sz w:val="20"/>
                <w:szCs w:val="20"/>
                <w:lang w:val="sr-Latn-BA"/>
              </w:rPr>
              <w:t>razvoja</w:t>
            </w:r>
            <w:r w:rsidR="00875596" w:rsidRPr="001B53A8">
              <w:rPr>
                <w:rFonts w:eastAsia="Calibri"/>
                <w:sz w:val="20"/>
                <w:szCs w:val="20"/>
                <w:lang w:val="sr-Latn-BA"/>
              </w:rPr>
              <w:t>!</w:t>
            </w:r>
          </w:p>
          <w:p w14:paraId="3F69832F" w14:textId="4CB48FE8"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Calibri"/>
                <w:sz w:val="20"/>
                <w:szCs w:val="20"/>
                <w:lang w:val="sr-Latn-BA"/>
              </w:rPr>
            </w:pPr>
            <w:r w:rsidRPr="001B53A8">
              <w:rPr>
                <w:rFonts w:eastAsia="Calibri"/>
                <w:sz w:val="20"/>
                <w:szCs w:val="20"/>
                <w:lang w:val="sr-Latn-BA"/>
              </w:rPr>
              <w:t>Nekretnine</w:t>
            </w:r>
            <w:r w:rsidR="00875596" w:rsidRPr="001B53A8">
              <w:rPr>
                <w:rFonts w:eastAsia="Calibri"/>
                <w:sz w:val="20"/>
                <w:szCs w:val="20"/>
                <w:lang w:val="sr-Latn-BA"/>
              </w:rPr>
              <w:t xml:space="preserve"> - </w:t>
            </w:r>
            <w:r w:rsidRPr="001B53A8">
              <w:rPr>
                <w:rFonts w:eastAsia="Calibri"/>
                <w:sz w:val="20"/>
                <w:szCs w:val="20"/>
                <w:lang w:val="sr-Latn-BA"/>
              </w:rPr>
              <w:t>sigurna</w:t>
            </w:r>
            <w:r w:rsidR="00875596" w:rsidRPr="001B53A8">
              <w:rPr>
                <w:rFonts w:eastAsia="Calibri"/>
                <w:sz w:val="20"/>
                <w:szCs w:val="20"/>
                <w:lang w:val="sr-Latn-BA"/>
              </w:rPr>
              <w:t xml:space="preserve"> </w:t>
            </w:r>
            <w:r w:rsidRPr="001B53A8">
              <w:rPr>
                <w:rFonts w:eastAsia="Calibri"/>
                <w:sz w:val="20"/>
                <w:szCs w:val="20"/>
                <w:lang w:val="sr-Latn-BA"/>
              </w:rPr>
              <w:t>luka</w:t>
            </w:r>
            <w:r w:rsidR="00875596" w:rsidRPr="001B53A8">
              <w:rPr>
                <w:rFonts w:eastAsia="Calibri"/>
                <w:sz w:val="20"/>
                <w:szCs w:val="20"/>
                <w:lang w:val="sr-Latn-BA"/>
              </w:rPr>
              <w:t xml:space="preserve"> </w:t>
            </w:r>
            <w:r w:rsidRPr="001B53A8">
              <w:rPr>
                <w:rFonts w:eastAsia="Calibri"/>
                <w:sz w:val="20"/>
                <w:szCs w:val="20"/>
                <w:lang w:val="sr-Latn-BA"/>
              </w:rPr>
              <w:t>ili</w:t>
            </w:r>
            <w:r w:rsidR="00875596" w:rsidRPr="001B53A8">
              <w:rPr>
                <w:rFonts w:eastAsia="Calibri"/>
                <w:sz w:val="20"/>
                <w:szCs w:val="20"/>
                <w:lang w:val="sr-Latn-BA"/>
              </w:rPr>
              <w:t xml:space="preserve"> (</w:t>
            </w:r>
            <w:r w:rsidRPr="001B53A8">
              <w:rPr>
                <w:rFonts w:eastAsia="Calibri"/>
                <w:sz w:val="20"/>
                <w:szCs w:val="20"/>
                <w:lang w:val="sr-Latn-BA"/>
              </w:rPr>
              <w:t>pre</w:t>
            </w:r>
            <w:r w:rsidR="00875596" w:rsidRPr="001B53A8">
              <w:rPr>
                <w:rFonts w:eastAsia="Calibri"/>
                <w:sz w:val="20"/>
                <w:szCs w:val="20"/>
                <w:lang w:val="sr-Latn-BA"/>
              </w:rPr>
              <w:t>)</w:t>
            </w:r>
            <w:r w:rsidRPr="001B53A8">
              <w:rPr>
                <w:rFonts w:eastAsia="Calibri"/>
                <w:sz w:val="20"/>
                <w:szCs w:val="20"/>
                <w:lang w:val="sr-Latn-BA"/>
              </w:rPr>
              <w:t>naduvani</w:t>
            </w:r>
            <w:r w:rsidR="00875596" w:rsidRPr="001B53A8">
              <w:rPr>
                <w:rFonts w:eastAsia="Calibri"/>
                <w:sz w:val="20"/>
                <w:szCs w:val="20"/>
                <w:lang w:val="sr-Latn-BA"/>
              </w:rPr>
              <w:t xml:space="preserve"> </w:t>
            </w:r>
            <w:r w:rsidRPr="001B53A8">
              <w:rPr>
                <w:rFonts w:eastAsia="Calibri"/>
                <w:sz w:val="20"/>
                <w:szCs w:val="20"/>
                <w:lang w:val="sr-Latn-BA"/>
              </w:rPr>
              <w:t>balon</w:t>
            </w:r>
          </w:p>
          <w:p w14:paraId="4DDA7BFD" w14:textId="05000440"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Calibri"/>
                <w:sz w:val="20"/>
                <w:szCs w:val="20"/>
                <w:lang w:val="sr-Latn-BA"/>
              </w:rPr>
            </w:pPr>
            <w:r w:rsidRPr="001B53A8">
              <w:rPr>
                <w:rFonts w:eastAsia="Calibri"/>
                <w:sz w:val="20"/>
                <w:szCs w:val="20"/>
                <w:lang w:val="sr-Latn-BA"/>
              </w:rPr>
              <w:t>Regulatorni</w:t>
            </w:r>
            <w:r w:rsidR="00875596" w:rsidRPr="001B53A8">
              <w:rPr>
                <w:rFonts w:eastAsia="Calibri"/>
                <w:sz w:val="20"/>
                <w:szCs w:val="20"/>
                <w:lang w:val="sr-Latn-BA"/>
              </w:rPr>
              <w:t xml:space="preserve"> </w:t>
            </w:r>
            <w:r w:rsidRPr="001B53A8">
              <w:rPr>
                <w:rFonts w:eastAsia="Calibri"/>
                <w:sz w:val="20"/>
                <w:szCs w:val="20"/>
                <w:lang w:val="sr-Latn-BA"/>
              </w:rPr>
              <w:t>okvir</w:t>
            </w:r>
            <w:r w:rsidR="00875596" w:rsidRPr="001B53A8">
              <w:rPr>
                <w:rFonts w:eastAsia="Calibri"/>
                <w:sz w:val="20"/>
                <w:szCs w:val="20"/>
                <w:lang w:val="sr-Latn-BA"/>
              </w:rPr>
              <w:t xml:space="preserve"> </w:t>
            </w:r>
            <w:r w:rsidRPr="001B53A8">
              <w:rPr>
                <w:rFonts w:eastAsia="Calibri"/>
                <w:sz w:val="20"/>
                <w:szCs w:val="20"/>
                <w:lang w:val="sr-Latn-BA"/>
              </w:rPr>
              <w:t>tržišta</w:t>
            </w:r>
            <w:r w:rsidR="00875596" w:rsidRPr="001B53A8">
              <w:rPr>
                <w:rFonts w:eastAsia="Calibri"/>
                <w:sz w:val="20"/>
                <w:szCs w:val="20"/>
                <w:lang w:val="sr-Latn-BA"/>
              </w:rPr>
              <w:t xml:space="preserve"> </w:t>
            </w:r>
            <w:r w:rsidRPr="001B53A8">
              <w:rPr>
                <w:rFonts w:eastAsia="Calibri"/>
                <w:sz w:val="20"/>
                <w:szCs w:val="20"/>
                <w:lang w:val="sr-Latn-BA"/>
              </w:rPr>
              <w:t>nekretnina</w:t>
            </w:r>
            <w:r w:rsidR="00875596" w:rsidRPr="001B53A8">
              <w:rPr>
                <w:rFonts w:eastAsia="Calibri"/>
                <w:sz w:val="20"/>
                <w:szCs w:val="20"/>
                <w:lang w:val="sr-Latn-BA"/>
              </w:rPr>
              <w:t xml:space="preserve"> - </w:t>
            </w:r>
            <w:r w:rsidRPr="001B53A8">
              <w:rPr>
                <w:rFonts w:eastAsia="Calibri"/>
                <w:sz w:val="20"/>
                <w:szCs w:val="20"/>
                <w:lang w:val="sr-Latn-BA"/>
              </w:rPr>
              <w:t>može</w:t>
            </w:r>
            <w:r w:rsidR="00875596" w:rsidRPr="001B53A8">
              <w:rPr>
                <w:rFonts w:eastAsia="Calibri"/>
                <w:sz w:val="20"/>
                <w:szCs w:val="20"/>
                <w:lang w:val="sr-Latn-BA"/>
              </w:rPr>
              <w:t xml:space="preserve"> </w:t>
            </w:r>
            <w:r w:rsidRPr="001B53A8">
              <w:rPr>
                <w:rFonts w:eastAsia="Calibri"/>
                <w:sz w:val="20"/>
                <w:szCs w:val="20"/>
                <w:lang w:val="sr-Latn-BA"/>
              </w:rPr>
              <w:t>li</w:t>
            </w:r>
            <w:r w:rsidR="00875596" w:rsidRPr="001B53A8">
              <w:rPr>
                <w:rFonts w:eastAsia="Calibri"/>
                <w:sz w:val="20"/>
                <w:szCs w:val="20"/>
                <w:lang w:val="sr-Latn-BA"/>
              </w:rPr>
              <w:t xml:space="preserve"> </w:t>
            </w:r>
            <w:r w:rsidRPr="001B53A8">
              <w:rPr>
                <w:rFonts w:eastAsia="Calibri"/>
                <w:sz w:val="20"/>
                <w:szCs w:val="20"/>
                <w:lang w:val="sr-Latn-BA"/>
              </w:rPr>
              <w:t>bolјe</w:t>
            </w:r>
            <w:r w:rsidR="00875596" w:rsidRPr="001B53A8">
              <w:rPr>
                <w:rFonts w:eastAsia="Calibri"/>
                <w:sz w:val="20"/>
                <w:szCs w:val="20"/>
                <w:lang w:val="sr-Latn-BA"/>
              </w:rPr>
              <w:t>?</w:t>
            </w:r>
          </w:p>
          <w:p w14:paraId="51D3718D" w14:textId="3092C0DC" w:rsidR="00875596" w:rsidRPr="001B53A8" w:rsidRDefault="00003F34"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sz w:val="20"/>
                <w:szCs w:val="20"/>
                <w:lang w:val="sr-Latn-BA"/>
              </w:rPr>
            </w:pPr>
            <w:r w:rsidRPr="001B53A8">
              <w:rPr>
                <w:rFonts w:eastAsia="Calibri"/>
                <w:sz w:val="20"/>
                <w:szCs w:val="20"/>
                <w:lang w:val="sr-Latn-BA"/>
              </w:rPr>
              <w:t>Panel</w:t>
            </w:r>
            <w:r w:rsidR="00875596" w:rsidRPr="001B53A8">
              <w:rPr>
                <w:rFonts w:eastAsia="Calibri"/>
                <w:sz w:val="20"/>
                <w:szCs w:val="20"/>
                <w:lang w:val="sr-Latn-BA"/>
              </w:rPr>
              <w:t xml:space="preserve"> </w:t>
            </w:r>
            <w:r w:rsidRPr="001B53A8">
              <w:rPr>
                <w:rFonts w:eastAsia="Calibri"/>
                <w:sz w:val="20"/>
                <w:szCs w:val="20"/>
                <w:lang w:val="sr-Latn-BA"/>
              </w:rPr>
              <w:t>predstavnika</w:t>
            </w:r>
            <w:r w:rsidR="00875596" w:rsidRPr="001B53A8">
              <w:rPr>
                <w:rFonts w:eastAsia="Calibri"/>
                <w:sz w:val="20"/>
                <w:szCs w:val="20"/>
                <w:lang w:val="sr-Latn-BA"/>
              </w:rPr>
              <w:t xml:space="preserve"> </w:t>
            </w:r>
            <w:r w:rsidRPr="001B53A8">
              <w:rPr>
                <w:rFonts w:eastAsia="Calibri"/>
                <w:sz w:val="20"/>
                <w:szCs w:val="20"/>
                <w:lang w:val="sr-Latn-BA"/>
              </w:rPr>
              <w:t>udruženja</w:t>
            </w:r>
            <w:r w:rsidR="00875596" w:rsidRPr="001B53A8">
              <w:rPr>
                <w:rFonts w:eastAsia="Calibri"/>
                <w:sz w:val="20"/>
                <w:szCs w:val="20"/>
                <w:lang w:val="sr-Latn-BA"/>
              </w:rPr>
              <w:t xml:space="preserve"> </w:t>
            </w:r>
            <w:r w:rsidRPr="001B53A8">
              <w:rPr>
                <w:rFonts w:eastAsia="Calibri"/>
                <w:sz w:val="20"/>
                <w:szCs w:val="20"/>
                <w:lang w:val="sr-Latn-BA"/>
              </w:rPr>
              <w:t>za</w:t>
            </w:r>
            <w:r w:rsidR="00875596" w:rsidRPr="001B53A8">
              <w:rPr>
                <w:rFonts w:eastAsia="Calibri"/>
                <w:sz w:val="20"/>
                <w:szCs w:val="20"/>
                <w:lang w:val="sr-Latn-BA"/>
              </w:rPr>
              <w:t xml:space="preserve"> </w:t>
            </w:r>
            <w:r w:rsidRPr="001B53A8">
              <w:rPr>
                <w:rFonts w:eastAsia="Calibri"/>
                <w:sz w:val="20"/>
                <w:szCs w:val="20"/>
                <w:lang w:val="sr-Latn-BA"/>
              </w:rPr>
              <w:t>promet</w:t>
            </w:r>
            <w:r w:rsidR="00875596" w:rsidRPr="001B53A8">
              <w:rPr>
                <w:rFonts w:eastAsia="Calibri"/>
                <w:sz w:val="20"/>
                <w:szCs w:val="20"/>
                <w:lang w:val="sr-Latn-BA"/>
              </w:rPr>
              <w:t xml:space="preserve"> </w:t>
            </w:r>
            <w:r w:rsidRPr="001B53A8">
              <w:rPr>
                <w:rFonts w:eastAsia="Calibri"/>
                <w:sz w:val="20"/>
                <w:szCs w:val="20"/>
                <w:lang w:val="sr-Latn-BA"/>
              </w:rPr>
              <w:t>nekretninama</w:t>
            </w:r>
            <w:r w:rsidR="00875596" w:rsidRPr="001B53A8">
              <w:rPr>
                <w:rFonts w:eastAsia="Calibri"/>
                <w:sz w:val="20"/>
                <w:szCs w:val="20"/>
                <w:lang w:val="sr-Latn-BA"/>
              </w:rPr>
              <w:t xml:space="preserve"> </w:t>
            </w:r>
            <w:r w:rsidRPr="001B53A8">
              <w:rPr>
                <w:rFonts w:eastAsia="Calibri"/>
                <w:sz w:val="20"/>
                <w:szCs w:val="20"/>
                <w:lang w:val="sr-Latn-BA"/>
              </w:rPr>
              <w:t>iz</w:t>
            </w:r>
            <w:r w:rsidR="00875596" w:rsidRPr="001B53A8">
              <w:rPr>
                <w:rFonts w:eastAsia="Calibri"/>
                <w:sz w:val="20"/>
                <w:szCs w:val="20"/>
                <w:lang w:val="sr-Latn-BA"/>
              </w:rPr>
              <w:t xml:space="preserve"> </w:t>
            </w:r>
            <w:r w:rsidRPr="001B53A8">
              <w:rPr>
                <w:rFonts w:eastAsia="Calibri"/>
                <w:sz w:val="20"/>
                <w:szCs w:val="20"/>
                <w:lang w:val="sr-Latn-BA"/>
              </w:rPr>
              <w:t>regiona</w:t>
            </w:r>
          </w:p>
        </w:tc>
        <w:tc>
          <w:tcPr>
            <w:tcW w:w="1418" w:type="dxa"/>
          </w:tcPr>
          <w:p w14:paraId="37B8037E" w14:textId="7F699E91" w:rsidR="00875596" w:rsidRPr="001B53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lastRenderedPageBreak/>
              <w:t xml:space="preserve">Bam consult </w:t>
            </w:r>
            <w:r w:rsidR="00003F34" w:rsidRPr="001B53A8">
              <w:rPr>
                <w:sz w:val="20"/>
                <w:szCs w:val="20"/>
                <w:lang w:val="sr-Latn-BA"/>
              </w:rPr>
              <w:t>d</w:t>
            </w:r>
            <w:r w:rsidRPr="001B53A8">
              <w:rPr>
                <w:sz w:val="20"/>
                <w:szCs w:val="20"/>
                <w:lang w:val="sr-Latn-BA"/>
              </w:rPr>
              <w:t>.</w:t>
            </w:r>
            <w:r w:rsidR="00003F34" w:rsidRPr="001B53A8">
              <w:rPr>
                <w:sz w:val="20"/>
                <w:szCs w:val="20"/>
                <w:lang w:val="sr-Latn-BA"/>
              </w:rPr>
              <w:t>o</w:t>
            </w:r>
            <w:r w:rsidRPr="001B53A8">
              <w:rPr>
                <w:sz w:val="20"/>
                <w:szCs w:val="20"/>
                <w:lang w:val="sr-Latn-BA"/>
              </w:rPr>
              <w:t>.</w:t>
            </w:r>
            <w:r w:rsidR="00003F34" w:rsidRPr="001B53A8">
              <w:rPr>
                <w:sz w:val="20"/>
                <w:szCs w:val="20"/>
                <w:lang w:val="sr-Latn-BA"/>
              </w:rPr>
              <w:t>o</w:t>
            </w:r>
            <w:r w:rsidRPr="001B53A8">
              <w:rPr>
                <w:sz w:val="20"/>
                <w:szCs w:val="20"/>
                <w:lang w:val="sr-Latn-BA"/>
              </w:rPr>
              <w:t xml:space="preserve">. </w:t>
            </w:r>
            <w:r w:rsidR="00003F34" w:rsidRPr="001B53A8">
              <w:rPr>
                <w:sz w:val="20"/>
                <w:szCs w:val="20"/>
                <w:lang w:val="sr-Latn-BA"/>
              </w:rPr>
              <w:t>Banja</w:t>
            </w:r>
            <w:r w:rsidRPr="001B53A8">
              <w:rPr>
                <w:sz w:val="20"/>
                <w:szCs w:val="20"/>
                <w:lang w:val="sr-Latn-BA"/>
              </w:rPr>
              <w:t xml:space="preserve"> </w:t>
            </w:r>
            <w:r w:rsidR="00003F34" w:rsidRPr="001B53A8">
              <w:rPr>
                <w:sz w:val="20"/>
                <w:szCs w:val="20"/>
                <w:lang w:val="sr-Latn-BA"/>
              </w:rPr>
              <w:t>Luka</w:t>
            </w:r>
          </w:p>
          <w:p w14:paraId="296AC760" w14:textId="66D6BEF6"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Dda</w:t>
            </w:r>
            <w:r w:rsidR="00875596" w:rsidRPr="001B53A8">
              <w:rPr>
                <w:sz w:val="20"/>
                <w:szCs w:val="20"/>
                <w:lang w:val="sr-Latn-BA"/>
              </w:rPr>
              <w:t xml:space="preserve">y </w:t>
            </w:r>
            <w:r w:rsidRPr="001B53A8">
              <w:rPr>
                <w:sz w:val="20"/>
                <w:szCs w:val="20"/>
                <w:lang w:val="sr-Latn-BA"/>
              </w:rPr>
              <w:lastRenderedPageBreak/>
              <w:t>konferenciji</w:t>
            </w:r>
            <w:r w:rsidR="00875596" w:rsidRPr="001B53A8">
              <w:rPr>
                <w:sz w:val="20"/>
                <w:szCs w:val="20"/>
                <w:lang w:val="sr-Latn-BA"/>
              </w:rPr>
              <w:t xml:space="preserve"> </w:t>
            </w:r>
            <w:r w:rsidRPr="001B53A8">
              <w:rPr>
                <w:sz w:val="20"/>
                <w:szCs w:val="20"/>
                <w:lang w:val="sr-Latn-BA"/>
              </w:rPr>
              <w:t>u</w:t>
            </w:r>
            <w:r w:rsidR="00875596" w:rsidRPr="001B53A8">
              <w:rPr>
                <w:sz w:val="20"/>
                <w:szCs w:val="20"/>
                <w:lang w:val="sr-Latn-BA"/>
              </w:rPr>
              <w:t xml:space="preserve"> </w:t>
            </w:r>
            <w:r w:rsidRPr="001B53A8">
              <w:rPr>
                <w:sz w:val="20"/>
                <w:szCs w:val="20"/>
                <w:lang w:val="sr-Latn-BA"/>
              </w:rPr>
              <w:t>Banja</w:t>
            </w:r>
            <w:r w:rsidR="00875596" w:rsidRPr="001B53A8">
              <w:rPr>
                <w:sz w:val="20"/>
                <w:szCs w:val="20"/>
                <w:lang w:val="sr-Latn-BA"/>
              </w:rPr>
              <w:t xml:space="preserve"> </w:t>
            </w:r>
            <w:r w:rsidRPr="001B53A8">
              <w:rPr>
                <w:sz w:val="20"/>
                <w:szCs w:val="20"/>
                <w:lang w:val="sr-Latn-BA"/>
              </w:rPr>
              <w:t>Luci</w:t>
            </w:r>
          </w:p>
          <w:p w14:paraId="006F761C" w14:textId="77777777" w:rsidR="00875596" w:rsidRPr="001B53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
                <w:w w:val="107"/>
                <w:sz w:val="20"/>
                <w:szCs w:val="20"/>
                <w:lang w:val="sr-Latn-BA"/>
              </w:rPr>
            </w:pPr>
          </w:p>
        </w:tc>
        <w:tc>
          <w:tcPr>
            <w:tcW w:w="2203" w:type="dxa"/>
          </w:tcPr>
          <w:p w14:paraId="4F12C78B" w14:textId="115751A3"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A47DF9">
              <w:rPr>
                <w:sz w:val="20"/>
                <w:szCs w:val="20"/>
                <w:lang w:val="sr-Latn-BA"/>
              </w:rPr>
              <w:lastRenderedPageBreak/>
              <w:t>Srđan</w:t>
            </w:r>
            <w:r w:rsidR="00875596" w:rsidRPr="001B53A8">
              <w:rPr>
                <w:b/>
                <w:bCs/>
                <w:sz w:val="20"/>
                <w:szCs w:val="20"/>
                <w:lang w:val="sr-Latn-BA"/>
              </w:rPr>
              <w:t xml:space="preserve"> </w:t>
            </w:r>
            <w:r w:rsidRPr="001B53A8">
              <w:rPr>
                <w:sz w:val="20"/>
                <w:szCs w:val="20"/>
                <w:lang w:val="sr-Latn-BA"/>
              </w:rPr>
              <w:t>Šuput</w:t>
            </w:r>
          </w:p>
          <w:p w14:paraId="1E7E0241" w14:textId="06FF0345"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Ognjen</w:t>
            </w:r>
            <w:r w:rsidR="00875596" w:rsidRPr="001B53A8">
              <w:rPr>
                <w:sz w:val="20"/>
                <w:szCs w:val="20"/>
                <w:lang w:val="sr-Latn-BA"/>
              </w:rPr>
              <w:t xml:space="preserve"> </w:t>
            </w:r>
            <w:r w:rsidRPr="001B53A8">
              <w:rPr>
                <w:sz w:val="20"/>
                <w:szCs w:val="20"/>
                <w:lang w:val="sr-Latn-BA"/>
              </w:rPr>
              <w:t>Mihajlović</w:t>
            </w:r>
          </w:p>
          <w:p w14:paraId="632945FD" w14:textId="2D48D657"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Miloš</w:t>
            </w:r>
            <w:r w:rsidR="00875596" w:rsidRPr="001B53A8">
              <w:rPr>
                <w:sz w:val="20"/>
                <w:szCs w:val="20"/>
                <w:lang w:val="sr-Latn-BA"/>
              </w:rPr>
              <w:t xml:space="preserve"> </w:t>
            </w:r>
            <w:r w:rsidRPr="001B53A8">
              <w:rPr>
                <w:sz w:val="20"/>
                <w:szCs w:val="20"/>
                <w:lang w:val="sr-Latn-BA"/>
              </w:rPr>
              <w:t>Grujić</w:t>
            </w:r>
          </w:p>
          <w:p w14:paraId="416ED499" w14:textId="703E01A4"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Elma</w:t>
            </w:r>
            <w:r w:rsidR="00875596" w:rsidRPr="001B53A8">
              <w:rPr>
                <w:sz w:val="20"/>
                <w:szCs w:val="20"/>
                <w:lang w:val="sr-Latn-BA"/>
              </w:rPr>
              <w:t xml:space="preserve"> </w:t>
            </w:r>
            <w:r w:rsidRPr="001B53A8">
              <w:rPr>
                <w:sz w:val="20"/>
                <w:szCs w:val="20"/>
                <w:lang w:val="sr-Latn-BA"/>
              </w:rPr>
              <w:t>Zukić</w:t>
            </w:r>
          </w:p>
          <w:p w14:paraId="53DEDBAE" w14:textId="45045686"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lastRenderedPageBreak/>
              <w:t>Ervin</w:t>
            </w:r>
            <w:r w:rsidR="00875596" w:rsidRPr="001B53A8">
              <w:rPr>
                <w:sz w:val="20"/>
                <w:szCs w:val="20"/>
                <w:lang w:val="sr-Latn-BA"/>
              </w:rPr>
              <w:t xml:space="preserve"> </w:t>
            </w:r>
            <w:r w:rsidRPr="001B53A8">
              <w:rPr>
                <w:sz w:val="20"/>
                <w:szCs w:val="20"/>
                <w:lang w:val="sr-Latn-BA"/>
              </w:rPr>
              <w:t>Pašanović</w:t>
            </w:r>
          </w:p>
          <w:p w14:paraId="279E83D8" w14:textId="5FFD8536"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Nenad</w:t>
            </w:r>
            <w:r w:rsidR="00875596" w:rsidRPr="001B53A8">
              <w:rPr>
                <w:sz w:val="20"/>
                <w:szCs w:val="20"/>
                <w:lang w:val="sr-Latn-BA"/>
              </w:rPr>
              <w:t xml:space="preserve"> </w:t>
            </w:r>
            <w:r w:rsidRPr="001B53A8">
              <w:rPr>
                <w:sz w:val="20"/>
                <w:szCs w:val="20"/>
                <w:lang w:val="sr-Latn-BA"/>
              </w:rPr>
              <w:t>Đorđević</w:t>
            </w:r>
          </w:p>
          <w:p w14:paraId="0734C2F3" w14:textId="7D0A3607"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Slaviša</w:t>
            </w:r>
            <w:r w:rsidR="00875596" w:rsidRPr="001B53A8">
              <w:rPr>
                <w:sz w:val="20"/>
                <w:szCs w:val="20"/>
                <w:lang w:val="sr-Latn-BA"/>
              </w:rPr>
              <w:t xml:space="preserve"> </w:t>
            </w:r>
            <w:r w:rsidRPr="001B53A8">
              <w:rPr>
                <w:sz w:val="20"/>
                <w:szCs w:val="20"/>
                <w:lang w:val="sr-Latn-BA"/>
              </w:rPr>
              <w:t>Pešić</w:t>
            </w:r>
          </w:p>
          <w:p w14:paraId="0E2790B7" w14:textId="77777777" w:rsidR="00875596" w:rsidRPr="001B53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p>
          <w:p w14:paraId="1EE764F2" w14:textId="77777777" w:rsidR="00875596" w:rsidRPr="001B53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
                <w:sz w:val="20"/>
                <w:szCs w:val="20"/>
                <w:lang w:val="sr-Latn-BA"/>
              </w:rPr>
            </w:pPr>
          </w:p>
          <w:p w14:paraId="2E184EB0" w14:textId="77777777" w:rsidR="00875596" w:rsidRPr="001B53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
                <w:sz w:val="20"/>
                <w:szCs w:val="20"/>
                <w:lang w:val="sr-Latn-BA"/>
              </w:rPr>
            </w:pPr>
          </w:p>
        </w:tc>
      </w:tr>
      <w:tr w:rsidR="00875596" w:rsidRPr="001B53A8" w14:paraId="6551FF19" w14:textId="77777777" w:rsidTr="00875596">
        <w:trPr>
          <w:cnfStyle w:val="000000010000" w:firstRow="0" w:lastRow="0" w:firstColumn="0" w:lastColumn="0" w:oddVBand="0" w:evenVBand="0" w:oddHBand="0" w:evenHBand="1"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478" w:type="dxa"/>
          </w:tcPr>
          <w:p w14:paraId="35105067" w14:textId="77777777" w:rsidR="00875596" w:rsidRPr="001B53A8" w:rsidRDefault="00875596" w:rsidP="00875596">
            <w:pPr>
              <w:spacing w:after="0" w:line="240" w:lineRule="auto"/>
              <w:ind w:firstLine="0"/>
              <w:rPr>
                <w:rFonts w:ascii="Times New Roman" w:hAnsi="Times New Roman" w:cs="Times New Roman"/>
                <w:sz w:val="20"/>
                <w:szCs w:val="20"/>
                <w:lang w:val="sr-Latn-BA"/>
              </w:rPr>
            </w:pPr>
            <w:r w:rsidRPr="001B53A8">
              <w:rPr>
                <w:rFonts w:ascii="Times New Roman" w:hAnsi="Times New Roman" w:cs="Times New Roman"/>
                <w:sz w:val="20"/>
                <w:szCs w:val="20"/>
                <w:lang w:val="sr-Latn-BA"/>
              </w:rPr>
              <w:lastRenderedPageBreak/>
              <w:t>8.</w:t>
            </w:r>
          </w:p>
        </w:tc>
        <w:tc>
          <w:tcPr>
            <w:tcW w:w="2211" w:type="dxa"/>
          </w:tcPr>
          <w:p w14:paraId="4DE94972" w14:textId="5395BEF7" w:rsidR="00875596" w:rsidRPr="001B53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 xml:space="preserve">Online </w:t>
            </w:r>
            <w:r w:rsidR="00003F34" w:rsidRPr="001B53A8">
              <w:rPr>
                <w:sz w:val="20"/>
                <w:szCs w:val="20"/>
                <w:lang w:val="sr-Latn-BA"/>
              </w:rPr>
              <w:t>predavanje</w:t>
            </w:r>
          </w:p>
          <w:p w14:paraId="09B385F1" w14:textId="77777777" w:rsidR="00875596" w:rsidRPr="001B53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08.06.2023</w:t>
            </w:r>
          </w:p>
        </w:tc>
        <w:tc>
          <w:tcPr>
            <w:tcW w:w="3603" w:type="dxa"/>
          </w:tcPr>
          <w:p w14:paraId="472614C4" w14:textId="77777777" w:rsidR="00875596" w:rsidRPr="001B53A8" w:rsidRDefault="00875596"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ESMA Training on Money Market Fund (MMF) Regulation</w:t>
            </w:r>
          </w:p>
        </w:tc>
        <w:tc>
          <w:tcPr>
            <w:tcW w:w="1418" w:type="dxa"/>
          </w:tcPr>
          <w:p w14:paraId="1AF76F1C" w14:textId="77777777" w:rsidR="00875596" w:rsidRPr="001B53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ESMA</w:t>
            </w:r>
          </w:p>
        </w:tc>
        <w:tc>
          <w:tcPr>
            <w:tcW w:w="2203" w:type="dxa"/>
          </w:tcPr>
          <w:p w14:paraId="216E38BA" w14:textId="77777777" w:rsidR="00875596" w:rsidRPr="001B53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Emmanuel Doumas</w:t>
            </w:r>
          </w:p>
          <w:p w14:paraId="1C82E9DA" w14:textId="77777777" w:rsidR="00875596" w:rsidRPr="001B53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William Paris and Massimo Ferrari</w:t>
            </w:r>
          </w:p>
        </w:tc>
      </w:tr>
      <w:tr w:rsidR="00875596" w:rsidRPr="001B53A8" w14:paraId="78105A34" w14:textId="77777777" w:rsidTr="00875596">
        <w:trPr>
          <w:cnfStyle w:val="000000100000" w:firstRow="0" w:lastRow="0" w:firstColumn="0" w:lastColumn="0" w:oddVBand="0" w:evenVBand="0" w:oddHBand="1" w:evenHBand="0"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478" w:type="dxa"/>
          </w:tcPr>
          <w:p w14:paraId="15B4570C" w14:textId="77777777" w:rsidR="00875596" w:rsidRPr="001B53A8" w:rsidRDefault="00875596" w:rsidP="00875596">
            <w:pPr>
              <w:spacing w:after="0" w:line="240" w:lineRule="auto"/>
              <w:ind w:firstLine="0"/>
              <w:rPr>
                <w:rFonts w:ascii="Times New Roman" w:hAnsi="Times New Roman" w:cs="Times New Roman"/>
                <w:sz w:val="20"/>
                <w:szCs w:val="20"/>
                <w:lang w:val="sr-Latn-BA"/>
              </w:rPr>
            </w:pPr>
            <w:r w:rsidRPr="001B53A8">
              <w:rPr>
                <w:rFonts w:ascii="Times New Roman" w:hAnsi="Times New Roman" w:cs="Times New Roman"/>
                <w:sz w:val="20"/>
                <w:szCs w:val="20"/>
                <w:lang w:val="sr-Latn-BA"/>
              </w:rPr>
              <w:t>9.</w:t>
            </w:r>
          </w:p>
        </w:tc>
        <w:tc>
          <w:tcPr>
            <w:tcW w:w="2211" w:type="dxa"/>
          </w:tcPr>
          <w:p w14:paraId="427C2F97" w14:textId="55085123" w:rsidR="00875596" w:rsidRPr="001B53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 xml:space="preserve">Online </w:t>
            </w:r>
            <w:r w:rsidR="00003F34" w:rsidRPr="001B53A8">
              <w:rPr>
                <w:sz w:val="20"/>
                <w:szCs w:val="20"/>
                <w:lang w:val="sr-Latn-BA"/>
              </w:rPr>
              <w:t>predavanje</w:t>
            </w:r>
          </w:p>
          <w:p w14:paraId="313A9198" w14:textId="77777777" w:rsidR="00875596" w:rsidRPr="001B53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28.06.2023</w:t>
            </w:r>
          </w:p>
        </w:tc>
        <w:tc>
          <w:tcPr>
            <w:tcW w:w="3603" w:type="dxa"/>
          </w:tcPr>
          <w:p w14:paraId="2EF0309D" w14:textId="6AECCC5E" w:rsidR="00875596" w:rsidRPr="001B53A8" w:rsidRDefault="00003F34"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Uputstva</w:t>
            </w:r>
            <w:r w:rsidR="00875596" w:rsidRPr="001B53A8">
              <w:rPr>
                <w:sz w:val="20"/>
                <w:szCs w:val="20"/>
                <w:lang w:val="sr-Latn-BA"/>
              </w:rPr>
              <w:t xml:space="preserve"> </w:t>
            </w:r>
            <w:r w:rsidRPr="001B53A8">
              <w:rPr>
                <w:sz w:val="20"/>
                <w:szCs w:val="20"/>
                <w:lang w:val="sr-Latn-BA"/>
              </w:rPr>
              <w:t>za</w:t>
            </w:r>
            <w:r w:rsidR="00875596" w:rsidRPr="001B53A8">
              <w:rPr>
                <w:sz w:val="20"/>
                <w:szCs w:val="20"/>
                <w:lang w:val="sr-Latn-BA"/>
              </w:rPr>
              <w:t xml:space="preserve"> </w:t>
            </w:r>
            <w:r w:rsidRPr="001B53A8">
              <w:rPr>
                <w:sz w:val="20"/>
                <w:szCs w:val="20"/>
                <w:lang w:val="sr-Latn-BA"/>
              </w:rPr>
              <w:t>popunjavanje</w:t>
            </w:r>
            <w:r w:rsidR="00875596" w:rsidRPr="001B53A8">
              <w:rPr>
                <w:sz w:val="20"/>
                <w:szCs w:val="20"/>
                <w:lang w:val="sr-Latn-BA"/>
              </w:rPr>
              <w:t xml:space="preserve"> </w:t>
            </w:r>
            <w:r w:rsidRPr="001B53A8">
              <w:rPr>
                <w:sz w:val="20"/>
                <w:szCs w:val="20"/>
                <w:lang w:val="sr-Latn-BA"/>
              </w:rPr>
              <w:t>upitnika</w:t>
            </w:r>
            <w:r w:rsidR="00875596" w:rsidRPr="001B53A8">
              <w:rPr>
                <w:sz w:val="20"/>
                <w:szCs w:val="20"/>
                <w:lang w:val="sr-Latn-BA"/>
              </w:rPr>
              <w:t xml:space="preserve"> </w:t>
            </w:r>
            <w:r w:rsidRPr="001B53A8">
              <w:rPr>
                <w:sz w:val="20"/>
                <w:szCs w:val="20"/>
                <w:lang w:val="sr-Latn-BA"/>
              </w:rPr>
              <w:t>u</w:t>
            </w:r>
            <w:r w:rsidR="00875596" w:rsidRPr="001B53A8">
              <w:rPr>
                <w:sz w:val="20"/>
                <w:szCs w:val="20"/>
                <w:lang w:val="sr-Latn-BA"/>
              </w:rPr>
              <w:t xml:space="preserve"> </w:t>
            </w:r>
            <w:r w:rsidRPr="001B53A8">
              <w:rPr>
                <w:sz w:val="20"/>
                <w:szCs w:val="20"/>
                <w:lang w:val="sr-Latn-BA"/>
              </w:rPr>
              <w:t>vezi</w:t>
            </w:r>
            <w:r w:rsidR="00875596" w:rsidRPr="001B53A8">
              <w:rPr>
                <w:sz w:val="20"/>
                <w:szCs w:val="20"/>
                <w:lang w:val="sr-Latn-BA"/>
              </w:rPr>
              <w:t xml:space="preserve"> </w:t>
            </w:r>
            <w:r w:rsidRPr="001B53A8">
              <w:rPr>
                <w:sz w:val="20"/>
                <w:szCs w:val="20"/>
                <w:lang w:val="sr-Latn-BA"/>
              </w:rPr>
              <w:t>sa</w:t>
            </w:r>
            <w:r w:rsidR="00875596" w:rsidRPr="001B53A8">
              <w:rPr>
                <w:sz w:val="20"/>
                <w:szCs w:val="20"/>
                <w:lang w:val="sr-Latn-BA"/>
              </w:rPr>
              <w:t xml:space="preserve"> </w:t>
            </w:r>
            <w:r w:rsidRPr="001B53A8">
              <w:rPr>
                <w:sz w:val="20"/>
                <w:szCs w:val="20"/>
                <w:lang w:val="sr-Latn-BA"/>
              </w:rPr>
              <w:t>principima</w:t>
            </w:r>
            <w:r w:rsidR="00875596" w:rsidRPr="001B53A8">
              <w:rPr>
                <w:sz w:val="20"/>
                <w:szCs w:val="20"/>
                <w:lang w:val="sr-Latn-BA"/>
              </w:rPr>
              <w:t xml:space="preserve"> 6 </w:t>
            </w:r>
            <w:r w:rsidRPr="001B53A8">
              <w:rPr>
                <w:sz w:val="20"/>
                <w:szCs w:val="20"/>
                <w:lang w:val="sr-Latn-BA"/>
              </w:rPr>
              <w:t>I</w:t>
            </w:r>
            <w:r w:rsidR="00875596" w:rsidRPr="001B53A8">
              <w:rPr>
                <w:sz w:val="20"/>
                <w:szCs w:val="20"/>
                <w:lang w:val="sr-Latn-BA"/>
              </w:rPr>
              <w:t xml:space="preserve"> 7</w:t>
            </w:r>
          </w:p>
        </w:tc>
        <w:tc>
          <w:tcPr>
            <w:tcW w:w="1418" w:type="dxa"/>
          </w:tcPr>
          <w:p w14:paraId="4F85B9F2" w14:textId="77777777" w:rsidR="00875596" w:rsidRPr="001B53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IOSCO</w:t>
            </w:r>
          </w:p>
        </w:tc>
        <w:tc>
          <w:tcPr>
            <w:tcW w:w="2203" w:type="dxa"/>
          </w:tcPr>
          <w:p w14:paraId="583B5A9F" w14:textId="77777777" w:rsidR="00875596" w:rsidRPr="001B53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Sharon Kelly</w:t>
            </w:r>
          </w:p>
        </w:tc>
      </w:tr>
      <w:tr w:rsidR="00875596" w:rsidRPr="001B53A8" w14:paraId="386934DB" w14:textId="77777777" w:rsidTr="00875596">
        <w:trPr>
          <w:cnfStyle w:val="000000010000" w:firstRow="0" w:lastRow="0" w:firstColumn="0" w:lastColumn="0" w:oddVBand="0" w:evenVBand="0" w:oddHBand="0" w:evenHBand="1"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478" w:type="dxa"/>
          </w:tcPr>
          <w:p w14:paraId="266171EE" w14:textId="77777777" w:rsidR="00875596" w:rsidRPr="001B53A8" w:rsidRDefault="00875596" w:rsidP="00875596">
            <w:pPr>
              <w:spacing w:after="0" w:line="240" w:lineRule="auto"/>
              <w:ind w:firstLine="0"/>
              <w:rPr>
                <w:rFonts w:ascii="Times New Roman" w:hAnsi="Times New Roman" w:cs="Times New Roman"/>
                <w:sz w:val="20"/>
                <w:szCs w:val="20"/>
                <w:lang w:val="sr-Latn-BA"/>
              </w:rPr>
            </w:pPr>
            <w:r w:rsidRPr="001B53A8">
              <w:rPr>
                <w:rFonts w:ascii="Times New Roman" w:hAnsi="Times New Roman" w:cs="Times New Roman"/>
                <w:sz w:val="20"/>
                <w:szCs w:val="20"/>
                <w:lang w:val="sr-Latn-BA"/>
              </w:rPr>
              <w:t>10.</w:t>
            </w:r>
          </w:p>
        </w:tc>
        <w:tc>
          <w:tcPr>
            <w:tcW w:w="2211" w:type="dxa"/>
          </w:tcPr>
          <w:p w14:paraId="035C86D0" w14:textId="77777777" w:rsidR="00875596" w:rsidRPr="001B53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u w:val="single"/>
                <w:lang w:val="sr-Latn-BA"/>
              </w:rPr>
              <w:t xml:space="preserve">Official Posting: IOSCO Bulletins </w:t>
            </w:r>
            <w:r w:rsidRPr="001B53A8">
              <w:rPr>
                <w:sz w:val="20"/>
                <w:szCs w:val="20"/>
                <w:u w:val="single"/>
                <w:lang w:val="sr-Latn-BA"/>
              </w:rPr>
              <w:br/>
            </w:r>
            <w:r w:rsidRPr="001B53A8">
              <w:rPr>
                <w:sz w:val="20"/>
                <w:szCs w:val="20"/>
                <w:u w:val="single"/>
                <w:lang w:val="sr-Latn-BA"/>
              </w:rPr>
              <w:br/>
            </w:r>
            <w:r w:rsidRPr="001B53A8">
              <w:rPr>
                <w:sz w:val="20"/>
                <w:szCs w:val="20"/>
                <w:lang w:val="sr-Latn-BA"/>
              </w:rPr>
              <w:t xml:space="preserve">Email sent by: IOSCO General Secretariat </w:t>
            </w:r>
          </w:p>
          <w:p w14:paraId="3F93B324" w14:textId="5425B3DC" w:rsidR="00875596" w:rsidRPr="001B53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 </w:t>
            </w:r>
          </w:p>
        </w:tc>
        <w:tc>
          <w:tcPr>
            <w:tcW w:w="3603" w:type="dxa"/>
          </w:tcPr>
          <w:p w14:paraId="204C4A7D" w14:textId="77777777" w:rsidR="00875596" w:rsidRPr="001B53A8" w:rsidRDefault="00875596"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bCs/>
                <w:sz w:val="20"/>
                <w:szCs w:val="20"/>
                <w:lang w:val="sr-Latn-BA"/>
              </w:rPr>
            </w:pPr>
            <w:r w:rsidRPr="001B53A8">
              <w:rPr>
                <w:bCs/>
                <w:sz w:val="20"/>
                <w:szCs w:val="20"/>
                <w:lang w:val="sr-Latn-BA"/>
              </w:rPr>
              <w:t>Rethinking Enforcement Approaches in a Digitized Securities Industry</w:t>
            </w:r>
          </w:p>
          <w:p w14:paraId="29D27228" w14:textId="77777777" w:rsidR="00875596" w:rsidRPr="001B53A8" w:rsidRDefault="00875596"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bCs/>
                <w:sz w:val="20"/>
                <w:szCs w:val="20"/>
                <w:lang w:val="sr-Latn-BA"/>
              </w:rPr>
            </w:pPr>
            <w:r w:rsidRPr="001B53A8">
              <w:rPr>
                <w:bCs/>
                <w:sz w:val="20"/>
                <w:szCs w:val="20"/>
                <w:lang w:val="sr-Latn-BA"/>
              </w:rPr>
              <w:t>A machine learning approach to support decision in insider trading detection</w:t>
            </w:r>
          </w:p>
          <w:p w14:paraId="09722CB8" w14:textId="77777777" w:rsidR="00875596" w:rsidRPr="001B53A8" w:rsidRDefault="00875596"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Open Source Intelligence (OSINT) - Tips and Tricks for Online Investigations</w:t>
            </w:r>
          </w:p>
        </w:tc>
        <w:tc>
          <w:tcPr>
            <w:tcW w:w="1418" w:type="dxa"/>
          </w:tcPr>
          <w:p w14:paraId="7C2A4D8E" w14:textId="77777777" w:rsidR="00875596" w:rsidRPr="001B53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IOSCO</w:t>
            </w:r>
          </w:p>
        </w:tc>
        <w:tc>
          <w:tcPr>
            <w:tcW w:w="2203" w:type="dxa"/>
          </w:tcPr>
          <w:p w14:paraId="7DEE420F" w14:textId="77777777" w:rsidR="00875596" w:rsidRPr="001B53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Supervision experts from different countries (Yusuf Campar, Molly Choucair…)</w:t>
            </w:r>
          </w:p>
        </w:tc>
      </w:tr>
      <w:tr w:rsidR="00875596" w:rsidRPr="001B53A8" w14:paraId="3B916A97" w14:textId="77777777" w:rsidTr="00875596">
        <w:trPr>
          <w:cnfStyle w:val="000000100000" w:firstRow="0" w:lastRow="0" w:firstColumn="0" w:lastColumn="0" w:oddVBand="0" w:evenVBand="0" w:oddHBand="1" w:evenHBand="0"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478" w:type="dxa"/>
          </w:tcPr>
          <w:p w14:paraId="371D95B1" w14:textId="77777777" w:rsidR="00875596" w:rsidRPr="001B53A8" w:rsidRDefault="00875596" w:rsidP="00875596">
            <w:pPr>
              <w:spacing w:after="0" w:line="240" w:lineRule="auto"/>
              <w:ind w:firstLine="0"/>
              <w:rPr>
                <w:rFonts w:ascii="Times New Roman" w:hAnsi="Times New Roman" w:cs="Times New Roman"/>
                <w:sz w:val="20"/>
                <w:szCs w:val="20"/>
                <w:lang w:val="sr-Latn-BA"/>
              </w:rPr>
            </w:pPr>
            <w:r w:rsidRPr="001B53A8">
              <w:rPr>
                <w:rFonts w:ascii="Times New Roman" w:hAnsi="Times New Roman" w:cs="Times New Roman"/>
                <w:sz w:val="20"/>
                <w:szCs w:val="20"/>
                <w:lang w:val="sr-Latn-BA"/>
              </w:rPr>
              <w:t>11.</w:t>
            </w:r>
          </w:p>
        </w:tc>
        <w:tc>
          <w:tcPr>
            <w:tcW w:w="2211" w:type="dxa"/>
          </w:tcPr>
          <w:p w14:paraId="050482DE" w14:textId="732124B4" w:rsidR="00875596" w:rsidRPr="001B53A8" w:rsidRDefault="00003F34"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Kurs</w:t>
            </w:r>
            <w:r w:rsidR="00875596" w:rsidRPr="001B53A8">
              <w:rPr>
                <w:sz w:val="20"/>
                <w:szCs w:val="20"/>
                <w:lang w:val="sr-Latn-BA"/>
              </w:rPr>
              <w:t xml:space="preserve"> </w:t>
            </w:r>
            <w:r w:rsidRPr="001B53A8">
              <w:rPr>
                <w:sz w:val="20"/>
                <w:szCs w:val="20"/>
                <w:lang w:val="sr-Latn-BA"/>
              </w:rPr>
              <w:t>u</w:t>
            </w:r>
            <w:r w:rsidR="00875596" w:rsidRPr="001B53A8">
              <w:rPr>
                <w:sz w:val="20"/>
                <w:szCs w:val="20"/>
                <w:lang w:val="sr-Latn-BA"/>
              </w:rPr>
              <w:t xml:space="preserve"> </w:t>
            </w:r>
            <w:r w:rsidRPr="001B53A8">
              <w:rPr>
                <w:sz w:val="20"/>
                <w:szCs w:val="20"/>
                <w:lang w:val="sr-Latn-BA"/>
              </w:rPr>
              <w:t>Beču</w:t>
            </w:r>
          </w:p>
          <w:p w14:paraId="191D30C7" w14:textId="1A01482A" w:rsidR="00875596" w:rsidRPr="001B53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 xml:space="preserve">18.09.2023. – 29.09.2023. </w:t>
            </w:r>
            <w:r w:rsidR="00003F34" w:rsidRPr="001B53A8">
              <w:rPr>
                <w:sz w:val="20"/>
                <w:szCs w:val="20"/>
                <w:lang w:val="sr-Latn-BA"/>
              </w:rPr>
              <w:t>godine</w:t>
            </w:r>
          </w:p>
        </w:tc>
        <w:tc>
          <w:tcPr>
            <w:tcW w:w="3603" w:type="dxa"/>
          </w:tcPr>
          <w:p w14:paraId="0FE509A1" w14:textId="1F53B8C0" w:rsidR="00875596" w:rsidRPr="001B53A8" w:rsidRDefault="00003F34"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Pravila</w:t>
            </w:r>
            <w:r w:rsidR="00875596" w:rsidRPr="001B53A8">
              <w:rPr>
                <w:sz w:val="20"/>
                <w:szCs w:val="20"/>
                <w:lang w:val="sr-Latn-BA"/>
              </w:rPr>
              <w:t xml:space="preserve"> </w:t>
            </w:r>
            <w:r w:rsidRPr="001B53A8">
              <w:rPr>
                <w:sz w:val="20"/>
                <w:szCs w:val="20"/>
                <w:lang w:val="sr-Latn-BA"/>
              </w:rPr>
              <w:t>finansijskog</w:t>
            </w:r>
            <w:r w:rsidR="00875596" w:rsidRPr="001B53A8">
              <w:rPr>
                <w:sz w:val="20"/>
                <w:szCs w:val="20"/>
                <w:lang w:val="sr-Latn-BA"/>
              </w:rPr>
              <w:t xml:space="preserve"> </w:t>
            </w:r>
            <w:r w:rsidRPr="001B53A8">
              <w:rPr>
                <w:sz w:val="20"/>
                <w:szCs w:val="20"/>
                <w:lang w:val="sr-Latn-BA"/>
              </w:rPr>
              <w:t>sektora</w:t>
            </w:r>
          </w:p>
        </w:tc>
        <w:tc>
          <w:tcPr>
            <w:tcW w:w="1418" w:type="dxa"/>
          </w:tcPr>
          <w:p w14:paraId="60AF15F7" w14:textId="77777777" w:rsidR="00875596" w:rsidRPr="001B53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Joint Vienna Institute</w:t>
            </w:r>
          </w:p>
        </w:tc>
        <w:tc>
          <w:tcPr>
            <w:tcW w:w="2203" w:type="dxa"/>
          </w:tcPr>
          <w:p w14:paraId="37EA9293" w14:textId="77777777" w:rsidR="00875596" w:rsidRPr="001B53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Luiza Zaforlin</w:t>
            </w:r>
          </w:p>
          <w:p w14:paraId="3D05F62E" w14:textId="77777777" w:rsidR="00875596" w:rsidRPr="001B53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Laurent Millischer</w:t>
            </w:r>
          </w:p>
          <w:p w14:paraId="28C22851" w14:textId="77777777" w:rsidR="00875596" w:rsidRPr="001B53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Rasool Zandvakil</w:t>
            </w:r>
          </w:p>
        </w:tc>
      </w:tr>
      <w:tr w:rsidR="00875596" w:rsidRPr="001B53A8" w14:paraId="7CC914E5" w14:textId="77777777" w:rsidTr="00875596">
        <w:trPr>
          <w:cnfStyle w:val="000000010000" w:firstRow="0" w:lastRow="0" w:firstColumn="0" w:lastColumn="0" w:oddVBand="0" w:evenVBand="0" w:oddHBand="0" w:evenHBand="1"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478" w:type="dxa"/>
          </w:tcPr>
          <w:p w14:paraId="54B3016A" w14:textId="77777777" w:rsidR="00875596" w:rsidRPr="001B53A8" w:rsidRDefault="00875596" w:rsidP="00875596">
            <w:pPr>
              <w:spacing w:after="0" w:line="240" w:lineRule="auto"/>
              <w:ind w:firstLine="0"/>
              <w:rPr>
                <w:rFonts w:ascii="Times New Roman" w:hAnsi="Times New Roman" w:cs="Times New Roman"/>
                <w:sz w:val="20"/>
                <w:szCs w:val="20"/>
                <w:lang w:val="sr-Latn-BA"/>
              </w:rPr>
            </w:pPr>
            <w:r w:rsidRPr="001B53A8">
              <w:rPr>
                <w:rFonts w:ascii="Times New Roman" w:hAnsi="Times New Roman" w:cs="Times New Roman"/>
                <w:sz w:val="20"/>
                <w:szCs w:val="20"/>
                <w:lang w:val="sr-Latn-BA"/>
              </w:rPr>
              <w:t>12</w:t>
            </w:r>
          </w:p>
        </w:tc>
        <w:tc>
          <w:tcPr>
            <w:tcW w:w="2211" w:type="dxa"/>
          </w:tcPr>
          <w:p w14:paraId="724A2230" w14:textId="3296B1FC" w:rsidR="00875596" w:rsidRPr="001B53A8" w:rsidRDefault="00003F34"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Seminar</w:t>
            </w:r>
          </w:p>
        </w:tc>
        <w:tc>
          <w:tcPr>
            <w:tcW w:w="3603" w:type="dxa"/>
          </w:tcPr>
          <w:p w14:paraId="210E6DBF" w14:textId="06BD29D3" w:rsidR="00875596" w:rsidRPr="001B53A8" w:rsidRDefault="00003F34"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Razvoj</w:t>
            </w:r>
            <w:r w:rsidR="00875596" w:rsidRPr="001B53A8">
              <w:rPr>
                <w:sz w:val="20"/>
                <w:szCs w:val="20"/>
                <w:lang w:val="sr-Latn-BA"/>
              </w:rPr>
              <w:t xml:space="preserve"> </w:t>
            </w:r>
            <w:r w:rsidRPr="001B53A8">
              <w:rPr>
                <w:sz w:val="20"/>
                <w:szCs w:val="20"/>
                <w:lang w:val="sr-Latn-BA"/>
              </w:rPr>
              <w:t>tržišta</w:t>
            </w:r>
            <w:r w:rsidR="00875596" w:rsidRPr="001B53A8">
              <w:rPr>
                <w:sz w:val="20"/>
                <w:szCs w:val="20"/>
                <w:lang w:val="sr-Latn-BA"/>
              </w:rPr>
              <w:t xml:space="preserve"> </w:t>
            </w:r>
            <w:r w:rsidRPr="001B53A8">
              <w:rPr>
                <w:sz w:val="20"/>
                <w:szCs w:val="20"/>
                <w:lang w:val="sr-Latn-BA"/>
              </w:rPr>
              <w:t>domaćih</w:t>
            </w:r>
            <w:r w:rsidR="00875596" w:rsidRPr="001B53A8">
              <w:rPr>
                <w:sz w:val="20"/>
                <w:szCs w:val="20"/>
                <w:lang w:val="sr-Latn-BA"/>
              </w:rPr>
              <w:t xml:space="preserve"> </w:t>
            </w:r>
            <w:r w:rsidRPr="001B53A8">
              <w:rPr>
                <w:sz w:val="20"/>
                <w:szCs w:val="20"/>
                <w:lang w:val="sr-Latn-BA"/>
              </w:rPr>
              <w:t>dužničkih</w:t>
            </w:r>
            <w:r w:rsidR="00875596" w:rsidRPr="001B53A8">
              <w:rPr>
                <w:sz w:val="20"/>
                <w:szCs w:val="20"/>
                <w:lang w:val="sr-Latn-BA"/>
              </w:rPr>
              <w:t xml:space="preserve"> </w:t>
            </w:r>
            <w:r w:rsidRPr="001B53A8">
              <w:rPr>
                <w:sz w:val="20"/>
                <w:szCs w:val="20"/>
                <w:lang w:val="sr-Latn-BA"/>
              </w:rPr>
              <w:t>instrumenata</w:t>
            </w:r>
            <w:r w:rsidR="00875596" w:rsidRPr="001B53A8">
              <w:rPr>
                <w:sz w:val="20"/>
                <w:szCs w:val="20"/>
                <w:lang w:val="sr-Latn-BA"/>
              </w:rPr>
              <w:t xml:space="preserve">  (Domestic debt market development)</w:t>
            </w:r>
          </w:p>
        </w:tc>
        <w:tc>
          <w:tcPr>
            <w:tcW w:w="1418" w:type="dxa"/>
          </w:tcPr>
          <w:p w14:paraId="4194F7DA" w14:textId="77777777" w:rsidR="00875596" w:rsidRPr="001B53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MMF, JVI</w:t>
            </w:r>
          </w:p>
        </w:tc>
        <w:tc>
          <w:tcPr>
            <w:tcW w:w="2203" w:type="dxa"/>
          </w:tcPr>
          <w:p w14:paraId="0AF53A45" w14:textId="77777777" w:rsidR="00875596" w:rsidRPr="001B53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Miriam Tamene, Cesar Arias, Robert T. Andreoli Jr, Joanne Perez</w:t>
            </w:r>
          </w:p>
        </w:tc>
      </w:tr>
      <w:tr w:rsidR="00875596" w:rsidRPr="001B53A8" w14:paraId="546C5C0D" w14:textId="77777777" w:rsidTr="00875596">
        <w:trPr>
          <w:cnfStyle w:val="000000100000" w:firstRow="0" w:lastRow="0" w:firstColumn="0" w:lastColumn="0" w:oddVBand="0" w:evenVBand="0" w:oddHBand="1" w:evenHBand="0"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478" w:type="dxa"/>
          </w:tcPr>
          <w:p w14:paraId="49339F5C" w14:textId="77777777" w:rsidR="00875596" w:rsidRPr="001B53A8" w:rsidRDefault="00875596" w:rsidP="00875596">
            <w:pPr>
              <w:spacing w:after="0" w:line="240" w:lineRule="auto"/>
              <w:ind w:firstLine="0"/>
              <w:rPr>
                <w:rFonts w:ascii="Times New Roman" w:hAnsi="Times New Roman" w:cs="Times New Roman"/>
                <w:sz w:val="20"/>
                <w:szCs w:val="20"/>
                <w:lang w:val="sr-Latn-BA"/>
              </w:rPr>
            </w:pPr>
            <w:r w:rsidRPr="001B53A8">
              <w:rPr>
                <w:rFonts w:ascii="Times New Roman" w:hAnsi="Times New Roman" w:cs="Times New Roman"/>
                <w:sz w:val="20"/>
                <w:szCs w:val="20"/>
                <w:lang w:val="sr-Latn-BA"/>
              </w:rPr>
              <w:t>13.</w:t>
            </w:r>
          </w:p>
        </w:tc>
        <w:tc>
          <w:tcPr>
            <w:tcW w:w="2211" w:type="dxa"/>
          </w:tcPr>
          <w:p w14:paraId="5C756429" w14:textId="05358763" w:rsidR="00875596" w:rsidRPr="001B53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 xml:space="preserve"> </w:t>
            </w:r>
            <w:r w:rsidR="00003F34" w:rsidRPr="001B53A8">
              <w:rPr>
                <w:sz w:val="20"/>
                <w:szCs w:val="20"/>
                <w:lang w:val="sr-Latn-BA"/>
              </w:rPr>
              <w:t>DORS</w:t>
            </w:r>
            <w:r w:rsidRPr="001B53A8">
              <w:rPr>
                <w:sz w:val="20"/>
                <w:szCs w:val="20"/>
                <w:lang w:val="sr-Latn-BA"/>
              </w:rPr>
              <w:t xml:space="preserve"> 2023, </w:t>
            </w:r>
          </w:p>
          <w:p w14:paraId="1E906DA3" w14:textId="19A2C1D3" w:rsidR="00875596" w:rsidRPr="001B53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 xml:space="preserve">19. </w:t>
            </w:r>
            <w:r w:rsidR="00003F34" w:rsidRPr="001B53A8">
              <w:rPr>
                <w:sz w:val="20"/>
                <w:szCs w:val="20"/>
                <w:lang w:val="sr-Latn-BA"/>
              </w:rPr>
              <w:t>i</w:t>
            </w:r>
            <w:r w:rsidRPr="001B53A8">
              <w:rPr>
                <w:sz w:val="20"/>
                <w:szCs w:val="20"/>
                <w:lang w:val="sr-Latn-BA"/>
              </w:rPr>
              <w:t xml:space="preserve"> 20. </w:t>
            </w:r>
            <w:r w:rsidR="00003F34" w:rsidRPr="001B53A8">
              <w:rPr>
                <w:sz w:val="20"/>
                <w:szCs w:val="20"/>
                <w:lang w:val="sr-Latn-BA"/>
              </w:rPr>
              <w:t>oktobar</w:t>
            </w:r>
            <w:r w:rsidRPr="001B53A8">
              <w:rPr>
                <w:sz w:val="20"/>
                <w:szCs w:val="20"/>
                <w:lang w:val="sr-Latn-BA"/>
              </w:rPr>
              <w:t xml:space="preserve"> </w:t>
            </w:r>
            <w:r w:rsidR="00003F34" w:rsidRPr="001B53A8">
              <w:rPr>
                <w:sz w:val="20"/>
                <w:szCs w:val="20"/>
                <w:lang w:val="sr-Latn-BA"/>
              </w:rPr>
              <w:t>Etno</w:t>
            </w:r>
            <w:r w:rsidRPr="001B53A8">
              <w:rPr>
                <w:sz w:val="20"/>
                <w:szCs w:val="20"/>
                <w:lang w:val="sr-Latn-BA"/>
              </w:rPr>
              <w:t xml:space="preserve"> </w:t>
            </w:r>
            <w:r w:rsidR="00003F34" w:rsidRPr="001B53A8">
              <w:rPr>
                <w:sz w:val="20"/>
                <w:szCs w:val="20"/>
                <w:lang w:val="sr-Latn-BA"/>
              </w:rPr>
              <w:t>sela</w:t>
            </w:r>
            <w:r w:rsidRPr="001B53A8">
              <w:rPr>
                <w:sz w:val="20"/>
                <w:szCs w:val="20"/>
                <w:lang w:val="sr-Latn-BA"/>
              </w:rPr>
              <w:t xml:space="preserve"> </w:t>
            </w:r>
            <w:r w:rsidR="00003F34" w:rsidRPr="001B53A8">
              <w:rPr>
                <w:sz w:val="20"/>
                <w:szCs w:val="20"/>
                <w:lang w:val="sr-Latn-BA"/>
              </w:rPr>
              <w:t>Stanišići</w:t>
            </w:r>
            <w:r w:rsidRPr="001B53A8">
              <w:rPr>
                <w:sz w:val="20"/>
                <w:szCs w:val="20"/>
                <w:lang w:val="sr-Latn-BA"/>
              </w:rPr>
              <w:t xml:space="preserve"> </w:t>
            </w:r>
            <w:r w:rsidR="00003F34" w:rsidRPr="001B53A8">
              <w:rPr>
                <w:sz w:val="20"/>
                <w:szCs w:val="20"/>
                <w:lang w:val="sr-Latn-BA"/>
              </w:rPr>
              <w:t>u</w:t>
            </w:r>
            <w:r w:rsidRPr="001B53A8">
              <w:rPr>
                <w:sz w:val="20"/>
                <w:szCs w:val="20"/>
                <w:lang w:val="sr-Latn-BA"/>
              </w:rPr>
              <w:t xml:space="preserve"> </w:t>
            </w:r>
            <w:r w:rsidR="00003F34" w:rsidRPr="001B53A8">
              <w:rPr>
                <w:sz w:val="20"/>
                <w:szCs w:val="20"/>
                <w:lang w:val="sr-Latn-BA"/>
              </w:rPr>
              <w:t>Bijelјini</w:t>
            </w:r>
            <w:r w:rsidRPr="001B53A8">
              <w:rPr>
                <w:sz w:val="20"/>
                <w:szCs w:val="20"/>
                <w:lang w:val="sr-Latn-BA"/>
              </w:rPr>
              <w:t>.</w:t>
            </w:r>
          </w:p>
        </w:tc>
        <w:tc>
          <w:tcPr>
            <w:tcW w:w="3603" w:type="dxa"/>
          </w:tcPr>
          <w:p w14:paraId="25CAB98B" w14:textId="3729E8F3" w:rsidR="00875596" w:rsidRPr="001B53A8" w:rsidRDefault="00003F34"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Izazovi</w:t>
            </w:r>
            <w:r w:rsidR="00875596" w:rsidRPr="001B53A8">
              <w:rPr>
                <w:sz w:val="20"/>
                <w:szCs w:val="20"/>
                <w:lang w:val="sr-Latn-BA"/>
              </w:rPr>
              <w:t xml:space="preserve"> </w:t>
            </w:r>
            <w:r w:rsidRPr="001B53A8">
              <w:rPr>
                <w:sz w:val="20"/>
                <w:szCs w:val="20"/>
                <w:lang w:val="sr-Latn-BA"/>
              </w:rPr>
              <w:t>u</w:t>
            </w:r>
            <w:r w:rsidR="00875596" w:rsidRPr="001B53A8">
              <w:rPr>
                <w:sz w:val="20"/>
                <w:szCs w:val="20"/>
                <w:lang w:val="sr-Latn-BA"/>
              </w:rPr>
              <w:t xml:space="preserve"> </w:t>
            </w:r>
            <w:r w:rsidRPr="001B53A8">
              <w:rPr>
                <w:sz w:val="20"/>
                <w:szCs w:val="20"/>
                <w:lang w:val="sr-Latn-BA"/>
              </w:rPr>
              <w:t>sektoru</w:t>
            </w:r>
            <w:r w:rsidR="00875596" w:rsidRPr="001B53A8">
              <w:rPr>
                <w:sz w:val="20"/>
                <w:szCs w:val="20"/>
                <w:lang w:val="sr-Latn-BA"/>
              </w:rPr>
              <w:t xml:space="preserve"> </w:t>
            </w:r>
            <w:r w:rsidRPr="001B53A8">
              <w:rPr>
                <w:sz w:val="20"/>
                <w:szCs w:val="20"/>
                <w:lang w:val="sr-Latn-BA"/>
              </w:rPr>
              <w:t>osiguranja</w:t>
            </w:r>
            <w:r w:rsidR="00875596" w:rsidRPr="001B53A8">
              <w:rPr>
                <w:sz w:val="20"/>
                <w:szCs w:val="20"/>
                <w:lang w:val="sr-Latn-BA"/>
              </w:rPr>
              <w:t xml:space="preserve"> </w:t>
            </w:r>
            <w:r w:rsidRPr="001B53A8">
              <w:rPr>
                <w:sz w:val="20"/>
                <w:szCs w:val="20"/>
                <w:lang w:val="sr-Latn-BA"/>
              </w:rPr>
              <w:t>u</w:t>
            </w:r>
            <w:r w:rsidR="00875596" w:rsidRPr="001B53A8">
              <w:rPr>
                <w:sz w:val="20"/>
                <w:szCs w:val="20"/>
                <w:lang w:val="sr-Latn-BA"/>
              </w:rPr>
              <w:t xml:space="preserve"> </w:t>
            </w:r>
            <w:r w:rsidRPr="001B53A8">
              <w:rPr>
                <w:sz w:val="20"/>
                <w:szCs w:val="20"/>
                <w:lang w:val="sr-Latn-BA"/>
              </w:rPr>
              <w:t>doba</w:t>
            </w:r>
            <w:r w:rsidR="00875596" w:rsidRPr="001B53A8">
              <w:rPr>
                <w:sz w:val="20"/>
                <w:szCs w:val="20"/>
                <w:lang w:val="sr-Latn-BA"/>
              </w:rPr>
              <w:t xml:space="preserve"> </w:t>
            </w:r>
            <w:r w:rsidRPr="001B53A8">
              <w:rPr>
                <w:sz w:val="20"/>
                <w:szCs w:val="20"/>
                <w:lang w:val="sr-Latn-BA"/>
              </w:rPr>
              <w:t>globalne</w:t>
            </w:r>
            <w:r w:rsidR="00875596" w:rsidRPr="001B53A8">
              <w:rPr>
                <w:sz w:val="20"/>
                <w:szCs w:val="20"/>
                <w:lang w:val="sr-Latn-BA"/>
              </w:rPr>
              <w:t xml:space="preserve"> </w:t>
            </w:r>
            <w:r w:rsidRPr="001B53A8">
              <w:rPr>
                <w:sz w:val="20"/>
                <w:szCs w:val="20"/>
                <w:lang w:val="sr-Latn-BA"/>
              </w:rPr>
              <w:t>neizvjesnosti</w:t>
            </w:r>
            <w:r w:rsidR="00875596" w:rsidRPr="001B53A8">
              <w:rPr>
                <w:sz w:val="20"/>
                <w:szCs w:val="20"/>
                <w:lang w:val="sr-Latn-BA"/>
              </w:rPr>
              <w:t>”, </w:t>
            </w:r>
          </w:p>
        </w:tc>
        <w:tc>
          <w:tcPr>
            <w:tcW w:w="1418" w:type="dxa"/>
          </w:tcPr>
          <w:p w14:paraId="6D3CCD3B" w14:textId="23F36FEF"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Privredna</w:t>
            </w:r>
            <w:r w:rsidR="00875596" w:rsidRPr="001B53A8">
              <w:rPr>
                <w:sz w:val="20"/>
                <w:szCs w:val="20"/>
                <w:lang w:val="sr-Latn-BA"/>
              </w:rPr>
              <w:t xml:space="preserve"> </w:t>
            </w:r>
            <w:r w:rsidRPr="001B53A8">
              <w:rPr>
                <w:sz w:val="20"/>
                <w:szCs w:val="20"/>
                <w:lang w:val="sr-Latn-BA"/>
              </w:rPr>
              <w:t>komora</w:t>
            </w:r>
            <w:r w:rsidR="00875596" w:rsidRPr="001B53A8">
              <w:rPr>
                <w:sz w:val="20"/>
                <w:szCs w:val="20"/>
                <w:lang w:val="sr-Latn-BA"/>
              </w:rPr>
              <w:t xml:space="preserve"> </w:t>
            </w:r>
            <w:r w:rsidRPr="001B53A8">
              <w:rPr>
                <w:sz w:val="20"/>
                <w:szCs w:val="20"/>
                <w:lang w:val="sr-Latn-BA"/>
              </w:rPr>
              <w:t>Republike</w:t>
            </w:r>
            <w:r w:rsidR="00875596" w:rsidRPr="001B53A8">
              <w:rPr>
                <w:sz w:val="20"/>
                <w:szCs w:val="20"/>
                <w:lang w:val="sr-Latn-BA"/>
              </w:rPr>
              <w:t xml:space="preserve"> </w:t>
            </w:r>
            <w:r w:rsidRPr="001B53A8">
              <w:rPr>
                <w:sz w:val="20"/>
                <w:szCs w:val="20"/>
                <w:lang w:val="sr-Latn-BA"/>
              </w:rPr>
              <w:t>Srpske</w:t>
            </w:r>
          </w:p>
        </w:tc>
        <w:tc>
          <w:tcPr>
            <w:tcW w:w="2203" w:type="dxa"/>
          </w:tcPr>
          <w:p w14:paraId="509A3211" w14:textId="39199DF0" w:rsidR="00875596" w:rsidRPr="001B53A8" w:rsidRDefault="00003F34" w:rsidP="00875596">
            <w:pPr>
              <w:spacing w:after="0" w:line="240" w:lineRule="auto"/>
              <w:ind w:firstLine="0"/>
              <w:jc w:val="left"/>
              <w:outlineLvl w:val="0"/>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Bojan</w:t>
            </w:r>
            <w:r w:rsidR="00875596" w:rsidRPr="001B53A8">
              <w:rPr>
                <w:sz w:val="20"/>
                <w:szCs w:val="20"/>
                <w:lang w:val="sr-Latn-BA"/>
              </w:rPr>
              <w:t xml:space="preserve"> </w:t>
            </w:r>
            <w:r w:rsidRPr="001B53A8">
              <w:rPr>
                <w:sz w:val="20"/>
                <w:szCs w:val="20"/>
                <w:lang w:val="sr-Latn-BA"/>
              </w:rPr>
              <w:t>Popović</w:t>
            </w:r>
          </w:p>
          <w:p w14:paraId="467F83BA" w14:textId="5E66E48E" w:rsidR="00875596" w:rsidRPr="001B53A8" w:rsidRDefault="00003F34" w:rsidP="00875596">
            <w:pPr>
              <w:spacing w:after="0" w:line="240" w:lineRule="auto"/>
              <w:ind w:firstLine="0"/>
              <w:jc w:val="left"/>
              <w:outlineLvl w:val="0"/>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Valentino</w:t>
            </w:r>
            <w:r w:rsidR="00875596" w:rsidRPr="001B53A8">
              <w:rPr>
                <w:sz w:val="20"/>
                <w:szCs w:val="20"/>
                <w:lang w:val="sr-Latn-BA"/>
              </w:rPr>
              <w:t xml:space="preserve"> </w:t>
            </w:r>
            <w:r w:rsidRPr="001B53A8">
              <w:rPr>
                <w:sz w:val="20"/>
                <w:szCs w:val="20"/>
                <w:lang w:val="sr-Latn-BA"/>
              </w:rPr>
              <w:t>Janković</w:t>
            </w:r>
          </w:p>
          <w:p w14:paraId="24ED5056" w14:textId="7CFF82B0" w:rsidR="00875596" w:rsidRPr="001B53A8" w:rsidRDefault="00003F34" w:rsidP="00875596">
            <w:pPr>
              <w:spacing w:after="0" w:line="240" w:lineRule="auto"/>
              <w:ind w:firstLine="0"/>
              <w:jc w:val="left"/>
              <w:outlineLvl w:val="0"/>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Siniša</w:t>
            </w:r>
            <w:r w:rsidR="00875596" w:rsidRPr="001B53A8">
              <w:rPr>
                <w:sz w:val="20"/>
                <w:szCs w:val="20"/>
                <w:lang w:val="sr-Latn-BA"/>
              </w:rPr>
              <w:t xml:space="preserve"> </w:t>
            </w:r>
            <w:r w:rsidRPr="001B53A8">
              <w:rPr>
                <w:sz w:val="20"/>
                <w:szCs w:val="20"/>
                <w:lang w:val="sr-Latn-BA"/>
              </w:rPr>
              <w:t>Kurteš</w:t>
            </w:r>
          </w:p>
          <w:p w14:paraId="3F2FBDF2" w14:textId="06DC04E4" w:rsidR="00875596" w:rsidRPr="001B53A8" w:rsidRDefault="00003F34" w:rsidP="00875596">
            <w:pPr>
              <w:spacing w:after="0" w:line="240" w:lineRule="auto"/>
              <w:ind w:firstLine="0"/>
              <w:jc w:val="left"/>
              <w:outlineLvl w:val="0"/>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Borislav</w:t>
            </w:r>
            <w:r w:rsidR="00875596" w:rsidRPr="001B53A8">
              <w:rPr>
                <w:sz w:val="20"/>
                <w:szCs w:val="20"/>
                <w:lang w:val="sr-Latn-BA"/>
              </w:rPr>
              <w:t xml:space="preserve"> </w:t>
            </w:r>
            <w:r w:rsidRPr="001B53A8">
              <w:rPr>
                <w:sz w:val="20"/>
                <w:szCs w:val="20"/>
                <w:lang w:val="sr-Latn-BA"/>
              </w:rPr>
              <w:t>Doder</w:t>
            </w:r>
          </w:p>
          <w:p w14:paraId="24E08573" w14:textId="3A3FCDA4" w:rsidR="00875596" w:rsidRPr="001B53A8" w:rsidRDefault="00003F34" w:rsidP="00A47DF9">
            <w:pPr>
              <w:spacing w:after="0" w:line="240" w:lineRule="auto"/>
              <w:ind w:firstLine="0"/>
              <w:jc w:val="left"/>
              <w:outlineLvl w:val="0"/>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Milenko</w:t>
            </w:r>
            <w:r w:rsidR="00875596" w:rsidRPr="001B53A8">
              <w:rPr>
                <w:sz w:val="20"/>
                <w:szCs w:val="20"/>
                <w:lang w:val="sr-Latn-BA"/>
              </w:rPr>
              <w:t xml:space="preserve"> </w:t>
            </w:r>
            <w:r w:rsidRPr="001B53A8">
              <w:rPr>
                <w:sz w:val="20"/>
                <w:szCs w:val="20"/>
                <w:lang w:val="sr-Latn-BA"/>
              </w:rPr>
              <w:t>Mišanović</w:t>
            </w:r>
            <w:r w:rsidR="00A47DF9">
              <w:rPr>
                <w:sz w:val="20"/>
                <w:szCs w:val="20"/>
                <w:lang w:val="sr-Latn-BA"/>
              </w:rPr>
              <w:t>ž</w:t>
            </w:r>
          </w:p>
        </w:tc>
      </w:tr>
      <w:tr w:rsidR="00875596" w:rsidRPr="001B53A8" w14:paraId="1480F112" w14:textId="77777777" w:rsidTr="00875596">
        <w:trPr>
          <w:cnfStyle w:val="000000010000" w:firstRow="0" w:lastRow="0" w:firstColumn="0" w:lastColumn="0" w:oddVBand="0" w:evenVBand="0" w:oddHBand="0" w:evenHBand="1"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478" w:type="dxa"/>
          </w:tcPr>
          <w:p w14:paraId="5C143F4E" w14:textId="77777777" w:rsidR="00875596" w:rsidRPr="001B53A8" w:rsidRDefault="00875596" w:rsidP="00875596">
            <w:pPr>
              <w:spacing w:after="0" w:line="240" w:lineRule="auto"/>
              <w:ind w:firstLine="0"/>
              <w:rPr>
                <w:rFonts w:ascii="Times New Roman" w:hAnsi="Times New Roman" w:cs="Times New Roman"/>
                <w:sz w:val="20"/>
                <w:szCs w:val="20"/>
                <w:lang w:val="sr-Latn-BA"/>
              </w:rPr>
            </w:pPr>
            <w:r w:rsidRPr="001B53A8">
              <w:rPr>
                <w:rFonts w:ascii="Times New Roman" w:hAnsi="Times New Roman" w:cs="Times New Roman"/>
                <w:sz w:val="20"/>
                <w:szCs w:val="20"/>
                <w:lang w:val="sr-Latn-BA"/>
              </w:rPr>
              <w:t>14.</w:t>
            </w:r>
          </w:p>
        </w:tc>
        <w:tc>
          <w:tcPr>
            <w:tcW w:w="2211" w:type="dxa"/>
          </w:tcPr>
          <w:p w14:paraId="0FCD7259" w14:textId="330A3A22" w:rsidR="00875596" w:rsidRPr="001B53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 xml:space="preserve">3. </w:t>
            </w:r>
            <w:r w:rsidR="00003F34" w:rsidRPr="001B53A8">
              <w:rPr>
                <w:sz w:val="20"/>
                <w:szCs w:val="20"/>
                <w:lang w:val="sr-Latn-BA"/>
              </w:rPr>
              <w:t>Investiciona</w:t>
            </w:r>
            <w:r w:rsidRPr="001B53A8">
              <w:rPr>
                <w:sz w:val="20"/>
                <w:szCs w:val="20"/>
                <w:lang w:val="sr-Latn-BA"/>
              </w:rPr>
              <w:t xml:space="preserve"> </w:t>
            </w:r>
            <w:r w:rsidR="00003F34" w:rsidRPr="001B53A8">
              <w:rPr>
                <w:sz w:val="20"/>
                <w:szCs w:val="20"/>
                <w:lang w:val="sr-Latn-BA"/>
              </w:rPr>
              <w:t>konferenciji</w:t>
            </w:r>
            <w:r w:rsidRPr="001B53A8">
              <w:rPr>
                <w:sz w:val="20"/>
                <w:szCs w:val="20"/>
                <w:lang w:val="sr-Latn-BA"/>
              </w:rPr>
              <w:t xml:space="preserve"> </w:t>
            </w:r>
            <w:r w:rsidR="00003F34" w:rsidRPr="001B53A8">
              <w:rPr>
                <w:sz w:val="20"/>
                <w:szCs w:val="20"/>
                <w:lang w:val="sr-Latn-BA"/>
              </w:rPr>
              <w:t>IRB</w:t>
            </w:r>
            <w:r w:rsidRPr="001B53A8">
              <w:rPr>
                <w:sz w:val="20"/>
                <w:szCs w:val="20"/>
                <w:lang w:val="sr-Latn-BA"/>
              </w:rPr>
              <w:t xml:space="preserve"> </w:t>
            </w:r>
            <w:r w:rsidR="00003F34" w:rsidRPr="001B53A8">
              <w:rPr>
                <w:sz w:val="20"/>
                <w:szCs w:val="20"/>
                <w:lang w:val="sr-Latn-BA"/>
              </w:rPr>
              <w:t>RS</w:t>
            </w:r>
            <w:r w:rsidRPr="001B53A8">
              <w:rPr>
                <w:sz w:val="20"/>
                <w:szCs w:val="20"/>
                <w:lang w:val="sr-Latn-BA"/>
              </w:rPr>
              <w:t xml:space="preserve"> „</w:t>
            </w:r>
            <w:r w:rsidR="00003F34" w:rsidRPr="001B53A8">
              <w:rPr>
                <w:sz w:val="20"/>
                <w:szCs w:val="20"/>
                <w:lang w:val="sr-Latn-BA"/>
              </w:rPr>
              <w:t>Invest</w:t>
            </w:r>
            <w:r w:rsidRPr="001B53A8">
              <w:rPr>
                <w:sz w:val="20"/>
                <w:szCs w:val="20"/>
                <w:lang w:val="sr-Latn-BA"/>
              </w:rPr>
              <w:t xml:space="preserve"> </w:t>
            </w:r>
            <w:r w:rsidR="00003F34" w:rsidRPr="001B53A8">
              <w:rPr>
                <w:sz w:val="20"/>
                <w:szCs w:val="20"/>
                <w:lang w:val="sr-Latn-BA"/>
              </w:rPr>
              <w:t>Srpska</w:t>
            </w:r>
            <w:r w:rsidRPr="001B53A8">
              <w:rPr>
                <w:sz w:val="20"/>
                <w:szCs w:val="20"/>
                <w:lang w:val="sr-Latn-BA"/>
              </w:rPr>
              <w:t xml:space="preserve"> 2023“</w:t>
            </w:r>
          </w:p>
        </w:tc>
        <w:tc>
          <w:tcPr>
            <w:tcW w:w="3603" w:type="dxa"/>
          </w:tcPr>
          <w:p w14:paraId="57A88018" w14:textId="00FCB65D" w:rsidR="00875596" w:rsidRPr="001B53A8" w:rsidRDefault="00003F34"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Investicije</w:t>
            </w:r>
            <w:r w:rsidR="00875596" w:rsidRPr="001B53A8">
              <w:rPr>
                <w:sz w:val="20"/>
                <w:szCs w:val="20"/>
                <w:lang w:val="sr-Latn-BA"/>
              </w:rPr>
              <w:t xml:space="preserve"> </w:t>
            </w:r>
            <w:r w:rsidRPr="001B53A8">
              <w:rPr>
                <w:sz w:val="20"/>
                <w:szCs w:val="20"/>
                <w:lang w:val="sr-Latn-BA"/>
              </w:rPr>
              <w:t>i</w:t>
            </w:r>
            <w:r w:rsidR="00875596" w:rsidRPr="001B53A8">
              <w:rPr>
                <w:sz w:val="20"/>
                <w:szCs w:val="20"/>
                <w:lang w:val="sr-Latn-BA"/>
              </w:rPr>
              <w:t xml:space="preserve"> </w:t>
            </w:r>
            <w:r w:rsidRPr="001B53A8">
              <w:rPr>
                <w:sz w:val="20"/>
                <w:szCs w:val="20"/>
                <w:lang w:val="sr-Latn-BA"/>
              </w:rPr>
              <w:t>kako</w:t>
            </w:r>
            <w:r w:rsidR="00875596" w:rsidRPr="001B53A8">
              <w:rPr>
                <w:sz w:val="20"/>
                <w:szCs w:val="20"/>
                <w:lang w:val="sr-Latn-BA"/>
              </w:rPr>
              <w:t xml:space="preserve"> </w:t>
            </w:r>
            <w:r w:rsidRPr="001B53A8">
              <w:rPr>
                <w:sz w:val="20"/>
                <w:szCs w:val="20"/>
                <w:lang w:val="sr-Latn-BA"/>
              </w:rPr>
              <w:t>do</w:t>
            </w:r>
            <w:r w:rsidR="00875596" w:rsidRPr="001B53A8">
              <w:rPr>
                <w:sz w:val="20"/>
                <w:szCs w:val="20"/>
                <w:lang w:val="sr-Latn-BA"/>
              </w:rPr>
              <w:t xml:space="preserve"> </w:t>
            </w:r>
            <w:r w:rsidRPr="001B53A8">
              <w:rPr>
                <w:sz w:val="20"/>
                <w:szCs w:val="20"/>
                <w:lang w:val="sr-Latn-BA"/>
              </w:rPr>
              <w:t>novih</w:t>
            </w:r>
            <w:r w:rsidR="00875596" w:rsidRPr="001B53A8">
              <w:rPr>
                <w:sz w:val="20"/>
                <w:szCs w:val="20"/>
                <w:lang w:val="sr-Latn-BA"/>
              </w:rPr>
              <w:t xml:space="preserve"> </w:t>
            </w:r>
            <w:r w:rsidRPr="001B53A8">
              <w:rPr>
                <w:sz w:val="20"/>
                <w:szCs w:val="20"/>
                <w:lang w:val="sr-Latn-BA"/>
              </w:rPr>
              <w:t>investitora</w:t>
            </w:r>
          </w:p>
          <w:p w14:paraId="764708A9" w14:textId="056E76D8" w:rsidR="00875596" w:rsidRPr="001B53A8" w:rsidRDefault="00003F34"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Izazovi</w:t>
            </w:r>
            <w:r w:rsidR="00875596" w:rsidRPr="001B53A8">
              <w:rPr>
                <w:sz w:val="20"/>
                <w:szCs w:val="20"/>
                <w:lang w:val="sr-Latn-BA"/>
              </w:rPr>
              <w:t xml:space="preserve"> </w:t>
            </w:r>
            <w:r w:rsidRPr="001B53A8">
              <w:rPr>
                <w:sz w:val="20"/>
                <w:szCs w:val="20"/>
                <w:lang w:val="sr-Latn-BA"/>
              </w:rPr>
              <w:t>i</w:t>
            </w:r>
            <w:r w:rsidR="00875596" w:rsidRPr="001B53A8">
              <w:rPr>
                <w:sz w:val="20"/>
                <w:szCs w:val="20"/>
                <w:lang w:val="sr-Latn-BA"/>
              </w:rPr>
              <w:t xml:space="preserve"> </w:t>
            </w:r>
            <w:r w:rsidRPr="001B53A8">
              <w:rPr>
                <w:sz w:val="20"/>
                <w:szCs w:val="20"/>
                <w:lang w:val="sr-Latn-BA"/>
              </w:rPr>
              <w:t>potrebe</w:t>
            </w:r>
            <w:r w:rsidR="00875596" w:rsidRPr="001B53A8">
              <w:rPr>
                <w:sz w:val="20"/>
                <w:szCs w:val="20"/>
                <w:lang w:val="sr-Latn-BA"/>
              </w:rPr>
              <w:t xml:space="preserve"> </w:t>
            </w:r>
            <w:r w:rsidRPr="001B53A8">
              <w:rPr>
                <w:sz w:val="20"/>
                <w:szCs w:val="20"/>
                <w:lang w:val="sr-Latn-BA"/>
              </w:rPr>
              <w:t>finansiranja</w:t>
            </w:r>
            <w:r w:rsidR="00875596" w:rsidRPr="001B53A8">
              <w:rPr>
                <w:sz w:val="20"/>
                <w:szCs w:val="20"/>
                <w:lang w:val="sr-Latn-BA"/>
              </w:rPr>
              <w:t xml:space="preserve"> </w:t>
            </w:r>
            <w:r w:rsidRPr="001B53A8">
              <w:rPr>
                <w:sz w:val="20"/>
                <w:szCs w:val="20"/>
                <w:lang w:val="sr-Latn-BA"/>
              </w:rPr>
              <w:t>izvoza</w:t>
            </w:r>
          </w:p>
          <w:p w14:paraId="1E242379" w14:textId="0B34D3B7" w:rsidR="00875596" w:rsidRPr="001B53A8" w:rsidRDefault="00003F34"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Lokalne</w:t>
            </w:r>
            <w:r w:rsidR="00875596" w:rsidRPr="001B53A8">
              <w:rPr>
                <w:sz w:val="20"/>
                <w:szCs w:val="20"/>
                <w:lang w:val="sr-Latn-BA"/>
              </w:rPr>
              <w:t xml:space="preserve"> </w:t>
            </w:r>
            <w:r w:rsidRPr="001B53A8">
              <w:rPr>
                <w:sz w:val="20"/>
                <w:szCs w:val="20"/>
                <w:lang w:val="sr-Latn-BA"/>
              </w:rPr>
              <w:t>zajednice</w:t>
            </w:r>
            <w:r w:rsidR="00875596" w:rsidRPr="001B53A8">
              <w:rPr>
                <w:sz w:val="20"/>
                <w:szCs w:val="20"/>
                <w:lang w:val="sr-Latn-BA"/>
              </w:rPr>
              <w:t xml:space="preserve"> – </w:t>
            </w:r>
            <w:r w:rsidRPr="001B53A8">
              <w:rPr>
                <w:sz w:val="20"/>
                <w:szCs w:val="20"/>
                <w:lang w:val="sr-Latn-BA"/>
              </w:rPr>
              <w:t>pravo</w:t>
            </w:r>
            <w:r w:rsidR="00875596" w:rsidRPr="001B53A8">
              <w:rPr>
                <w:sz w:val="20"/>
                <w:szCs w:val="20"/>
                <w:lang w:val="sr-Latn-BA"/>
              </w:rPr>
              <w:t xml:space="preserve"> </w:t>
            </w:r>
            <w:r w:rsidRPr="001B53A8">
              <w:rPr>
                <w:sz w:val="20"/>
                <w:szCs w:val="20"/>
                <w:lang w:val="sr-Latn-BA"/>
              </w:rPr>
              <w:t>mjesto</w:t>
            </w:r>
            <w:r w:rsidR="00875596" w:rsidRPr="001B53A8">
              <w:rPr>
                <w:sz w:val="20"/>
                <w:szCs w:val="20"/>
                <w:lang w:val="sr-Latn-BA"/>
              </w:rPr>
              <w:t xml:space="preserve"> </w:t>
            </w:r>
            <w:r w:rsidRPr="001B53A8">
              <w:rPr>
                <w:sz w:val="20"/>
                <w:szCs w:val="20"/>
                <w:lang w:val="sr-Latn-BA"/>
              </w:rPr>
              <w:t>za</w:t>
            </w:r>
            <w:r w:rsidR="00875596" w:rsidRPr="001B53A8">
              <w:rPr>
                <w:sz w:val="20"/>
                <w:szCs w:val="20"/>
                <w:lang w:val="sr-Latn-BA"/>
              </w:rPr>
              <w:t xml:space="preserve"> </w:t>
            </w:r>
            <w:r w:rsidRPr="001B53A8">
              <w:rPr>
                <w:sz w:val="20"/>
                <w:szCs w:val="20"/>
                <w:lang w:val="sr-Latn-BA"/>
              </w:rPr>
              <w:t>ulaganje</w:t>
            </w:r>
          </w:p>
          <w:p w14:paraId="6B7197F8" w14:textId="2CD12169" w:rsidR="00875596" w:rsidRPr="001B53A8" w:rsidRDefault="00003F34"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Komparativne</w:t>
            </w:r>
            <w:r w:rsidR="00875596" w:rsidRPr="001B53A8">
              <w:rPr>
                <w:sz w:val="20"/>
                <w:szCs w:val="20"/>
                <w:lang w:val="sr-Latn-BA"/>
              </w:rPr>
              <w:t xml:space="preserve"> </w:t>
            </w:r>
            <w:r w:rsidRPr="001B53A8">
              <w:rPr>
                <w:sz w:val="20"/>
                <w:szCs w:val="20"/>
                <w:lang w:val="sr-Latn-BA"/>
              </w:rPr>
              <w:t>prednosti</w:t>
            </w:r>
            <w:r w:rsidR="00875596" w:rsidRPr="001B53A8">
              <w:rPr>
                <w:sz w:val="20"/>
                <w:szCs w:val="20"/>
                <w:lang w:val="sr-Latn-BA"/>
              </w:rPr>
              <w:t xml:space="preserve"> </w:t>
            </w:r>
            <w:r w:rsidRPr="001B53A8">
              <w:rPr>
                <w:sz w:val="20"/>
                <w:szCs w:val="20"/>
                <w:lang w:val="sr-Latn-BA"/>
              </w:rPr>
              <w:t>domaćeg</w:t>
            </w:r>
            <w:r w:rsidR="00875596" w:rsidRPr="001B53A8">
              <w:rPr>
                <w:sz w:val="20"/>
                <w:szCs w:val="20"/>
                <w:lang w:val="sr-Latn-BA"/>
              </w:rPr>
              <w:t xml:space="preserve"> </w:t>
            </w:r>
            <w:r w:rsidRPr="001B53A8">
              <w:rPr>
                <w:sz w:val="20"/>
                <w:szCs w:val="20"/>
                <w:lang w:val="sr-Latn-BA"/>
              </w:rPr>
              <w:t>izvoza</w:t>
            </w:r>
          </w:p>
        </w:tc>
        <w:tc>
          <w:tcPr>
            <w:tcW w:w="1418" w:type="dxa"/>
          </w:tcPr>
          <w:p w14:paraId="7FDFFC14" w14:textId="1E65A624" w:rsidR="00875596" w:rsidRPr="001B53A8" w:rsidRDefault="00003F34"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20"/>
                <w:szCs w:val="20"/>
                <w:lang w:val="sr-Latn-BA"/>
              </w:rPr>
            </w:pPr>
            <w:r w:rsidRPr="001B53A8">
              <w:rPr>
                <w:bCs/>
                <w:w w:val="107"/>
                <w:sz w:val="20"/>
                <w:szCs w:val="20"/>
                <w:lang w:val="sr-Latn-BA"/>
              </w:rPr>
              <w:t>IRB</w:t>
            </w:r>
            <w:r w:rsidR="00875596" w:rsidRPr="001B53A8">
              <w:rPr>
                <w:bCs/>
                <w:w w:val="107"/>
                <w:sz w:val="20"/>
                <w:szCs w:val="20"/>
                <w:lang w:val="sr-Latn-BA"/>
              </w:rPr>
              <w:t xml:space="preserve"> </w:t>
            </w:r>
            <w:r w:rsidRPr="001B53A8">
              <w:rPr>
                <w:bCs/>
                <w:w w:val="107"/>
                <w:sz w:val="20"/>
                <w:szCs w:val="20"/>
                <w:lang w:val="sr-Latn-BA"/>
              </w:rPr>
              <w:t>RS</w:t>
            </w:r>
          </w:p>
        </w:tc>
        <w:tc>
          <w:tcPr>
            <w:tcW w:w="2203" w:type="dxa"/>
          </w:tcPr>
          <w:p w14:paraId="4ED67630" w14:textId="77777777" w:rsidR="00875596" w:rsidRPr="001B53A8" w:rsidRDefault="00875596" w:rsidP="00875596">
            <w:pPr>
              <w:spacing w:after="0" w:line="240" w:lineRule="auto"/>
              <w:ind w:firstLine="0"/>
              <w:jc w:val="left"/>
              <w:outlineLvl w:val="0"/>
              <w:cnfStyle w:val="000000010000" w:firstRow="0" w:lastRow="0" w:firstColumn="0" w:lastColumn="0" w:oddVBand="0" w:evenVBand="0" w:oddHBand="0" w:evenHBand="1" w:firstRowFirstColumn="0" w:firstRowLastColumn="0" w:lastRowFirstColumn="0" w:lastRowLastColumn="0"/>
              <w:rPr>
                <w:sz w:val="20"/>
                <w:szCs w:val="20"/>
                <w:lang w:val="sr-Latn-BA"/>
              </w:rPr>
            </w:pPr>
          </w:p>
        </w:tc>
      </w:tr>
      <w:tr w:rsidR="00875596" w:rsidRPr="001B53A8" w14:paraId="11668308" w14:textId="77777777" w:rsidTr="00875596">
        <w:trPr>
          <w:cnfStyle w:val="000000100000" w:firstRow="0" w:lastRow="0" w:firstColumn="0" w:lastColumn="0" w:oddVBand="0" w:evenVBand="0" w:oddHBand="1" w:evenHBand="0" w:firstRowFirstColumn="0" w:firstRowLastColumn="0" w:lastRowFirstColumn="0" w:lastRowLastColumn="0"/>
          <w:trHeight w:val="143"/>
          <w:jc w:val="center"/>
        </w:trPr>
        <w:tc>
          <w:tcPr>
            <w:cnfStyle w:val="001000000000" w:firstRow="0" w:lastRow="0" w:firstColumn="1" w:lastColumn="0" w:oddVBand="0" w:evenVBand="0" w:oddHBand="0" w:evenHBand="0" w:firstRowFirstColumn="0" w:firstRowLastColumn="0" w:lastRowFirstColumn="0" w:lastRowLastColumn="0"/>
            <w:tcW w:w="478" w:type="dxa"/>
          </w:tcPr>
          <w:p w14:paraId="31AD0D04" w14:textId="77777777" w:rsidR="00875596" w:rsidRPr="001B53A8" w:rsidRDefault="00875596" w:rsidP="00875596">
            <w:pPr>
              <w:spacing w:after="0" w:line="240" w:lineRule="auto"/>
              <w:ind w:firstLine="0"/>
              <w:rPr>
                <w:rFonts w:ascii="Times New Roman" w:hAnsi="Times New Roman" w:cs="Times New Roman"/>
                <w:sz w:val="20"/>
                <w:szCs w:val="20"/>
                <w:lang w:val="sr-Latn-BA"/>
              </w:rPr>
            </w:pPr>
            <w:bookmarkStart w:id="90" w:name="_Hlk152054030"/>
            <w:r w:rsidRPr="001B53A8">
              <w:rPr>
                <w:rFonts w:ascii="Times New Roman" w:hAnsi="Times New Roman" w:cs="Times New Roman"/>
                <w:sz w:val="20"/>
                <w:szCs w:val="20"/>
                <w:lang w:val="sr-Latn-BA"/>
              </w:rPr>
              <w:t>15.</w:t>
            </w:r>
          </w:p>
        </w:tc>
        <w:tc>
          <w:tcPr>
            <w:tcW w:w="2211" w:type="dxa"/>
          </w:tcPr>
          <w:p w14:paraId="56D9253F" w14:textId="3CC0F1E2" w:rsidR="00875596" w:rsidRPr="001B53A8" w:rsidRDefault="00003F34"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Hotel</w:t>
            </w:r>
            <w:r w:rsidR="00875596" w:rsidRPr="001B53A8">
              <w:rPr>
                <w:sz w:val="20"/>
                <w:szCs w:val="20"/>
                <w:lang w:val="sr-Latn-BA"/>
              </w:rPr>
              <w:t xml:space="preserve"> Courtyard by Marriott </w:t>
            </w:r>
            <w:r w:rsidRPr="001B53A8">
              <w:rPr>
                <w:sz w:val="20"/>
                <w:szCs w:val="20"/>
                <w:lang w:val="sr-Latn-BA"/>
              </w:rPr>
              <w:t>u</w:t>
            </w:r>
            <w:r w:rsidR="00875596" w:rsidRPr="001B53A8">
              <w:rPr>
                <w:sz w:val="20"/>
                <w:szCs w:val="20"/>
                <w:lang w:val="sr-Latn-BA"/>
              </w:rPr>
              <w:t xml:space="preserve"> </w:t>
            </w:r>
            <w:r w:rsidRPr="001B53A8">
              <w:rPr>
                <w:sz w:val="20"/>
                <w:szCs w:val="20"/>
                <w:lang w:val="sr-Latn-BA"/>
              </w:rPr>
              <w:t>Banjaluci</w:t>
            </w:r>
            <w:r w:rsidR="00875596" w:rsidRPr="001B53A8">
              <w:rPr>
                <w:sz w:val="20"/>
                <w:szCs w:val="20"/>
                <w:lang w:val="sr-Latn-BA"/>
              </w:rPr>
              <w:t xml:space="preserve">, </w:t>
            </w:r>
            <w:r w:rsidRPr="001B53A8">
              <w:rPr>
                <w:sz w:val="20"/>
                <w:szCs w:val="20"/>
                <w:lang w:val="sr-Latn-BA"/>
              </w:rPr>
              <w:t>u</w:t>
            </w:r>
            <w:r w:rsidR="00875596" w:rsidRPr="001B53A8">
              <w:rPr>
                <w:sz w:val="20"/>
                <w:szCs w:val="20"/>
                <w:lang w:val="sr-Latn-BA"/>
              </w:rPr>
              <w:t xml:space="preserve"> </w:t>
            </w:r>
            <w:r w:rsidRPr="001B53A8">
              <w:rPr>
                <w:sz w:val="20"/>
                <w:szCs w:val="20"/>
                <w:lang w:val="sr-Latn-BA"/>
              </w:rPr>
              <w:t>ponedjelјak</w:t>
            </w:r>
            <w:r w:rsidR="00875596" w:rsidRPr="001B53A8">
              <w:rPr>
                <w:sz w:val="20"/>
                <w:szCs w:val="20"/>
                <w:lang w:val="sr-Latn-BA"/>
              </w:rPr>
              <w:t xml:space="preserve"> 27. </w:t>
            </w:r>
            <w:r w:rsidRPr="001B53A8">
              <w:rPr>
                <w:sz w:val="20"/>
                <w:szCs w:val="20"/>
                <w:lang w:val="sr-Latn-BA"/>
              </w:rPr>
              <w:t>novembra</w:t>
            </w:r>
            <w:r w:rsidR="00875596" w:rsidRPr="001B53A8">
              <w:rPr>
                <w:sz w:val="20"/>
                <w:szCs w:val="20"/>
                <w:lang w:val="sr-Latn-BA"/>
              </w:rPr>
              <w:t xml:space="preserve"> 2023. </w:t>
            </w:r>
            <w:r w:rsidRPr="001B53A8">
              <w:rPr>
                <w:sz w:val="20"/>
                <w:szCs w:val="20"/>
                <w:lang w:val="sr-Latn-BA"/>
              </w:rPr>
              <w:t>godine</w:t>
            </w:r>
            <w:r w:rsidR="00875596" w:rsidRPr="001B53A8">
              <w:rPr>
                <w:sz w:val="20"/>
                <w:szCs w:val="20"/>
                <w:lang w:val="sr-Latn-BA"/>
              </w:rPr>
              <w:t xml:space="preserve"> </w:t>
            </w:r>
            <w:r w:rsidRPr="001B53A8">
              <w:rPr>
                <w:sz w:val="20"/>
                <w:szCs w:val="20"/>
                <w:lang w:val="sr-Latn-BA"/>
              </w:rPr>
              <w:t>u</w:t>
            </w:r>
            <w:r w:rsidR="00875596" w:rsidRPr="001B53A8">
              <w:rPr>
                <w:sz w:val="20"/>
                <w:szCs w:val="20"/>
                <w:lang w:val="sr-Latn-BA"/>
              </w:rPr>
              <w:t xml:space="preserve"> 12 </w:t>
            </w:r>
            <w:r w:rsidRPr="001B53A8">
              <w:rPr>
                <w:sz w:val="20"/>
                <w:szCs w:val="20"/>
                <w:lang w:val="sr-Latn-BA"/>
              </w:rPr>
              <w:t>časova</w:t>
            </w:r>
          </w:p>
        </w:tc>
        <w:tc>
          <w:tcPr>
            <w:tcW w:w="3603" w:type="dxa"/>
          </w:tcPr>
          <w:p w14:paraId="6376D713" w14:textId="6159C397" w:rsidR="00875596" w:rsidRPr="001B53A8" w:rsidRDefault="00003F34" w:rsidP="00875596">
            <w:pPr>
              <w:keepNext/>
              <w:keepLine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Statistika</w:t>
            </w:r>
            <w:r w:rsidR="00875596" w:rsidRPr="001B53A8">
              <w:rPr>
                <w:sz w:val="20"/>
                <w:szCs w:val="20"/>
                <w:lang w:val="sr-Latn-BA"/>
              </w:rPr>
              <w:t xml:space="preserve"> </w:t>
            </w:r>
            <w:r w:rsidRPr="001B53A8">
              <w:rPr>
                <w:sz w:val="20"/>
                <w:szCs w:val="20"/>
                <w:lang w:val="sr-Latn-BA"/>
              </w:rPr>
              <w:t>novog</w:t>
            </w:r>
            <w:r w:rsidR="00875596" w:rsidRPr="001B53A8">
              <w:rPr>
                <w:sz w:val="20"/>
                <w:szCs w:val="20"/>
                <w:lang w:val="sr-Latn-BA"/>
              </w:rPr>
              <w:t xml:space="preserve"> </w:t>
            </w:r>
            <w:r w:rsidRPr="001B53A8">
              <w:rPr>
                <w:sz w:val="20"/>
                <w:szCs w:val="20"/>
                <w:lang w:val="sr-Latn-BA"/>
              </w:rPr>
              <w:t>doba</w:t>
            </w:r>
          </w:p>
        </w:tc>
        <w:tc>
          <w:tcPr>
            <w:tcW w:w="1418" w:type="dxa"/>
          </w:tcPr>
          <w:p w14:paraId="6125D109" w14:textId="469C7906"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w w:val="107"/>
                <w:sz w:val="20"/>
                <w:szCs w:val="20"/>
                <w:lang w:val="sr-Latn-BA"/>
              </w:rPr>
            </w:pPr>
            <w:r w:rsidRPr="001B53A8">
              <w:rPr>
                <w:bCs/>
                <w:w w:val="107"/>
                <w:sz w:val="20"/>
                <w:szCs w:val="20"/>
                <w:lang w:val="sr-Latn-BA"/>
              </w:rPr>
              <w:t>Republički</w:t>
            </w:r>
            <w:r w:rsidR="00875596" w:rsidRPr="001B53A8">
              <w:rPr>
                <w:bCs/>
                <w:w w:val="107"/>
                <w:sz w:val="20"/>
                <w:szCs w:val="20"/>
                <w:lang w:val="sr-Latn-BA"/>
              </w:rPr>
              <w:t xml:space="preserve"> </w:t>
            </w:r>
            <w:r w:rsidRPr="001B53A8">
              <w:rPr>
                <w:bCs/>
                <w:w w:val="107"/>
                <w:sz w:val="20"/>
                <w:szCs w:val="20"/>
                <w:lang w:val="sr-Latn-BA"/>
              </w:rPr>
              <w:t>zavod</w:t>
            </w:r>
            <w:r w:rsidR="00875596" w:rsidRPr="001B53A8">
              <w:rPr>
                <w:bCs/>
                <w:w w:val="107"/>
                <w:sz w:val="20"/>
                <w:szCs w:val="20"/>
                <w:lang w:val="sr-Latn-BA"/>
              </w:rPr>
              <w:t xml:space="preserve"> </w:t>
            </w:r>
            <w:r w:rsidRPr="001B53A8">
              <w:rPr>
                <w:bCs/>
                <w:w w:val="107"/>
                <w:sz w:val="20"/>
                <w:szCs w:val="20"/>
                <w:lang w:val="sr-Latn-BA"/>
              </w:rPr>
              <w:t>za</w:t>
            </w:r>
            <w:r w:rsidR="00875596" w:rsidRPr="001B53A8">
              <w:rPr>
                <w:bCs/>
                <w:w w:val="107"/>
                <w:sz w:val="20"/>
                <w:szCs w:val="20"/>
                <w:lang w:val="sr-Latn-BA"/>
              </w:rPr>
              <w:t xml:space="preserve"> </w:t>
            </w:r>
            <w:r w:rsidRPr="001B53A8">
              <w:rPr>
                <w:bCs/>
                <w:w w:val="107"/>
                <w:sz w:val="20"/>
                <w:szCs w:val="20"/>
                <w:lang w:val="sr-Latn-BA"/>
              </w:rPr>
              <w:t>statistiku</w:t>
            </w:r>
          </w:p>
        </w:tc>
        <w:tc>
          <w:tcPr>
            <w:tcW w:w="2203" w:type="dxa"/>
          </w:tcPr>
          <w:p w14:paraId="02D13E02" w14:textId="20F8D168" w:rsidR="00875596" w:rsidRPr="001B53A8" w:rsidRDefault="00003F34" w:rsidP="00875596">
            <w:pPr>
              <w:pStyle w:val="ListParagraph"/>
              <w:numPr>
                <w:ilvl w:val="0"/>
                <w:numId w:val="46"/>
              </w:numPr>
              <w:tabs>
                <w:tab w:val="left" w:pos="204"/>
              </w:tabs>
              <w:spacing w:after="0" w:line="240" w:lineRule="auto"/>
              <w:ind w:left="0" w:firstLine="0"/>
              <w:contextualSpacing w:val="0"/>
              <w:jc w:val="left"/>
              <w:outlineLvl w:val="0"/>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Zora</w:t>
            </w:r>
            <w:r w:rsidR="00875596" w:rsidRPr="001B53A8">
              <w:rPr>
                <w:sz w:val="20"/>
                <w:szCs w:val="20"/>
                <w:lang w:val="sr-Latn-BA"/>
              </w:rPr>
              <w:t xml:space="preserve"> </w:t>
            </w:r>
            <w:r w:rsidRPr="001B53A8">
              <w:rPr>
                <w:sz w:val="20"/>
                <w:szCs w:val="20"/>
                <w:lang w:val="sr-Latn-BA"/>
              </w:rPr>
              <w:t>Vidović</w:t>
            </w:r>
          </w:p>
          <w:p w14:paraId="3044903E" w14:textId="32FCFE3B" w:rsidR="00875596" w:rsidRPr="001B53A8" w:rsidRDefault="00003F34" w:rsidP="00875596">
            <w:pPr>
              <w:pStyle w:val="ListParagraph"/>
              <w:numPr>
                <w:ilvl w:val="0"/>
                <w:numId w:val="46"/>
              </w:numPr>
              <w:tabs>
                <w:tab w:val="left" w:pos="204"/>
              </w:tabs>
              <w:spacing w:after="0" w:line="240" w:lineRule="auto"/>
              <w:ind w:left="0" w:firstLine="0"/>
              <w:contextualSpacing w:val="0"/>
              <w:jc w:val="left"/>
              <w:outlineLvl w:val="0"/>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Vesna</w:t>
            </w:r>
            <w:r w:rsidR="00875596" w:rsidRPr="001B53A8">
              <w:rPr>
                <w:sz w:val="20"/>
                <w:szCs w:val="20"/>
                <w:lang w:val="sr-Latn-BA"/>
              </w:rPr>
              <w:t xml:space="preserve"> </w:t>
            </w:r>
            <w:r w:rsidRPr="001B53A8">
              <w:rPr>
                <w:sz w:val="20"/>
                <w:szCs w:val="20"/>
                <w:lang w:val="sr-Latn-BA"/>
              </w:rPr>
              <w:t>Ćužić</w:t>
            </w:r>
          </w:p>
          <w:p w14:paraId="515E793C" w14:textId="2751B379" w:rsidR="00875596" w:rsidRPr="001B53A8" w:rsidRDefault="00003F34" w:rsidP="00875596">
            <w:pPr>
              <w:pStyle w:val="ListParagraph"/>
              <w:numPr>
                <w:ilvl w:val="0"/>
                <w:numId w:val="46"/>
              </w:numPr>
              <w:tabs>
                <w:tab w:val="left" w:pos="204"/>
              </w:tabs>
              <w:spacing w:after="0" w:line="240" w:lineRule="auto"/>
              <w:ind w:left="0" w:firstLine="0"/>
              <w:contextualSpacing w:val="0"/>
              <w:jc w:val="left"/>
              <w:outlineLvl w:val="0"/>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Branko</w:t>
            </w:r>
            <w:r w:rsidR="00875596" w:rsidRPr="001B53A8">
              <w:rPr>
                <w:sz w:val="20"/>
                <w:szCs w:val="20"/>
                <w:lang w:val="sr-Latn-BA"/>
              </w:rPr>
              <w:t xml:space="preserve"> </w:t>
            </w:r>
            <w:r w:rsidRPr="001B53A8">
              <w:rPr>
                <w:sz w:val="20"/>
                <w:szCs w:val="20"/>
                <w:lang w:val="sr-Latn-BA"/>
              </w:rPr>
              <w:t>Josipović</w:t>
            </w:r>
          </w:p>
          <w:p w14:paraId="305DD40E" w14:textId="46F077D9" w:rsidR="00875596" w:rsidRPr="001B53A8" w:rsidRDefault="00003F34" w:rsidP="00875596">
            <w:pPr>
              <w:pStyle w:val="ListParagraph"/>
              <w:numPr>
                <w:ilvl w:val="0"/>
                <w:numId w:val="46"/>
              </w:numPr>
              <w:tabs>
                <w:tab w:val="left" w:pos="204"/>
              </w:tabs>
              <w:spacing w:after="0" w:line="240" w:lineRule="auto"/>
              <w:ind w:left="0" w:firstLine="0"/>
              <w:contextualSpacing w:val="0"/>
              <w:jc w:val="left"/>
              <w:outlineLvl w:val="0"/>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sz w:val="20"/>
                <w:szCs w:val="20"/>
                <w:lang w:val="sr-Latn-BA"/>
              </w:rPr>
              <w:t>Jasmin</w:t>
            </w:r>
            <w:r w:rsidR="00875596" w:rsidRPr="001B53A8">
              <w:rPr>
                <w:sz w:val="20"/>
                <w:szCs w:val="20"/>
                <w:lang w:val="sr-Latn-BA"/>
              </w:rPr>
              <w:t xml:space="preserve"> </w:t>
            </w:r>
            <w:r w:rsidRPr="001B53A8">
              <w:rPr>
                <w:sz w:val="20"/>
                <w:szCs w:val="20"/>
                <w:lang w:val="sr-Latn-BA"/>
              </w:rPr>
              <w:t>Komić</w:t>
            </w:r>
          </w:p>
          <w:p w14:paraId="1A9CEE16" w14:textId="77777777" w:rsidR="00875596" w:rsidRPr="001B53A8" w:rsidRDefault="00875596" w:rsidP="00875596">
            <w:pPr>
              <w:spacing w:after="0" w:line="240" w:lineRule="auto"/>
              <w:ind w:firstLine="0"/>
              <w:jc w:val="left"/>
              <w:outlineLvl w:val="0"/>
              <w:cnfStyle w:val="000000100000" w:firstRow="0" w:lastRow="0" w:firstColumn="0" w:lastColumn="0" w:oddVBand="0" w:evenVBand="0" w:oddHBand="1" w:evenHBand="0" w:firstRowFirstColumn="0" w:firstRowLastColumn="0" w:lastRowFirstColumn="0" w:lastRowLastColumn="0"/>
              <w:rPr>
                <w:sz w:val="20"/>
                <w:szCs w:val="20"/>
                <w:lang w:val="sr-Latn-BA"/>
              </w:rPr>
            </w:pPr>
          </w:p>
        </w:tc>
      </w:tr>
      <w:tr w:rsidR="00875596" w:rsidRPr="001B53A8" w14:paraId="1C69708F" w14:textId="77777777" w:rsidTr="00A47DF9">
        <w:trPr>
          <w:cnfStyle w:val="000000010000" w:firstRow="0" w:lastRow="0" w:firstColumn="0" w:lastColumn="0" w:oddVBand="0" w:evenVBand="0" w:oddHBand="0" w:evenHBand="1" w:firstRowFirstColumn="0" w:firstRowLastColumn="0" w:lastRowFirstColumn="0" w:lastRowLastColumn="0"/>
          <w:trHeight w:val="1627"/>
          <w:jc w:val="center"/>
        </w:trPr>
        <w:tc>
          <w:tcPr>
            <w:cnfStyle w:val="001000000000" w:firstRow="0" w:lastRow="0" w:firstColumn="1" w:lastColumn="0" w:oddVBand="0" w:evenVBand="0" w:oddHBand="0" w:evenHBand="0" w:firstRowFirstColumn="0" w:firstRowLastColumn="0" w:lastRowFirstColumn="0" w:lastRowLastColumn="0"/>
            <w:tcW w:w="478" w:type="dxa"/>
          </w:tcPr>
          <w:p w14:paraId="24BD96DC" w14:textId="77777777" w:rsidR="00875596" w:rsidRPr="001B53A8" w:rsidRDefault="00875596" w:rsidP="00875596">
            <w:pPr>
              <w:spacing w:after="0" w:line="240" w:lineRule="auto"/>
              <w:ind w:firstLine="0"/>
              <w:rPr>
                <w:rFonts w:ascii="Times New Roman" w:hAnsi="Times New Roman" w:cs="Times New Roman"/>
                <w:sz w:val="20"/>
                <w:szCs w:val="20"/>
                <w:lang w:val="sr-Latn-BA"/>
              </w:rPr>
            </w:pPr>
            <w:r w:rsidRPr="001B53A8">
              <w:rPr>
                <w:rFonts w:ascii="Times New Roman" w:hAnsi="Times New Roman" w:cs="Times New Roman"/>
                <w:sz w:val="20"/>
                <w:szCs w:val="20"/>
                <w:lang w:val="sr-Latn-BA"/>
              </w:rPr>
              <w:t>16.</w:t>
            </w:r>
          </w:p>
        </w:tc>
        <w:tc>
          <w:tcPr>
            <w:tcW w:w="2211" w:type="dxa"/>
          </w:tcPr>
          <w:p w14:paraId="18513E4E" w14:textId="14DDBAE9" w:rsidR="00875596" w:rsidRPr="001B53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 xml:space="preserve">CEO SUMMIT </w:t>
            </w:r>
            <w:r w:rsidR="00003F34" w:rsidRPr="001B53A8">
              <w:rPr>
                <w:sz w:val="20"/>
                <w:szCs w:val="20"/>
                <w:lang w:val="sr-Latn-BA"/>
              </w:rPr>
              <w:t>BEOGRAD</w:t>
            </w:r>
          </w:p>
          <w:p w14:paraId="7FCFFBA4" w14:textId="11975AA1" w:rsidR="00875596" w:rsidRPr="001B53A8" w:rsidRDefault="00875596"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01.</w:t>
            </w:r>
            <w:r w:rsidR="00003F34" w:rsidRPr="001B53A8">
              <w:rPr>
                <w:sz w:val="20"/>
                <w:szCs w:val="20"/>
                <w:lang w:val="sr-Latn-BA"/>
              </w:rPr>
              <w:t>decembar</w:t>
            </w:r>
            <w:r w:rsidRPr="001B53A8">
              <w:rPr>
                <w:sz w:val="20"/>
                <w:szCs w:val="20"/>
                <w:lang w:val="sr-Latn-BA"/>
              </w:rPr>
              <w:t xml:space="preserve"> 2023.</w:t>
            </w:r>
            <w:r w:rsidR="00003F34" w:rsidRPr="001B53A8">
              <w:rPr>
                <w:sz w:val="20"/>
                <w:szCs w:val="20"/>
                <w:lang w:val="sr-Latn-BA"/>
              </w:rPr>
              <w:t>godine</w:t>
            </w:r>
            <w:r w:rsidRPr="001B53A8">
              <w:rPr>
                <w:sz w:val="20"/>
                <w:szCs w:val="20"/>
                <w:lang w:val="sr-Latn-BA"/>
              </w:rPr>
              <w:t xml:space="preserve"> </w:t>
            </w:r>
          </w:p>
          <w:p w14:paraId="68F5C374" w14:textId="3EC2FC5D" w:rsidR="00875596" w:rsidRPr="001B53A8" w:rsidRDefault="00003F34" w:rsidP="00875596">
            <w:pPr>
              <w:pStyle w:val="NoSpacing"/>
              <w:spacing w:after="0" w:line="240" w:lineRule="auto"/>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Sava</w:t>
            </w:r>
            <w:r w:rsidR="00875596" w:rsidRPr="001B53A8">
              <w:rPr>
                <w:sz w:val="20"/>
                <w:szCs w:val="20"/>
                <w:lang w:val="sr-Latn-BA"/>
              </w:rPr>
              <w:t xml:space="preserve"> </w:t>
            </w:r>
            <w:r w:rsidRPr="001B53A8">
              <w:rPr>
                <w:sz w:val="20"/>
                <w:szCs w:val="20"/>
                <w:lang w:val="sr-Latn-BA"/>
              </w:rPr>
              <w:t>Centar</w:t>
            </w:r>
          </w:p>
        </w:tc>
        <w:tc>
          <w:tcPr>
            <w:tcW w:w="3603" w:type="dxa"/>
          </w:tcPr>
          <w:p w14:paraId="3758232A" w14:textId="76BC4D5A" w:rsidR="00875596" w:rsidRPr="001B53A8" w:rsidRDefault="00003F34" w:rsidP="00875596">
            <w:pPr>
              <w:keepNext/>
              <w:keepLines/>
              <w:spacing w:after="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Samit</w:t>
            </w:r>
            <w:r w:rsidR="00875596" w:rsidRPr="001B53A8">
              <w:rPr>
                <w:sz w:val="20"/>
                <w:szCs w:val="20"/>
                <w:lang w:val="sr-Latn-BA"/>
              </w:rPr>
              <w:t xml:space="preserve"> </w:t>
            </w:r>
            <w:r w:rsidRPr="001B53A8">
              <w:rPr>
                <w:sz w:val="20"/>
                <w:szCs w:val="20"/>
                <w:lang w:val="sr-Latn-BA"/>
              </w:rPr>
              <w:t>privrednih</w:t>
            </w:r>
            <w:r w:rsidR="00875596" w:rsidRPr="001B53A8">
              <w:rPr>
                <w:sz w:val="20"/>
                <w:szCs w:val="20"/>
                <w:lang w:val="sr-Latn-BA"/>
              </w:rPr>
              <w:t xml:space="preserve"> </w:t>
            </w:r>
            <w:r w:rsidRPr="001B53A8">
              <w:rPr>
                <w:sz w:val="20"/>
                <w:szCs w:val="20"/>
                <w:lang w:val="sr-Latn-BA"/>
              </w:rPr>
              <w:t>lidera</w:t>
            </w:r>
          </w:p>
        </w:tc>
        <w:tc>
          <w:tcPr>
            <w:tcW w:w="1418" w:type="dxa"/>
          </w:tcPr>
          <w:p w14:paraId="4B49DCEC" w14:textId="77777777" w:rsidR="00875596" w:rsidRPr="001B53A8" w:rsidRDefault="00875596"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w w:val="107"/>
                <w:sz w:val="20"/>
                <w:szCs w:val="20"/>
                <w:lang w:val="sr-Latn-BA"/>
              </w:rPr>
            </w:pPr>
            <w:r w:rsidRPr="001B53A8">
              <w:rPr>
                <w:bCs/>
                <w:w w:val="107"/>
                <w:sz w:val="20"/>
                <w:szCs w:val="20"/>
                <w:lang w:val="sr-Latn-BA"/>
              </w:rPr>
              <w:t>Bam Consult</w:t>
            </w:r>
          </w:p>
        </w:tc>
        <w:tc>
          <w:tcPr>
            <w:tcW w:w="2203" w:type="dxa"/>
          </w:tcPr>
          <w:p w14:paraId="6BAD1B54" w14:textId="3B82FE8B" w:rsidR="00875596" w:rsidRPr="001B53A8" w:rsidRDefault="00003F34"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Ambasador</w:t>
            </w:r>
            <w:r w:rsidR="00875596" w:rsidRPr="001B53A8">
              <w:rPr>
                <w:sz w:val="20"/>
                <w:szCs w:val="20"/>
                <w:lang w:val="sr-Latn-BA"/>
              </w:rPr>
              <w:t xml:space="preserve"> </w:t>
            </w:r>
            <w:r w:rsidRPr="001B53A8">
              <w:rPr>
                <w:sz w:val="20"/>
                <w:szCs w:val="20"/>
                <w:lang w:val="sr-Latn-BA"/>
              </w:rPr>
              <w:t>SAD</w:t>
            </w:r>
            <w:r w:rsidR="00875596" w:rsidRPr="001B53A8">
              <w:rPr>
                <w:sz w:val="20"/>
                <w:szCs w:val="20"/>
                <w:lang w:val="sr-Latn-BA"/>
              </w:rPr>
              <w:t xml:space="preserve"> N</w:t>
            </w:r>
            <w:r w:rsidRPr="001B53A8">
              <w:rPr>
                <w:sz w:val="20"/>
                <w:szCs w:val="20"/>
                <w:lang w:val="sr-Latn-BA"/>
              </w:rPr>
              <w:t>j</w:t>
            </w:r>
            <w:r w:rsidR="00875596" w:rsidRPr="001B53A8">
              <w:rPr>
                <w:sz w:val="20"/>
                <w:szCs w:val="20"/>
                <w:lang w:val="sr-Latn-BA"/>
              </w:rPr>
              <w:t>.E.Kristofer Hil</w:t>
            </w:r>
          </w:p>
          <w:p w14:paraId="6AFE5E4C" w14:textId="47FEB067" w:rsidR="00875596" w:rsidRPr="001B53A8" w:rsidRDefault="00003F34"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Aleksandar</w:t>
            </w:r>
            <w:r w:rsidR="00875596" w:rsidRPr="001B53A8">
              <w:rPr>
                <w:sz w:val="20"/>
                <w:szCs w:val="20"/>
                <w:lang w:val="sr-Latn-BA"/>
              </w:rPr>
              <w:t xml:space="preserve"> </w:t>
            </w:r>
            <w:r w:rsidRPr="001B53A8">
              <w:rPr>
                <w:sz w:val="20"/>
                <w:szCs w:val="20"/>
                <w:lang w:val="sr-Latn-BA"/>
              </w:rPr>
              <w:t>Kostić</w:t>
            </w:r>
          </w:p>
          <w:p w14:paraId="3B748252" w14:textId="22ABD5AE" w:rsidR="00875596" w:rsidRPr="001B53A8" w:rsidRDefault="00003F34"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Miloš</w:t>
            </w:r>
            <w:r w:rsidR="00875596" w:rsidRPr="001B53A8">
              <w:rPr>
                <w:sz w:val="20"/>
                <w:szCs w:val="20"/>
                <w:lang w:val="sr-Latn-BA"/>
              </w:rPr>
              <w:t xml:space="preserve"> </w:t>
            </w:r>
            <w:r w:rsidRPr="001B53A8">
              <w:rPr>
                <w:sz w:val="20"/>
                <w:szCs w:val="20"/>
                <w:lang w:val="sr-Latn-BA"/>
              </w:rPr>
              <w:t>Starović</w:t>
            </w:r>
          </w:p>
          <w:p w14:paraId="7FB84F3D" w14:textId="7AB31DC1" w:rsidR="00875596" w:rsidRPr="001B53A8" w:rsidRDefault="00003F34"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Nikola</w:t>
            </w:r>
            <w:r w:rsidR="00875596" w:rsidRPr="001B53A8">
              <w:rPr>
                <w:sz w:val="20"/>
                <w:szCs w:val="20"/>
                <w:lang w:val="sr-Latn-BA"/>
              </w:rPr>
              <w:t xml:space="preserve"> </w:t>
            </w:r>
            <w:r w:rsidRPr="001B53A8">
              <w:rPr>
                <w:sz w:val="20"/>
                <w:szCs w:val="20"/>
                <w:lang w:val="sr-Latn-BA"/>
              </w:rPr>
              <w:t>Vuletić</w:t>
            </w:r>
          </w:p>
          <w:p w14:paraId="5CC4D3FD" w14:textId="297903CF" w:rsidR="00875596" w:rsidRPr="001B53A8" w:rsidRDefault="00003F34"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Dejan</w:t>
            </w:r>
            <w:r w:rsidR="00875596" w:rsidRPr="001B53A8">
              <w:rPr>
                <w:sz w:val="20"/>
                <w:szCs w:val="20"/>
                <w:lang w:val="sr-Latn-BA"/>
              </w:rPr>
              <w:t xml:space="preserve"> </w:t>
            </w:r>
            <w:r w:rsidRPr="001B53A8">
              <w:rPr>
                <w:sz w:val="20"/>
                <w:szCs w:val="20"/>
                <w:lang w:val="sr-Latn-BA"/>
              </w:rPr>
              <w:t>Bodiroga</w:t>
            </w:r>
          </w:p>
          <w:p w14:paraId="0605826E" w14:textId="3999572F" w:rsidR="00875596" w:rsidRPr="001B53A8" w:rsidRDefault="00003F34" w:rsidP="00875596">
            <w:pPr>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sz w:val="20"/>
                <w:szCs w:val="20"/>
                <w:lang w:val="sr-Latn-BA"/>
              </w:rPr>
            </w:pPr>
            <w:r w:rsidRPr="001B53A8">
              <w:rPr>
                <w:sz w:val="20"/>
                <w:szCs w:val="20"/>
                <w:lang w:val="sr-Latn-BA"/>
              </w:rPr>
              <w:t>Marko</w:t>
            </w:r>
            <w:r w:rsidR="00875596" w:rsidRPr="001B53A8">
              <w:rPr>
                <w:sz w:val="20"/>
                <w:szCs w:val="20"/>
                <w:lang w:val="sr-Latn-BA"/>
              </w:rPr>
              <w:t xml:space="preserve"> </w:t>
            </w:r>
            <w:r w:rsidRPr="001B53A8">
              <w:rPr>
                <w:sz w:val="20"/>
                <w:szCs w:val="20"/>
                <w:lang w:val="sr-Latn-BA"/>
              </w:rPr>
              <w:t>Čadež</w:t>
            </w:r>
          </w:p>
        </w:tc>
      </w:tr>
      <w:tr w:rsidR="00875596" w:rsidRPr="001B53A8" w14:paraId="21182590" w14:textId="77777777" w:rsidTr="00875596">
        <w:trPr>
          <w:cnfStyle w:val="000000100000" w:firstRow="0" w:lastRow="0" w:firstColumn="0" w:lastColumn="0" w:oddVBand="0" w:evenVBand="0" w:oddHBand="1" w:evenHBand="0" w:firstRowFirstColumn="0" w:firstRowLastColumn="0" w:lastRowFirstColumn="0" w:lastRowLastColumn="0"/>
          <w:trHeight w:val="1540"/>
          <w:jc w:val="center"/>
        </w:trPr>
        <w:tc>
          <w:tcPr>
            <w:cnfStyle w:val="001000000000" w:firstRow="0" w:lastRow="0" w:firstColumn="1" w:lastColumn="0" w:oddVBand="0" w:evenVBand="0" w:oddHBand="0" w:evenHBand="0" w:firstRowFirstColumn="0" w:firstRowLastColumn="0" w:lastRowFirstColumn="0" w:lastRowLastColumn="0"/>
            <w:tcW w:w="478" w:type="dxa"/>
          </w:tcPr>
          <w:p w14:paraId="140FD314" w14:textId="77777777" w:rsidR="00875596" w:rsidRPr="001B53A8" w:rsidRDefault="00875596" w:rsidP="00875596">
            <w:pPr>
              <w:spacing w:after="0" w:line="240" w:lineRule="auto"/>
              <w:ind w:firstLine="0"/>
              <w:rPr>
                <w:rFonts w:ascii="Times New Roman" w:hAnsi="Times New Roman" w:cs="Times New Roman"/>
                <w:sz w:val="20"/>
                <w:szCs w:val="20"/>
                <w:lang w:val="sr-Latn-BA"/>
              </w:rPr>
            </w:pPr>
            <w:r w:rsidRPr="001B53A8">
              <w:rPr>
                <w:rFonts w:ascii="Times New Roman" w:hAnsi="Times New Roman" w:cs="Times New Roman"/>
                <w:sz w:val="20"/>
                <w:szCs w:val="20"/>
                <w:lang w:val="sr-Latn-BA"/>
              </w:rPr>
              <w:t>17.</w:t>
            </w:r>
          </w:p>
        </w:tc>
        <w:tc>
          <w:tcPr>
            <w:tcW w:w="2211" w:type="dxa"/>
          </w:tcPr>
          <w:p w14:paraId="3E21516D" w14:textId="084C900E" w:rsidR="00875596" w:rsidRPr="001B53A8" w:rsidRDefault="00003F34"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20"/>
                <w:szCs w:val="20"/>
                <w:lang w:val="sr-Latn-BA"/>
              </w:rPr>
            </w:pPr>
            <w:r w:rsidRPr="001B53A8">
              <w:rPr>
                <w:bCs/>
                <w:sz w:val="20"/>
                <w:szCs w:val="20"/>
                <w:lang w:val="sr-Latn-BA"/>
              </w:rPr>
              <w:t>Primjena</w:t>
            </w:r>
            <w:r w:rsidR="00875596" w:rsidRPr="001B53A8">
              <w:rPr>
                <w:bCs/>
                <w:sz w:val="20"/>
                <w:szCs w:val="20"/>
                <w:lang w:val="sr-Latn-BA"/>
              </w:rPr>
              <w:t xml:space="preserve"> </w:t>
            </w:r>
            <w:r w:rsidRPr="001B53A8">
              <w:rPr>
                <w:bCs/>
                <w:sz w:val="20"/>
                <w:szCs w:val="20"/>
                <w:lang w:val="sr-Latn-BA"/>
              </w:rPr>
              <w:t>propisa</w:t>
            </w:r>
            <w:r w:rsidR="00875596" w:rsidRPr="001B53A8">
              <w:rPr>
                <w:bCs/>
                <w:sz w:val="20"/>
                <w:szCs w:val="20"/>
                <w:lang w:val="sr-Latn-BA"/>
              </w:rPr>
              <w:t xml:space="preserve"> </w:t>
            </w:r>
            <w:r w:rsidRPr="001B53A8">
              <w:rPr>
                <w:bCs/>
                <w:sz w:val="20"/>
                <w:szCs w:val="20"/>
                <w:lang w:val="sr-Latn-BA"/>
              </w:rPr>
              <w:t>o</w:t>
            </w:r>
            <w:r w:rsidR="00875596" w:rsidRPr="001B53A8">
              <w:rPr>
                <w:bCs/>
                <w:sz w:val="20"/>
                <w:szCs w:val="20"/>
                <w:lang w:val="sr-Latn-BA"/>
              </w:rPr>
              <w:t xml:space="preserve"> </w:t>
            </w:r>
            <w:r w:rsidRPr="001B53A8">
              <w:rPr>
                <w:bCs/>
                <w:sz w:val="20"/>
                <w:szCs w:val="20"/>
                <w:lang w:val="sr-Latn-BA"/>
              </w:rPr>
              <w:t>sprečavanju</w:t>
            </w:r>
            <w:r w:rsidR="00875596" w:rsidRPr="001B53A8">
              <w:rPr>
                <w:bCs/>
                <w:sz w:val="20"/>
                <w:szCs w:val="20"/>
                <w:lang w:val="sr-Latn-BA"/>
              </w:rPr>
              <w:t xml:space="preserve"> </w:t>
            </w:r>
            <w:r w:rsidRPr="001B53A8">
              <w:rPr>
                <w:bCs/>
                <w:sz w:val="20"/>
                <w:szCs w:val="20"/>
                <w:lang w:val="sr-Latn-BA"/>
              </w:rPr>
              <w:t>pranja</w:t>
            </w:r>
            <w:r w:rsidR="00875596" w:rsidRPr="001B53A8">
              <w:rPr>
                <w:bCs/>
                <w:sz w:val="20"/>
                <w:szCs w:val="20"/>
                <w:lang w:val="sr-Latn-BA"/>
              </w:rPr>
              <w:t xml:space="preserve"> </w:t>
            </w:r>
            <w:r w:rsidRPr="001B53A8">
              <w:rPr>
                <w:bCs/>
                <w:sz w:val="20"/>
                <w:szCs w:val="20"/>
                <w:lang w:val="sr-Latn-BA"/>
              </w:rPr>
              <w:t>novca</w:t>
            </w:r>
            <w:r w:rsidR="00875596" w:rsidRPr="001B53A8">
              <w:rPr>
                <w:bCs/>
                <w:sz w:val="20"/>
                <w:szCs w:val="20"/>
                <w:lang w:val="sr-Latn-BA"/>
              </w:rPr>
              <w:t xml:space="preserve"> </w:t>
            </w:r>
            <w:r w:rsidRPr="001B53A8">
              <w:rPr>
                <w:bCs/>
                <w:sz w:val="20"/>
                <w:szCs w:val="20"/>
                <w:lang w:val="sr-Latn-BA"/>
              </w:rPr>
              <w:t>i</w:t>
            </w:r>
            <w:r w:rsidR="00875596" w:rsidRPr="001B53A8">
              <w:rPr>
                <w:bCs/>
                <w:sz w:val="20"/>
                <w:szCs w:val="20"/>
                <w:lang w:val="sr-Latn-BA"/>
              </w:rPr>
              <w:t xml:space="preserve"> </w:t>
            </w:r>
            <w:r w:rsidRPr="001B53A8">
              <w:rPr>
                <w:bCs/>
                <w:sz w:val="20"/>
                <w:szCs w:val="20"/>
                <w:lang w:val="sr-Latn-BA"/>
              </w:rPr>
              <w:t>finansiranja</w:t>
            </w:r>
            <w:r w:rsidR="00875596" w:rsidRPr="001B53A8">
              <w:rPr>
                <w:bCs/>
                <w:sz w:val="20"/>
                <w:szCs w:val="20"/>
                <w:lang w:val="sr-Latn-BA"/>
              </w:rPr>
              <w:t xml:space="preserve"> </w:t>
            </w:r>
            <w:r w:rsidRPr="001B53A8">
              <w:rPr>
                <w:bCs/>
                <w:sz w:val="20"/>
                <w:szCs w:val="20"/>
                <w:lang w:val="sr-Latn-BA"/>
              </w:rPr>
              <w:t>terorističkih</w:t>
            </w:r>
            <w:r w:rsidR="00875596" w:rsidRPr="001B53A8">
              <w:rPr>
                <w:bCs/>
                <w:sz w:val="20"/>
                <w:szCs w:val="20"/>
                <w:lang w:val="sr-Latn-BA"/>
              </w:rPr>
              <w:t xml:space="preserve"> </w:t>
            </w:r>
            <w:r w:rsidRPr="001B53A8">
              <w:rPr>
                <w:bCs/>
                <w:sz w:val="20"/>
                <w:szCs w:val="20"/>
                <w:lang w:val="sr-Latn-BA"/>
              </w:rPr>
              <w:t>aktivnosti</w:t>
            </w:r>
            <w:r w:rsidR="00875596" w:rsidRPr="001B53A8">
              <w:rPr>
                <w:bCs/>
                <w:sz w:val="20"/>
                <w:szCs w:val="20"/>
                <w:lang w:val="sr-Latn-BA"/>
              </w:rPr>
              <w:t xml:space="preserve"> </w:t>
            </w:r>
            <w:r w:rsidRPr="001B53A8">
              <w:rPr>
                <w:bCs/>
                <w:sz w:val="20"/>
                <w:szCs w:val="20"/>
                <w:lang w:val="sr-Latn-BA"/>
              </w:rPr>
              <w:t>u</w:t>
            </w:r>
            <w:r w:rsidR="00875596" w:rsidRPr="001B53A8">
              <w:rPr>
                <w:bCs/>
                <w:sz w:val="20"/>
                <w:szCs w:val="20"/>
                <w:lang w:val="sr-Latn-BA"/>
              </w:rPr>
              <w:t xml:space="preserve"> </w:t>
            </w:r>
            <w:r w:rsidRPr="001B53A8">
              <w:rPr>
                <w:bCs/>
                <w:sz w:val="20"/>
                <w:szCs w:val="20"/>
                <w:lang w:val="sr-Latn-BA"/>
              </w:rPr>
              <w:t>sektoru</w:t>
            </w:r>
            <w:r w:rsidR="00875596" w:rsidRPr="001B53A8">
              <w:rPr>
                <w:bCs/>
                <w:sz w:val="20"/>
                <w:szCs w:val="20"/>
                <w:lang w:val="sr-Latn-BA"/>
              </w:rPr>
              <w:t xml:space="preserve"> </w:t>
            </w:r>
            <w:r w:rsidRPr="001B53A8">
              <w:rPr>
                <w:bCs/>
                <w:sz w:val="20"/>
                <w:szCs w:val="20"/>
                <w:lang w:val="sr-Latn-BA"/>
              </w:rPr>
              <w:t>hartija</w:t>
            </w:r>
            <w:r w:rsidR="00875596" w:rsidRPr="001B53A8">
              <w:rPr>
                <w:bCs/>
                <w:sz w:val="20"/>
                <w:szCs w:val="20"/>
                <w:lang w:val="sr-Latn-BA"/>
              </w:rPr>
              <w:t xml:space="preserve"> </w:t>
            </w:r>
            <w:r w:rsidRPr="001B53A8">
              <w:rPr>
                <w:bCs/>
                <w:sz w:val="20"/>
                <w:szCs w:val="20"/>
                <w:lang w:val="sr-Latn-BA"/>
              </w:rPr>
              <w:t>od</w:t>
            </w:r>
            <w:r w:rsidR="00875596" w:rsidRPr="001B53A8">
              <w:rPr>
                <w:bCs/>
                <w:sz w:val="20"/>
                <w:szCs w:val="20"/>
                <w:lang w:val="sr-Latn-BA"/>
              </w:rPr>
              <w:t xml:space="preserve"> </w:t>
            </w:r>
            <w:r w:rsidRPr="001B53A8">
              <w:rPr>
                <w:bCs/>
                <w:sz w:val="20"/>
                <w:szCs w:val="20"/>
                <w:lang w:val="sr-Latn-BA"/>
              </w:rPr>
              <w:t>vrijednosti</w:t>
            </w:r>
            <w:r w:rsidR="00875596" w:rsidRPr="001B53A8">
              <w:rPr>
                <w:bCs/>
                <w:sz w:val="20"/>
                <w:szCs w:val="20"/>
                <w:lang w:val="sr-Latn-BA"/>
              </w:rPr>
              <w:t xml:space="preserve">, </w:t>
            </w:r>
            <w:r w:rsidRPr="001B53A8">
              <w:rPr>
                <w:bCs/>
                <w:sz w:val="20"/>
                <w:szCs w:val="20"/>
                <w:lang w:val="sr-Latn-BA"/>
              </w:rPr>
              <w:t>faktoringa</w:t>
            </w:r>
            <w:r w:rsidR="00875596" w:rsidRPr="001B53A8">
              <w:rPr>
                <w:bCs/>
                <w:sz w:val="20"/>
                <w:szCs w:val="20"/>
                <w:lang w:val="sr-Latn-BA"/>
              </w:rPr>
              <w:t xml:space="preserve">, </w:t>
            </w:r>
            <w:r w:rsidRPr="001B53A8">
              <w:rPr>
                <w:bCs/>
                <w:sz w:val="20"/>
                <w:szCs w:val="20"/>
                <w:lang w:val="sr-Latn-BA"/>
              </w:rPr>
              <w:t>usluga</w:t>
            </w:r>
            <w:r w:rsidR="00875596" w:rsidRPr="001B53A8">
              <w:rPr>
                <w:bCs/>
                <w:sz w:val="20"/>
                <w:szCs w:val="20"/>
                <w:lang w:val="sr-Latn-BA"/>
              </w:rPr>
              <w:t xml:space="preserve"> </w:t>
            </w:r>
            <w:r w:rsidRPr="001B53A8">
              <w:rPr>
                <w:bCs/>
                <w:sz w:val="20"/>
                <w:szCs w:val="20"/>
                <w:lang w:val="sr-Latn-BA"/>
              </w:rPr>
              <w:t>povezanih</w:t>
            </w:r>
            <w:r w:rsidR="00875596" w:rsidRPr="001B53A8">
              <w:rPr>
                <w:bCs/>
                <w:sz w:val="20"/>
                <w:szCs w:val="20"/>
                <w:lang w:val="sr-Latn-BA"/>
              </w:rPr>
              <w:t xml:space="preserve"> </w:t>
            </w:r>
            <w:r w:rsidRPr="001B53A8">
              <w:rPr>
                <w:bCs/>
                <w:sz w:val="20"/>
                <w:szCs w:val="20"/>
                <w:lang w:val="sr-Latn-BA"/>
              </w:rPr>
              <w:t>sa</w:t>
            </w:r>
            <w:r w:rsidR="00875596" w:rsidRPr="001B53A8">
              <w:rPr>
                <w:bCs/>
                <w:sz w:val="20"/>
                <w:szCs w:val="20"/>
                <w:lang w:val="sr-Latn-BA"/>
              </w:rPr>
              <w:t xml:space="preserve"> </w:t>
            </w:r>
            <w:r w:rsidRPr="001B53A8">
              <w:rPr>
                <w:bCs/>
                <w:sz w:val="20"/>
                <w:szCs w:val="20"/>
                <w:lang w:val="sr-Latn-BA"/>
              </w:rPr>
              <w:t>virtuelnim</w:t>
            </w:r>
            <w:r w:rsidR="00875596" w:rsidRPr="001B53A8">
              <w:rPr>
                <w:bCs/>
                <w:sz w:val="20"/>
                <w:szCs w:val="20"/>
                <w:lang w:val="sr-Latn-BA"/>
              </w:rPr>
              <w:t xml:space="preserve"> </w:t>
            </w:r>
            <w:r w:rsidRPr="001B53A8">
              <w:rPr>
                <w:bCs/>
                <w:sz w:val="20"/>
                <w:szCs w:val="20"/>
                <w:lang w:val="sr-Latn-BA"/>
              </w:rPr>
              <w:t>valutama</w:t>
            </w:r>
            <w:r w:rsidR="00875596" w:rsidRPr="001B53A8">
              <w:rPr>
                <w:bCs/>
                <w:sz w:val="20"/>
                <w:szCs w:val="20"/>
                <w:lang w:val="sr-Latn-BA"/>
              </w:rPr>
              <w:t xml:space="preserve">, </w:t>
            </w:r>
            <w:r w:rsidRPr="001B53A8">
              <w:rPr>
                <w:bCs/>
                <w:sz w:val="20"/>
                <w:szCs w:val="20"/>
                <w:lang w:val="sr-Latn-BA"/>
              </w:rPr>
              <w:lastRenderedPageBreak/>
              <w:t>osiguranja</w:t>
            </w:r>
            <w:r w:rsidR="00875596" w:rsidRPr="001B53A8">
              <w:rPr>
                <w:bCs/>
                <w:sz w:val="20"/>
                <w:szCs w:val="20"/>
                <w:lang w:val="sr-Latn-BA"/>
              </w:rPr>
              <w:t xml:space="preserve"> </w:t>
            </w:r>
            <w:r w:rsidRPr="001B53A8">
              <w:rPr>
                <w:bCs/>
                <w:sz w:val="20"/>
                <w:szCs w:val="20"/>
                <w:lang w:val="sr-Latn-BA"/>
              </w:rPr>
              <w:t>i</w:t>
            </w:r>
            <w:r w:rsidR="00875596" w:rsidRPr="001B53A8">
              <w:rPr>
                <w:bCs/>
                <w:sz w:val="20"/>
                <w:szCs w:val="20"/>
                <w:lang w:val="sr-Latn-BA"/>
              </w:rPr>
              <w:t xml:space="preserve"> </w:t>
            </w:r>
            <w:r w:rsidRPr="001B53A8">
              <w:rPr>
                <w:bCs/>
                <w:sz w:val="20"/>
                <w:szCs w:val="20"/>
                <w:lang w:val="sr-Latn-BA"/>
              </w:rPr>
              <w:t>mikrokreditnih</w:t>
            </w:r>
            <w:r w:rsidR="00875596" w:rsidRPr="001B53A8">
              <w:rPr>
                <w:bCs/>
                <w:sz w:val="20"/>
                <w:szCs w:val="20"/>
                <w:lang w:val="sr-Latn-BA"/>
              </w:rPr>
              <w:t xml:space="preserve"> </w:t>
            </w:r>
            <w:r w:rsidRPr="001B53A8">
              <w:rPr>
                <w:bCs/>
                <w:sz w:val="20"/>
                <w:szCs w:val="20"/>
                <w:lang w:val="sr-Latn-BA"/>
              </w:rPr>
              <w:t>organizacija</w:t>
            </w:r>
          </w:p>
          <w:p w14:paraId="1F3D8E0E" w14:textId="1DC44024" w:rsidR="00875596" w:rsidRPr="001B53A8" w:rsidRDefault="00875596" w:rsidP="00875596">
            <w:pPr>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20"/>
                <w:szCs w:val="20"/>
                <w:lang w:val="sr-Latn-BA"/>
              </w:rPr>
            </w:pPr>
            <w:r w:rsidRPr="001B53A8">
              <w:rPr>
                <w:bCs/>
                <w:sz w:val="20"/>
                <w:szCs w:val="20"/>
                <w:lang w:val="sr-Latn-BA"/>
              </w:rPr>
              <w:t>(W</w:t>
            </w:r>
            <w:r w:rsidR="00003F34" w:rsidRPr="001B53A8">
              <w:rPr>
                <w:bCs/>
                <w:sz w:val="20"/>
                <w:szCs w:val="20"/>
                <w:lang w:val="sr-Latn-BA"/>
              </w:rPr>
              <w:t>ebinar</w:t>
            </w:r>
            <w:r w:rsidRPr="001B53A8">
              <w:rPr>
                <w:bCs/>
                <w:sz w:val="20"/>
                <w:szCs w:val="20"/>
                <w:lang w:val="sr-Latn-BA"/>
              </w:rPr>
              <w:t xml:space="preserve">, 18.12.2023. </w:t>
            </w:r>
            <w:r w:rsidR="00003F34" w:rsidRPr="001B53A8">
              <w:rPr>
                <w:bCs/>
                <w:sz w:val="20"/>
                <w:szCs w:val="20"/>
                <w:lang w:val="sr-Latn-BA"/>
              </w:rPr>
              <w:t>godine</w:t>
            </w:r>
            <w:r w:rsidRPr="001B53A8">
              <w:rPr>
                <w:bCs/>
                <w:sz w:val="20"/>
                <w:szCs w:val="20"/>
                <w:lang w:val="sr-Latn-BA"/>
              </w:rPr>
              <w:t xml:space="preserve"> </w:t>
            </w:r>
            <w:r w:rsidR="00003F34" w:rsidRPr="001B53A8">
              <w:rPr>
                <w:bCs/>
                <w:sz w:val="20"/>
                <w:szCs w:val="20"/>
                <w:lang w:val="sr-Latn-BA"/>
              </w:rPr>
              <w:t>u</w:t>
            </w:r>
            <w:r w:rsidRPr="001B53A8">
              <w:rPr>
                <w:bCs/>
                <w:sz w:val="20"/>
                <w:szCs w:val="20"/>
                <w:lang w:val="sr-Latn-BA"/>
              </w:rPr>
              <w:t xml:space="preserve"> 10 </w:t>
            </w:r>
            <w:r w:rsidR="00003F34" w:rsidRPr="001B53A8">
              <w:rPr>
                <w:bCs/>
                <w:sz w:val="20"/>
                <w:szCs w:val="20"/>
                <w:lang w:val="sr-Latn-BA"/>
              </w:rPr>
              <w:t>časova</w:t>
            </w:r>
          </w:p>
          <w:p w14:paraId="177F5F31" w14:textId="77777777" w:rsidR="00875596" w:rsidRPr="001B53A8" w:rsidRDefault="00875596" w:rsidP="00875596">
            <w:pPr>
              <w:pStyle w:val="NoSpacing"/>
              <w:spacing w:after="0" w:line="240" w:lineRule="auto"/>
              <w:jc w:val="left"/>
              <w:cnfStyle w:val="000000100000" w:firstRow="0" w:lastRow="0" w:firstColumn="0" w:lastColumn="0" w:oddVBand="0" w:evenVBand="0" w:oddHBand="1" w:evenHBand="0" w:firstRowFirstColumn="0" w:firstRowLastColumn="0" w:lastRowFirstColumn="0" w:lastRowLastColumn="0"/>
              <w:rPr>
                <w:bCs/>
                <w:sz w:val="20"/>
                <w:szCs w:val="20"/>
                <w:lang w:val="sr-Latn-BA"/>
              </w:rPr>
            </w:pPr>
          </w:p>
        </w:tc>
        <w:tc>
          <w:tcPr>
            <w:tcW w:w="3603" w:type="dxa"/>
          </w:tcPr>
          <w:p w14:paraId="0C73A5CF" w14:textId="64CD7DA0" w:rsidR="00875596" w:rsidRPr="001B53A8" w:rsidRDefault="00003F34" w:rsidP="00875596">
            <w:pPr>
              <w:pStyle w:val="ListParagraph"/>
              <w:numPr>
                <w:ilvl w:val="0"/>
                <w:numId w:val="43"/>
              </w:numPr>
              <w:tabs>
                <w:tab w:val="left" w:pos="240"/>
              </w:tabs>
              <w:spacing w:after="0" w:line="240" w:lineRule="auto"/>
              <w:ind w:left="0" w:firstLine="0"/>
              <w:contextualSpacing w:val="0"/>
              <w:jc w:val="left"/>
              <w:cnfStyle w:val="000000100000" w:firstRow="0" w:lastRow="0" w:firstColumn="0" w:lastColumn="0" w:oddVBand="0" w:evenVBand="0" w:oddHBand="1" w:evenHBand="0" w:firstRowFirstColumn="0" w:firstRowLastColumn="0" w:lastRowFirstColumn="0" w:lastRowLastColumn="0"/>
              <w:rPr>
                <w:sz w:val="20"/>
                <w:szCs w:val="20"/>
                <w:lang w:val="sr-Latn-BA" w:eastAsia="hr-HR"/>
              </w:rPr>
            </w:pPr>
            <w:r w:rsidRPr="001B53A8">
              <w:rPr>
                <w:sz w:val="20"/>
                <w:szCs w:val="20"/>
                <w:lang w:val="sr-Latn-BA"/>
              </w:rPr>
              <w:lastRenderedPageBreak/>
              <w:t>Novi</w:t>
            </w:r>
            <w:r w:rsidR="00875596" w:rsidRPr="001B53A8">
              <w:rPr>
                <w:sz w:val="20"/>
                <w:szCs w:val="20"/>
                <w:lang w:val="sr-Latn-BA"/>
              </w:rPr>
              <w:t xml:space="preserve"> </w:t>
            </w:r>
            <w:r w:rsidRPr="001B53A8">
              <w:rPr>
                <w:sz w:val="20"/>
                <w:szCs w:val="20"/>
                <w:lang w:val="sr-Latn-BA"/>
              </w:rPr>
              <w:t>Zakon</w:t>
            </w:r>
            <w:r w:rsidR="00875596" w:rsidRPr="001B53A8">
              <w:rPr>
                <w:sz w:val="20"/>
                <w:szCs w:val="20"/>
                <w:lang w:val="sr-Latn-BA"/>
              </w:rPr>
              <w:t xml:space="preserve"> </w:t>
            </w:r>
            <w:r w:rsidRPr="001B53A8">
              <w:rPr>
                <w:sz w:val="20"/>
                <w:szCs w:val="20"/>
                <w:lang w:val="sr-Latn-BA"/>
              </w:rPr>
              <w:t>o</w:t>
            </w:r>
            <w:r w:rsidR="00875596" w:rsidRPr="001B53A8">
              <w:rPr>
                <w:sz w:val="20"/>
                <w:szCs w:val="20"/>
                <w:lang w:val="sr-Latn-BA"/>
              </w:rPr>
              <w:t xml:space="preserve"> </w:t>
            </w:r>
            <w:r w:rsidRPr="001B53A8">
              <w:rPr>
                <w:rFonts w:eastAsia="TimesNewRomanPSMT"/>
                <w:sz w:val="20"/>
                <w:szCs w:val="20"/>
                <w:lang w:val="sr-Latn-BA"/>
              </w:rPr>
              <w:t>SPN</w:t>
            </w:r>
            <w:r w:rsidR="00875596" w:rsidRPr="001B53A8">
              <w:rPr>
                <w:rFonts w:eastAsia="TimesNewRomanPSMT"/>
                <w:sz w:val="20"/>
                <w:szCs w:val="20"/>
                <w:lang w:val="sr-Latn-BA"/>
              </w:rPr>
              <w:t>/</w:t>
            </w:r>
            <w:r w:rsidRPr="001B53A8">
              <w:rPr>
                <w:rFonts w:eastAsia="TimesNewRomanPSMT"/>
                <w:sz w:val="20"/>
                <w:szCs w:val="20"/>
                <w:lang w:val="sr-Latn-BA"/>
              </w:rPr>
              <w:t>FTA</w:t>
            </w:r>
            <w:r w:rsidR="00875596" w:rsidRPr="001B53A8">
              <w:rPr>
                <w:rFonts w:eastAsia="TimesNewRomanPSMT"/>
                <w:sz w:val="20"/>
                <w:szCs w:val="20"/>
                <w:lang w:val="sr-Latn-BA"/>
              </w:rPr>
              <w:t xml:space="preserve">:  </w:t>
            </w:r>
            <w:r w:rsidRPr="001B53A8">
              <w:rPr>
                <w:rFonts w:eastAsia="TimesNewRomanPSMT"/>
                <w:sz w:val="20"/>
                <w:szCs w:val="20"/>
                <w:lang w:val="sr-Latn-BA"/>
              </w:rPr>
              <w:t>Šta</w:t>
            </w:r>
            <w:r w:rsidR="00875596" w:rsidRPr="001B53A8">
              <w:rPr>
                <w:rFonts w:eastAsia="TimesNewRomanPSMT"/>
                <w:sz w:val="20"/>
                <w:szCs w:val="20"/>
                <w:lang w:val="sr-Latn-BA"/>
              </w:rPr>
              <w:t xml:space="preserve">  </w:t>
            </w:r>
            <w:r w:rsidRPr="001B53A8">
              <w:rPr>
                <w:rFonts w:eastAsia="TimesNewRomanPSMT"/>
                <w:sz w:val="20"/>
                <w:szCs w:val="20"/>
                <w:lang w:val="sr-Latn-BA"/>
              </w:rPr>
              <w:t>nam</w:t>
            </w:r>
            <w:r w:rsidR="00875596" w:rsidRPr="001B53A8">
              <w:rPr>
                <w:rFonts w:eastAsia="TimesNewRomanPSMT"/>
                <w:sz w:val="20"/>
                <w:szCs w:val="20"/>
                <w:lang w:val="sr-Latn-BA"/>
              </w:rPr>
              <w:t xml:space="preserve"> </w:t>
            </w:r>
            <w:r w:rsidRPr="001B53A8">
              <w:rPr>
                <w:rFonts w:eastAsia="TimesNewRomanPSMT"/>
                <w:sz w:val="20"/>
                <w:szCs w:val="20"/>
                <w:lang w:val="sr-Latn-BA"/>
              </w:rPr>
              <w:t>donosi</w:t>
            </w:r>
            <w:r w:rsidR="00875596" w:rsidRPr="001B53A8">
              <w:rPr>
                <w:rFonts w:eastAsia="TimesNewRomanPSMT"/>
                <w:sz w:val="20"/>
                <w:szCs w:val="20"/>
                <w:lang w:val="sr-Latn-BA"/>
              </w:rPr>
              <w:t xml:space="preserve"> </w:t>
            </w:r>
            <w:r w:rsidRPr="001B53A8">
              <w:rPr>
                <w:rFonts w:eastAsia="TimesNewRomanPSMT"/>
                <w:sz w:val="20"/>
                <w:szCs w:val="20"/>
                <w:lang w:val="sr-Latn-BA"/>
              </w:rPr>
              <w:t>novi</w:t>
            </w:r>
            <w:r w:rsidR="00875596" w:rsidRPr="001B53A8">
              <w:rPr>
                <w:rFonts w:eastAsia="TimesNewRomanPSMT"/>
                <w:sz w:val="20"/>
                <w:szCs w:val="20"/>
                <w:lang w:val="sr-Latn-BA"/>
              </w:rPr>
              <w:t xml:space="preserve"> </w:t>
            </w:r>
            <w:r w:rsidRPr="001B53A8">
              <w:rPr>
                <w:rFonts w:eastAsia="TimesNewRomanPSMT"/>
                <w:sz w:val="20"/>
                <w:szCs w:val="20"/>
                <w:lang w:val="sr-Latn-BA"/>
              </w:rPr>
              <w:t>Zakon</w:t>
            </w:r>
            <w:r w:rsidR="00875596" w:rsidRPr="001B53A8">
              <w:rPr>
                <w:rFonts w:eastAsia="TimesNewRomanPSMT"/>
                <w:sz w:val="20"/>
                <w:szCs w:val="20"/>
                <w:lang w:val="sr-Latn-BA"/>
              </w:rPr>
              <w:t xml:space="preserve">? </w:t>
            </w:r>
            <w:r w:rsidRPr="001B53A8">
              <w:rPr>
                <w:rFonts w:eastAsia="TimesNewRomanPSMT"/>
                <w:sz w:val="20"/>
                <w:szCs w:val="20"/>
                <w:lang w:val="sr-Latn-BA"/>
              </w:rPr>
              <w:t>Šta</w:t>
            </w:r>
            <w:r w:rsidR="00875596" w:rsidRPr="001B53A8">
              <w:rPr>
                <w:rFonts w:eastAsia="TimesNewRomanPSMT"/>
                <w:sz w:val="20"/>
                <w:szCs w:val="20"/>
                <w:lang w:val="sr-Latn-BA"/>
              </w:rPr>
              <w:t xml:space="preserve"> </w:t>
            </w:r>
            <w:r w:rsidRPr="001B53A8">
              <w:rPr>
                <w:rFonts w:eastAsia="TimesNewRomanPSMT"/>
                <w:sz w:val="20"/>
                <w:szCs w:val="20"/>
                <w:lang w:val="sr-Latn-BA"/>
              </w:rPr>
              <w:t>se</w:t>
            </w:r>
            <w:r w:rsidR="00875596" w:rsidRPr="001B53A8">
              <w:rPr>
                <w:rFonts w:eastAsia="TimesNewRomanPSMT"/>
                <w:sz w:val="20"/>
                <w:szCs w:val="20"/>
                <w:lang w:val="sr-Latn-BA"/>
              </w:rPr>
              <w:t xml:space="preserve"> </w:t>
            </w:r>
            <w:r w:rsidRPr="001B53A8">
              <w:rPr>
                <w:rFonts w:eastAsia="TimesNewRomanPSMT"/>
                <w:sz w:val="20"/>
                <w:szCs w:val="20"/>
                <w:lang w:val="sr-Latn-BA"/>
              </w:rPr>
              <w:t>očekuje</w:t>
            </w:r>
            <w:r w:rsidR="00875596" w:rsidRPr="001B53A8">
              <w:rPr>
                <w:rFonts w:eastAsia="TimesNewRomanPSMT"/>
                <w:sz w:val="20"/>
                <w:szCs w:val="20"/>
                <w:lang w:val="sr-Latn-BA"/>
              </w:rPr>
              <w:t xml:space="preserve"> </w:t>
            </w:r>
            <w:r w:rsidRPr="001B53A8">
              <w:rPr>
                <w:rFonts w:eastAsia="TimesNewRomanPSMT"/>
                <w:sz w:val="20"/>
                <w:szCs w:val="20"/>
                <w:lang w:val="sr-Latn-BA"/>
              </w:rPr>
              <w:t>od</w:t>
            </w:r>
            <w:r w:rsidR="00875596" w:rsidRPr="001B53A8">
              <w:rPr>
                <w:rFonts w:eastAsia="TimesNewRomanPSMT"/>
                <w:sz w:val="20"/>
                <w:szCs w:val="20"/>
                <w:lang w:val="sr-Latn-BA"/>
              </w:rPr>
              <w:t xml:space="preserve"> </w:t>
            </w:r>
            <w:r w:rsidRPr="001B53A8">
              <w:rPr>
                <w:rFonts w:eastAsia="TimesNewRomanPSMT"/>
                <w:sz w:val="20"/>
                <w:szCs w:val="20"/>
                <w:lang w:val="sr-Latn-BA"/>
              </w:rPr>
              <w:t>nadzornih</w:t>
            </w:r>
            <w:r w:rsidR="00875596" w:rsidRPr="001B53A8">
              <w:rPr>
                <w:rFonts w:eastAsia="TimesNewRomanPSMT"/>
                <w:sz w:val="20"/>
                <w:szCs w:val="20"/>
                <w:lang w:val="sr-Latn-BA"/>
              </w:rPr>
              <w:t xml:space="preserve"> </w:t>
            </w:r>
            <w:r w:rsidRPr="001B53A8">
              <w:rPr>
                <w:rFonts w:eastAsia="TimesNewRomanPSMT"/>
                <w:sz w:val="20"/>
                <w:szCs w:val="20"/>
                <w:lang w:val="sr-Latn-BA"/>
              </w:rPr>
              <w:t>organa</w:t>
            </w:r>
            <w:r w:rsidR="00875596" w:rsidRPr="001B53A8">
              <w:rPr>
                <w:rFonts w:eastAsia="TimesNewRomanPSMT"/>
                <w:sz w:val="20"/>
                <w:szCs w:val="20"/>
                <w:lang w:val="sr-Latn-BA"/>
              </w:rPr>
              <w:t xml:space="preserve"> </w:t>
            </w:r>
            <w:r w:rsidRPr="001B53A8">
              <w:rPr>
                <w:rFonts w:eastAsia="TimesNewRomanPSMT"/>
                <w:sz w:val="20"/>
                <w:szCs w:val="20"/>
                <w:lang w:val="sr-Latn-BA"/>
              </w:rPr>
              <w:t>i</w:t>
            </w:r>
            <w:r w:rsidR="00875596" w:rsidRPr="001B53A8">
              <w:rPr>
                <w:rFonts w:eastAsia="TimesNewRomanPSMT"/>
                <w:sz w:val="20"/>
                <w:szCs w:val="20"/>
                <w:lang w:val="sr-Latn-BA"/>
              </w:rPr>
              <w:t xml:space="preserve"> </w:t>
            </w:r>
            <w:r w:rsidRPr="001B53A8">
              <w:rPr>
                <w:rFonts w:eastAsia="TimesNewRomanPSMT"/>
                <w:sz w:val="20"/>
                <w:szCs w:val="20"/>
                <w:lang w:val="sr-Latn-BA"/>
              </w:rPr>
              <w:t>obveznika</w:t>
            </w:r>
            <w:r w:rsidR="00875596" w:rsidRPr="001B53A8">
              <w:rPr>
                <w:rFonts w:eastAsia="TimesNewRomanPSMT"/>
                <w:sz w:val="20"/>
                <w:szCs w:val="20"/>
                <w:lang w:val="sr-Latn-BA"/>
              </w:rPr>
              <w:t xml:space="preserve"> </w:t>
            </w:r>
            <w:r w:rsidRPr="001B53A8">
              <w:rPr>
                <w:rFonts w:eastAsia="TimesNewRomanPSMT"/>
                <w:sz w:val="20"/>
                <w:szCs w:val="20"/>
                <w:lang w:val="sr-Latn-BA"/>
              </w:rPr>
              <w:t>nakon</w:t>
            </w:r>
            <w:r w:rsidR="00875596" w:rsidRPr="001B53A8">
              <w:rPr>
                <w:rFonts w:eastAsia="TimesNewRomanPSMT"/>
                <w:sz w:val="20"/>
                <w:szCs w:val="20"/>
                <w:lang w:val="sr-Latn-BA"/>
              </w:rPr>
              <w:t xml:space="preserve"> </w:t>
            </w:r>
            <w:r w:rsidRPr="001B53A8">
              <w:rPr>
                <w:rFonts w:eastAsia="TimesNewRomanPSMT"/>
                <w:sz w:val="20"/>
                <w:szCs w:val="20"/>
                <w:lang w:val="sr-Latn-BA"/>
              </w:rPr>
              <w:t>usvajanja</w:t>
            </w:r>
            <w:r w:rsidR="00875596" w:rsidRPr="001B53A8">
              <w:rPr>
                <w:rFonts w:eastAsia="TimesNewRomanPSMT"/>
                <w:sz w:val="20"/>
                <w:szCs w:val="20"/>
                <w:lang w:val="sr-Latn-BA"/>
              </w:rPr>
              <w:t xml:space="preserve"> </w:t>
            </w:r>
            <w:r w:rsidRPr="001B53A8">
              <w:rPr>
                <w:rFonts w:eastAsia="TimesNewRomanPSMT"/>
                <w:sz w:val="20"/>
                <w:szCs w:val="20"/>
                <w:lang w:val="sr-Latn-BA"/>
              </w:rPr>
              <w:t>novog</w:t>
            </w:r>
            <w:r w:rsidR="00875596" w:rsidRPr="001B53A8">
              <w:rPr>
                <w:sz w:val="20"/>
                <w:szCs w:val="20"/>
                <w:lang w:val="sr-Latn-BA"/>
              </w:rPr>
              <w:t xml:space="preserve"> </w:t>
            </w:r>
            <w:r w:rsidRPr="001B53A8">
              <w:rPr>
                <w:sz w:val="20"/>
                <w:szCs w:val="20"/>
                <w:lang w:val="sr-Latn-BA"/>
              </w:rPr>
              <w:t>Zakona</w:t>
            </w:r>
            <w:r w:rsidR="00875596" w:rsidRPr="001B53A8">
              <w:rPr>
                <w:sz w:val="20"/>
                <w:szCs w:val="20"/>
                <w:lang w:val="sr-Latn-BA"/>
              </w:rPr>
              <w:t xml:space="preserve"> </w:t>
            </w:r>
            <w:r w:rsidRPr="001B53A8">
              <w:rPr>
                <w:sz w:val="20"/>
                <w:szCs w:val="20"/>
                <w:lang w:val="sr-Latn-BA"/>
              </w:rPr>
              <w:t>o</w:t>
            </w:r>
            <w:r w:rsidR="00875596" w:rsidRPr="001B53A8">
              <w:rPr>
                <w:sz w:val="20"/>
                <w:szCs w:val="20"/>
                <w:lang w:val="sr-Latn-BA"/>
              </w:rPr>
              <w:t xml:space="preserve"> </w:t>
            </w:r>
            <w:r w:rsidRPr="001B53A8">
              <w:rPr>
                <w:rFonts w:eastAsia="TimesNewRomanPSMT"/>
                <w:sz w:val="20"/>
                <w:szCs w:val="20"/>
                <w:lang w:val="sr-Latn-BA"/>
              </w:rPr>
              <w:t>SPN</w:t>
            </w:r>
            <w:r w:rsidR="00875596" w:rsidRPr="001B53A8">
              <w:rPr>
                <w:rFonts w:eastAsia="TimesNewRomanPSMT"/>
                <w:sz w:val="20"/>
                <w:szCs w:val="20"/>
                <w:lang w:val="sr-Latn-BA"/>
              </w:rPr>
              <w:t>/</w:t>
            </w:r>
            <w:r w:rsidRPr="001B53A8">
              <w:rPr>
                <w:rFonts w:eastAsia="TimesNewRomanPSMT"/>
                <w:sz w:val="20"/>
                <w:szCs w:val="20"/>
                <w:lang w:val="sr-Latn-BA"/>
              </w:rPr>
              <w:t>FTA</w:t>
            </w:r>
            <w:r w:rsidR="00875596" w:rsidRPr="001B53A8">
              <w:rPr>
                <w:rFonts w:eastAsia="TimesNewRomanPSMT"/>
                <w:sz w:val="20"/>
                <w:szCs w:val="20"/>
                <w:lang w:val="sr-Latn-BA"/>
              </w:rPr>
              <w:t>?</w:t>
            </w:r>
          </w:p>
          <w:p w14:paraId="4BACA2DB" w14:textId="16A5875D" w:rsidR="00875596" w:rsidRPr="001B53A8" w:rsidRDefault="00003F34" w:rsidP="00875596">
            <w:pPr>
              <w:pStyle w:val="ListParagraph"/>
              <w:numPr>
                <w:ilvl w:val="0"/>
                <w:numId w:val="43"/>
              </w:numPr>
              <w:tabs>
                <w:tab w:val="left" w:pos="240"/>
              </w:tabs>
              <w:spacing w:after="0" w:line="240" w:lineRule="auto"/>
              <w:ind w:left="0" w:firstLine="0"/>
              <w:contextualSpacing w:val="0"/>
              <w:jc w:val="left"/>
              <w:cnfStyle w:val="000000100000" w:firstRow="0" w:lastRow="0" w:firstColumn="0" w:lastColumn="0" w:oddVBand="0" w:evenVBand="0" w:oddHBand="1" w:evenHBand="0" w:firstRowFirstColumn="0" w:firstRowLastColumn="0" w:lastRowFirstColumn="0" w:lastRowLastColumn="0"/>
              <w:rPr>
                <w:sz w:val="20"/>
                <w:szCs w:val="20"/>
                <w:lang w:val="sr-Latn-BA" w:eastAsia="hr-HR"/>
              </w:rPr>
            </w:pPr>
            <w:r w:rsidRPr="001B53A8">
              <w:rPr>
                <w:sz w:val="20"/>
                <w:szCs w:val="20"/>
                <w:lang w:val="sr-Latn-BA"/>
              </w:rPr>
              <w:t>Evaluaciju</w:t>
            </w:r>
            <w:r w:rsidR="00875596" w:rsidRPr="001B53A8">
              <w:rPr>
                <w:sz w:val="20"/>
                <w:szCs w:val="20"/>
                <w:lang w:val="sr-Latn-BA"/>
              </w:rPr>
              <w:t xml:space="preserve"> </w:t>
            </w:r>
            <w:r w:rsidRPr="001B53A8">
              <w:rPr>
                <w:sz w:val="20"/>
                <w:szCs w:val="20"/>
                <w:lang w:val="sr-Latn-BA"/>
              </w:rPr>
              <w:t>MONE</w:t>
            </w:r>
            <w:r w:rsidR="00875596" w:rsidRPr="001B53A8">
              <w:rPr>
                <w:sz w:val="20"/>
                <w:szCs w:val="20"/>
                <w:lang w:val="sr-Latn-BA"/>
              </w:rPr>
              <w:t>Y</w:t>
            </w:r>
            <w:r w:rsidRPr="001B53A8">
              <w:rPr>
                <w:sz w:val="20"/>
                <w:szCs w:val="20"/>
                <w:lang w:val="sr-Latn-BA"/>
              </w:rPr>
              <w:t>VAL</w:t>
            </w:r>
            <w:r w:rsidR="00875596" w:rsidRPr="001B53A8">
              <w:rPr>
                <w:sz w:val="20"/>
                <w:szCs w:val="20"/>
                <w:lang w:val="sr-Latn-BA"/>
              </w:rPr>
              <w:t>-</w:t>
            </w:r>
            <w:r w:rsidRPr="001B53A8">
              <w:rPr>
                <w:sz w:val="20"/>
                <w:szCs w:val="20"/>
                <w:lang w:val="sr-Latn-BA"/>
              </w:rPr>
              <w:t>a</w:t>
            </w:r>
            <w:r w:rsidR="00875596" w:rsidRPr="001B53A8">
              <w:rPr>
                <w:sz w:val="20"/>
                <w:szCs w:val="20"/>
                <w:lang w:val="sr-Latn-BA"/>
              </w:rPr>
              <w:t xml:space="preserve"> - </w:t>
            </w:r>
            <w:r w:rsidRPr="001B53A8">
              <w:rPr>
                <w:sz w:val="20"/>
                <w:szCs w:val="20"/>
                <w:lang w:val="sr-Latn-BA"/>
              </w:rPr>
              <w:t>obaveze</w:t>
            </w:r>
            <w:r w:rsidR="00875596" w:rsidRPr="001B53A8">
              <w:rPr>
                <w:sz w:val="20"/>
                <w:szCs w:val="20"/>
                <w:lang w:val="sr-Latn-BA"/>
              </w:rPr>
              <w:t xml:space="preserve"> </w:t>
            </w:r>
            <w:r w:rsidRPr="001B53A8">
              <w:rPr>
                <w:sz w:val="20"/>
                <w:szCs w:val="20"/>
                <w:lang w:val="sr-Latn-BA"/>
              </w:rPr>
              <w:t>nadzornih</w:t>
            </w:r>
            <w:r w:rsidR="00875596" w:rsidRPr="001B53A8">
              <w:rPr>
                <w:sz w:val="20"/>
                <w:szCs w:val="20"/>
                <w:lang w:val="sr-Latn-BA"/>
              </w:rPr>
              <w:t xml:space="preserve"> </w:t>
            </w:r>
            <w:r w:rsidRPr="001B53A8">
              <w:rPr>
                <w:sz w:val="20"/>
                <w:szCs w:val="20"/>
                <w:lang w:val="sr-Latn-BA"/>
              </w:rPr>
              <w:t>organa</w:t>
            </w:r>
            <w:r w:rsidR="00875596" w:rsidRPr="001B53A8">
              <w:rPr>
                <w:sz w:val="20"/>
                <w:szCs w:val="20"/>
                <w:lang w:val="sr-Latn-BA"/>
              </w:rPr>
              <w:t xml:space="preserve"> </w:t>
            </w:r>
            <w:r w:rsidRPr="001B53A8">
              <w:rPr>
                <w:sz w:val="20"/>
                <w:szCs w:val="20"/>
                <w:lang w:val="sr-Latn-BA"/>
              </w:rPr>
              <w:t>i</w:t>
            </w:r>
            <w:r w:rsidR="00875596" w:rsidRPr="001B53A8">
              <w:rPr>
                <w:sz w:val="20"/>
                <w:szCs w:val="20"/>
                <w:lang w:val="sr-Latn-BA"/>
              </w:rPr>
              <w:t xml:space="preserve"> </w:t>
            </w:r>
            <w:r w:rsidRPr="001B53A8">
              <w:rPr>
                <w:sz w:val="20"/>
                <w:szCs w:val="20"/>
                <w:lang w:val="sr-Latn-BA"/>
              </w:rPr>
              <w:t>obveznika</w:t>
            </w:r>
            <w:r w:rsidR="00875596" w:rsidRPr="001B53A8">
              <w:rPr>
                <w:sz w:val="20"/>
                <w:szCs w:val="20"/>
                <w:lang w:val="sr-Latn-BA"/>
              </w:rPr>
              <w:t xml:space="preserve"> </w:t>
            </w:r>
            <w:r w:rsidRPr="001B53A8">
              <w:rPr>
                <w:sz w:val="20"/>
                <w:szCs w:val="20"/>
                <w:lang w:val="sr-Latn-BA"/>
              </w:rPr>
              <w:t>u</w:t>
            </w:r>
            <w:r w:rsidR="00875596" w:rsidRPr="001B53A8">
              <w:rPr>
                <w:sz w:val="20"/>
                <w:szCs w:val="20"/>
                <w:lang w:val="sr-Latn-BA"/>
              </w:rPr>
              <w:t xml:space="preserve"> </w:t>
            </w:r>
            <w:r w:rsidRPr="001B53A8">
              <w:rPr>
                <w:sz w:val="20"/>
                <w:szCs w:val="20"/>
                <w:lang w:val="sr-Latn-BA"/>
              </w:rPr>
              <w:t>ovom</w:t>
            </w:r>
            <w:r w:rsidR="00875596" w:rsidRPr="001B53A8">
              <w:rPr>
                <w:sz w:val="20"/>
                <w:szCs w:val="20"/>
                <w:lang w:val="sr-Latn-BA"/>
              </w:rPr>
              <w:t xml:space="preserve"> </w:t>
            </w:r>
            <w:r w:rsidRPr="001B53A8">
              <w:rPr>
                <w:sz w:val="20"/>
                <w:szCs w:val="20"/>
                <w:lang w:val="sr-Latn-BA"/>
              </w:rPr>
              <w:t>procesu</w:t>
            </w:r>
          </w:p>
          <w:p w14:paraId="38F08F4A" w14:textId="60B6D457" w:rsidR="00875596" w:rsidRPr="001B53A8" w:rsidRDefault="00003F34" w:rsidP="00875596">
            <w:pPr>
              <w:pStyle w:val="ListParagraph"/>
              <w:numPr>
                <w:ilvl w:val="0"/>
                <w:numId w:val="43"/>
              </w:numPr>
              <w:tabs>
                <w:tab w:val="left" w:pos="240"/>
              </w:tabs>
              <w:spacing w:after="0" w:line="240" w:lineRule="auto"/>
              <w:ind w:left="0" w:firstLine="0"/>
              <w:contextualSpacing w:val="0"/>
              <w:jc w:val="left"/>
              <w:cnfStyle w:val="000000100000" w:firstRow="0" w:lastRow="0" w:firstColumn="0" w:lastColumn="0" w:oddVBand="0" w:evenVBand="0" w:oddHBand="1" w:evenHBand="0" w:firstRowFirstColumn="0" w:firstRowLastColumn="0" w:lastRowFirstColumn="0" w:lastRowLastColumn="0"/>
              <w:rPr>
                <w:sz w:val="20"/>
                <w:szCs w:val="20"/>
                <w:lang w:val="sr-Latn-BA" w:eastAsia="hr-HR"/>
              </w:rPr>
            </w:pPr>
            <w:r w:rsidRPr="001B53A8">
              <w:rPr>
                <w:sz w:val="20"/>
                <w:szCs w:val="20"/>
                <w:lang w:val="sr-Latn-BA"/>
              </w:rPr>
              <w:t>Dopunu</w:t>
            </w:r>
            <w:r w:rsidR="00875596" w:rsidRPr="001B53A8">
              <w:rPr>
                <w:sz w:val="20"/>
                <w:szCs w:val="20"/>
                <w:lang w:val="sr-Latn-BA"/>
              </w:rPr>
              <w:t xml:space="preserve"> </w:t>
            </w:r>
            <w:r w:rsidRPr="001B53A8">
              <w:rPr>
                <w:sz w:val="20"/>
                <w:szCs w:val="20"/>
                <w:lang w:val="sr-Latn-BA"/>
              </w:rPr>
              <w:t>procjene</w:t>
            </w:r>
            <w:r w:rsidR="00875596" w:rsidRPr="001B53A8">
              <w:rPr>
                <w:sz w:val="20"/>
                <w:szCs w:val="20"/>
                <w:lang w:val="sr-Latn-BA"/>
              </w:rPr>
              <w:t xml:space="preserve"> </w:t>
            </w:r>
            <w:r w:rsidRPr="001B53A8">
              <w:rPr>
                <w:sz w:val="20"/>
                <w:szCs w:val="20"/>
                <w:lang w:val="sr-Latn-BA"/>
              </w:rPr>
              <w:t>rizika</w:t>
            </w:r>
            <w:r w:rsidR="00875596" w:rsidRPr="001B53A8">
              <w:rPr>
                <w:sz w:val="20"/>
                <w:szCs w:val="20"/>
                <w:lang w:val="sr-Latn-BA"/>
              </w:rPr>
              <w:t xml:space="preserve"> </w:t>
            </w:r>
            <w:r w:rsidRPr="001B53A8">
              <w:rPr>
                <w:rFonts w:eastAsia="TimesNewRomanPSMT"/>
                <w:sz w:val="20"/>
                <w:szCs w:val="20"/>
                <w:lang w:val="sr-Latn-BA"/>
              </w:rPr>
              <w:t>PN</w:t>
            </w:r>
            <w:r w:rsidR="00875596" w:rsidRPr="001B53A8">
              <w:rPr>
                <w:rFonts w:eastAsia="TimesNewRomanPSMT"/>
                <w:sz w:val="20"/>
                <w:szCs w:val="20"/>
                <w:lang w:val="sr-Latn-BA"/>
              </w:rPr>
              <w:t>/</w:t>
            </w:r>
            <w:r w:rsidRPr="001B53A8">
              <w:rPr>
                <w:rFonts w:eastAsia="TimesNewRomanPSMT"/>
                <w:sz w:val="20"/>
                <w:szCs w:val="20"/>
                <w:lang w:val="sr-Latn-BA"/>
              </w:rPr>
              <w:t>FTA</w:t>
            </w:r>
            <w:r w:rsidR="00875596" w:rsidRPr="001B53A8">
              <w:rPr>
                <w:rFonts w:eastAsia="TimesNewRomanPSMT"/>
                <w:sz w:val="20"/>
                <w:szCs w:val="20"/>
                <w:lang w:val="sr-Latn-BA"/>
              </w:rPr>
              <w:t xml:space="preserve"> </w:t>
            </w:r>
            <w:r w:rsidRPr="001B53A8">
              <w:rPr>
                <w:rFonts w:eastAsia="TimesNewRomanPSMT"/>
                <w:sz w:val="20"/>
                <w:szCs w:val="20"/>
                <w:lang w:val="sr-Latn-BA"/>
              </w:rPr>
              <w:t>i</w:t>
            </w:r>
            <w:r w:rsidR="00875596" w:rsidRPr="001B53A8">
              <w:rPr>
                <w:rFonts w:eastAsia="TimesNewRomanPSMT"/>
                <w:sz w:val="20"/>
                <w:szCs w:val="20"/>
                <w:lang w:val="sr-Latn-BA"/>
              </w:rPr>
              <w:t xml:space="preserve"> </w:t>
            </w:r>
            <w:r w:rsidRPr="001B53A8">
              <w:rPr>
                <w:rFonts w:eastAsia="TimesNewRomanPSMT"/>
                <w:sz w:val="20"/>
                <w:szCs w:val="20"/>
                <w:lang w:val="sr-Latn-BA"/>
              </w:rPr>
              <w:lastRenderedPageBreak/>
              <w:t>Akcioni</w:t>
            </w:r>
            <w:r w:rsidR="00875596" w:rsidRPr="001B53A8">
              <w:rPr>
                <w:rFonts w:eastAsia="TimesNewRomanPSMT"/>
                <w:sz w:val="20"/>
                <w:szCs w:val="20"/>
                <w:lang w:val="sr-Latn-BA"/>
              </w:rPr>
              <w:t xml:space="preserve"> </w:t>
            </w:r>
            <w:r w:rsidRPr="001B53A8">
              <w:rPr>
                <w:rFonts w:eastAsia="TimesNewRomanPSMT"/>
                <w:sz w:val="20"/>
                <w:szCs w:val="20"/>
                <w:lang w:val="sr-Latn-BA"/>
              </w:rPr>
              <w:t>plan</w:t>
            </w:r>
            <w:r w:rsidR="00875596" w:rsidRPr="001B53A8">
              <w:rPr>
                <w:sz w:val="20"/>
                <w:szCs w:val="20"/>
                <w:lang w:val="sr-Latn-BA"/>
              </w:rPr>
              <w:t xml:space="preserve"> - </w:t>
            </w:r>
            <w:r w:rsidRPr="001B53A8">
              <w:rPr>
                <w:sz w:val="20"/>
                <w:szCs w:val="20"/>
                <w:lang w:val="sr-Latn-BA"/>
              </w:rPr>
              <w:t>sektor</w:t>
            </w:r>
            <w:r w:rsidR="00875596" w:rsidRPr="001B53A8">
              <w:rPr>
                <w:sz w:val="20"/>
                <w:szCs w:val="20"/>
                <w:lang w:val="sr-Latn-BA"/>
              </w:rPr>
              <w:t xml:space="preserve"> </w:t>
            </w:r>
            <w:r w:rsidRPr="001B53A8">
              <w:rPr>
                <w:sz w:val="20"/>
                <w:szCs w:val="20"/>
                <w:lang w:val="sr-Latn-BA"/>
              </w:rPr>
              <w:t>hartija</w:t>
            </w:r>
            <w:r w:rsidR="00875596" w:rsidRPr="001B53A8">
              <w:rPr>
                <w:sz w:val="20"/>
                <w:szCs w:val="20"/>
                <w:lang w:val="sr-Latn-BA"/>
              </w:rPr>
              <w:t xml:space="preserve"> </w:t>
            </w:r>
            <w:r w:rsidRPr="001B53A8">
              <w:rPr>
                <w:sz w:val="20"/>
                <w:szCs w:val="20"/>
                <w:lang w:val="sr-Latn-BA"/>
              </w:rPr>
              <w:t>od</w:t>
            </w:r>
            <w:r w:rsidR="00875596" w:rsidRPr="001B53A8">
              <w:rPr>
                <w:sz w:val="20"/>
                <w:szCs w:val="20"/>
                <w:lang w:val="sr-Latn-BA"/>
              </w:rPr>
              <w:t xml:space="preserve"> </w:t>
            </w:r>
            <w:r w:rsidRPr="001B53A8">
              <w:rPr>
                <w:sz w:val="20"/>
                <w:szCs w:val="20"/>
                <w:lang w:val="sr-Latn-BA"/>
              </w:rPr>
              <w:t>vrijednosti</w:t>
            </w:r>
            <w:r w:rsidR="00875596" w:rsidRPr="001B53A8">
              <w:rPr>
                <w:sz w:val="20"/>
                <w:szCs w:val="20"/>
                <w:lang w:val="sr-Latn-BA"/>
              </w:rPr>
              <w:t xml:space="preserve">, </w:t>
            </w:r>
            <w:r w:rsidRPr="001B53A8">
              <w:rPr>
                <w:sz w:val="20"/>
                <w:szCs w:val="20"/>
                <w:lang w:val="sr-Latn-BA"/>
              </w:rPr>
              <w:t>faktoring</w:t>
            </w:r>
            <w:r w:rsidR="00875596" w:rsidRPr="001B53A8">
              <w:rPr>
                <w:sz w:val="20"/>
                <w:szCs w:val="20"/>
                <w:lang w:val="sr-Latn-BA"/>
              </w:rPr>
              <w:t xml:space="preserve">, </w:t>
            </w:r>
            <w:r w:rsidRPr="001B53A8">
              <w:rPr>
                <w:sz w:val="20"/>
                <w:szCs w:val="20"/>
                <w:lang w:val="sr-Latn-BA"/>
              </w:rPr>
              <w:t>usluga</w:t>
            </w:r>
            <w:r w:rsidR="00875596" w:rsidRPr="001B53A8">
              <w:rPr>
                <w:sz w:val="20"/>
                <w:szCs w:val="20"/>
                <w:lang w:val="sr-Latn-BA"/>
              </w:rPr>
              <w:t xml:space="preserve"> </w:t>
            </w:r>
            <w:r w:rsidRPr="001B53A8">
              <w:rPr>
                <w:sz w:val="20"/>
                <w:szCs w:val="20"/>
                <w:lang w:val="sr-Latn-BA"/>
              </w:rPr>
              <w:t>povezanih</w:t>
            </w:r>
            <w:r w:rsidR="00875596" w:rsidRPr="001B53A8">
              <w:rPr>
                <w:sz w:val="20"/>
                <w:szCs w:val="20"/>
                <w:lang w:val="sr-Latn-BA"/>
              </w:rPr>
              <w:t xml:space="preserve"> </w:t>
            </w:r>
            <w:r w:rsidRPr="001B53A8">
              <w:rPr>
                <w:sz w:val="20"/>
                <w:szCs w:val="20"/>
                <w:lang w:val="sr-Latn-BA"/>
              </w:rPr>
              <w:t>sa</w:t>
            </w:r>
            <w:r w:rsidR="00875596" w:rsidRPr="001B53A8">
              <w:rPr>
                <w:sz w:val="20"/>
                <w:szCs w:val="20"/>
                <w:lang w:val="sr-Latn-BA"/>
              </w:rPr>
              <w:t xml:space="preserve"> </w:t>
            </w:r>
            <w:r w:rsidRPr="001B53A8">
              <w:rPr>
                <w:sz w:val="20"/>
                <w:szCs w:val="20"/>
                <w:lang w:val="sr-Latn-BA"/>
              </w:rPr>
              <w:t>virtuelnim</w:t>
            </w:r>
            <w:r w:rsidR="00875596" w:rsidRPr="001B53A8">
              <w:rPr>
                <w:sz w:val="20"/>
                <w:szCs w:val="20"/>
                <w:lang w:val="sr-Latn-BA"/>
              </w:rPr>
              <w:t xml:space="preserve"> </w:t>
            </w:r>
            <w:r w:rsidRPr="001B53A8">
              <w:rPr>
                <w:sz w:val="20"/>
                <w:szCs w:val="20"/>
                <w:lang w:val="sr-Latn-BA"/>
              </w:rPr>
              <w:t>valutama</w:t>
            </w:r>
            <w:r w:rsidR="00875596" w:rsidRPr="001B53A8">
              <w:rPr>
                <w:sz w:val="20"/>
                <w:szCs w:val="20"/>
                <w:lang w:val="sr-Latn-BA"/>
              </w:rPr>
              <w:t xml:space="preserve">, </w:t>
            </w:r>
            <w:r w:rsidRPr="001B53A8">
              <w:rPr>
                <w:sz w:val="20"/>
                <w:szCs w:val="20"/>
                <w:lang w:val="sr-Latn-BA"/>
              </w:rPr>
              <w:t>osiguranja</w:t>
            </w:r>
            <w:r w:rsidR="00875596" w:rsidRPr="001B53A8">
              <w:rPr>
                <w:sz w:val="20"/>
                <w:szCs w:val="20"/>
                <w:lang w:val="sr-Latn-BA"/>
              </w:rPr>
              <w:t xml:space="preserve"> </w:t>
            </w:r>
            <w:r w:rsidRPr="001B53A8">
              <w:rPr>
                <w:sz w:val="20"/>
                <w:szCs w:val="20"/>
                <w:lang w:val="sr-Latn-BA"/>
              </w:rPr>
              <w:t>i</w:t>
            </w:r>
            <w:r w:rsidR="00875596" w:rsidRPr="001B53A8">
              <w:rPr>
                <w:sz w:val="20"/>
                <w:szCs w:val="20"/>
                <w:lang w:val="sr-Latn-BA"/>
              </w:rPr>
              <w:t xml:space="preserve"> </w:t>
            </w:r>
            <w:r w:rsidRPr="001B53A8">
              <w:rPr>
                <w:sz w:val="20"/>
                <w:szCs w:val="20"/>
                <w:lang w:val="sr-Latn-BA"/>
              </w:rPr>
              <w:t>mikrokreditne</w:t>
            </w:r>
            <w:r w:rsidR="00875596" w:rsidRPr="001B53A8">
              <w:rPr>
                <w:sz w:val="20"/>
                <w:szCs w:val="20"/>
                <w:lang w:val="sr-Latn-BA"/>
              </w:rPr>
              <w:t xml:space="preserve"> </w:t>
            </w:r>
            <w:r w:rsidRPr="001B53A8">
              <w:rPr>
                <w:sz w:val="20"/>
                <w:szCs w:val="20"/>
                <w:lang w:val="sr-Latn-BA"/>
              </w:rPr>
              <w:t>organizacije</w:t>
            </w:r>
            <w:r w:rsidR="00875596" w:rsidRPr="001B53A8">
              <w:rPr>
                <w:iCs/>
                <w:sz w:val="20"/>
                <w:szCs w:val="20"/>
                <w:lang w:val="sr-Latn-BA"/>
              </w:rPr>
              <w:t xml:space="preserve"> (</w:t>
            </w:r>
            <w:r w:rsidRPr="001B53A8">
              <w:rPr>
                <w:iCs/>
                <w:sz w:val="20"/>
                <w:szCs w:val="20"/>
                <w:lang w:val="sr-Latn-BA"/>
              </w:rPr>
              <w:t>prijetnje</w:t>
            </w:r>
            <w:r w:rsidR="00875596" w:rsidRPr="001B53A8">
              <w:rPr>
                <w:iCs/>
                <w:sz w:val="20"/>
                <w:szCs w:val="20"/>
                <w:lang w:val="sr-Latn-BA"/>
              </w:rPr>
              <w:t xml:space="preserve"> </w:t>
            </w:r>
            <w:r w:rsidRPr="001B53A8">
              <w:rPr>
                <w:iCs/>
                <w:sz w:val="20"/>
                <w:szCs w:val="20"/>
                <w:lang w:val="sr-Latn-BA"/>
              </w:rPr>
              <w:t>i</w:t>
            </w:r>
            <w:r w:rsidR="00875596" w:rsidRPr="001B53A8">
              <w:rPr>
                <w:iCs/>
                <w:sz w:val="20"/>
                <w:szCs w:val="20"/>
                <w:lang w:val="sr-Latn-BA"/>
              </w:rPr>
              <w:t xml:space="preserve"> </w:t>
            </w:r>
            <w:r w:rsidRPr="001B53A8">
              <w:rPr>
                <w:iCs/>
                <w:sz w:val="20"/>
                <w:szCs w:val="20"/>
                <w:lang w:val="sr-Latn-BA"/>
              </w:rPr>
              <w:t>ranjivost</w:t>
            </w:r>
            <w:r w:rsidR="00875596" w:rsidRPr="001B53A8">
              <w:rPr>
                <w:iCs/>
                <w:sz w:val="20"/>
                <w:szCs w:val="20"/>
                <w:lang w:val="sr-Latn-BA"/>
              </w:rPr>
              <w:t xml:space="preserve"> </w:t>
            </w:r>
            <w:r w:rsidRPr="001B53A8">
              <w:rPr>
                <w:iCs/>
                <w:sz w:val="20"/>
                <w:szCs w:val="20"/>
                <w:lang w:val="sr-Latn-BA"/>
              </w:rPr>
              <w:t>sistema</w:t>
            </w:r>
            <w:r w:rsidR="00875596" w:rsidRPr="001B53A8">
              <w:rPr>
                <w:iCs/>
                <w:sz w:val="20"/>
                <w:szCs w:val="20"/>
                <w:lang w:val="sr-Latn-BA"/>
              </w:rPr>
              <w:t>),</w:t>
            </w:r>
          </w:p>
          <w:p w14:paraId="7FB5DAA7" w14:textId="6427B0FA" w:rsidR="00875596" w:rsidRPr="001B53A8" w:rsidRDefault="00003F34" w:rsidP="00875596">
            <w:pPr>
              <w:pStyle w:val="ListParagraph"/>
              <w:numPr>
                <w:ilvl w:val="0"/>
                <w:numId w:val="43"/>
              </w:numPr>
              <w:tabs>
                <w:tab w:val="left" w:pos="240"/>
              </w:tabs>
              <w:spacing w:after="0" w:line="240" w:lineRule="auto"/>
              <w:ind w:left="0" w:firstLine="0"/>
              <w:contextualSpacing w:val="0"/>
              <w:jc w:val="left"/>
              <w:cnfStyle w:val="000000100000" w:firstRow="0" w:lastRow="0" w:firstColumn="0" w:lastColumn="0" w:oddVBand="0" w:evenVBand="0" w:oddHBand="1" w:evenHBand="0" w:firstRowFirstColumn="0" w:firstRowLastColumn="0" w:lastRowFirstColumn="0" w:lastRowLastColumn="0"/>
              <w:rPr>
                <w:sz w:val="20"/>
                <w:szCs w:val="20"/>
                <w:lang w:val="sr-Latn-BA" w:eastAsia="hr-HR"/>
              </w:rPr>
            </w:pPr>
            <w:r w:rsidRPr="001B53A8">
              <w:rPr>
                <w:sz w:val="20"/>
                <w:szCs w:val="20"/>
                <w:lang w:val="sr-Latn-BA"/>
              </w:rPr>
              <w:t>Pranje</w:t>
            </w:r>
            <w:r w:rsidR="00875596" w:rsidRPr="001B53A8">
              <w:rPr>
                <w:sz w:val="20"/>
                <w:szCs w:val="20"/>
                <w:lang w:val="sr-Latn-BA"/>
              </w:rPr>
              <w:t xml:space="preserve"> </w:t>
            </w:r>
            <w:r w:rsidRPr="001B53A8">
              <w:rPr>
                <w:sz w:val="20"/>
                <w:szCs w:val="20"/>
                <w:lang w:val="sr-Latn-BA"/>
              </w:rPr>
              <w:t>novca</w:t>
            </w:r>
            <w:r w:rsidR="00875596" w:rsidRPr="001B53A8">
              <w:rPr>
                <w:sz w:val="20"/>
                <w:szCs w:val="20"/>
                <w:lang w:val="sr-Latn-BA"/>
              </w:rPr>
              <w:t xml:space="preserve"> </w:t>
            </w:r>
            <w:r w:rsidRPr="001B53A8">
              <w:rPr>
                <w:sz w:val="20"/>
                <w:szCs w:val="20"/>
                <w:lang w:val="sr-Latn-BA"/>
              </w:rPr>
              <w:t>u</w:t>
            </w:r>
            <w:r w:rsidR="00875596" w:rsidRPr="001B53A8">
              <w:rPr>
                <w:sz w:val="20"/>
                <w:szCs w:val="20"/>
                <w:lang w:val="sr-Latn-BA"/>
              </w:rPr>
              <w:t xml:space="preserve"> </w:t>
            </w:r>
            <w:r w:rsidRPr="001B53A8">
              <w:rPr>
                <w:sz w:val="20"/>
                <w:szCs w:val="20"/>
                <w:lang w:val="sr-Latn-BA"/>
              </w:rPr>
              <w:t>BiH</w:t>
            </w:r>
            <w:r w:rsidR="00875596" w:rsidRPr="001B53A8">
              <w:rPr>
                <w:sz w:val="20"/>
                <w:szCs w:val="20"/>
                <w:lang w:val="sr-Latn-BA"/>
              </w:rPr>
              <w:t xml:space="preserve"> </w:t>
            </w:r>
            <w:r w:rsidRPr="001B53A8">
              <w:rPr>
                <w:sz w:val="20"/>
                <w:szCs w:val="20"/>
                <w:lang w:val="sr-Latn-BA"/>
              </w:rPr>
              <w:t>povezano</w:t>
            </w:r>
            <w:r w:rsidR="00875596" w:rsidRPr="001B53A8">
              <w:rPr>
                <w:sz w:val="20"/>
                <w:szCs w:val="20"/>
                <w:lang w:val="sr-Latn-BA"/>
              </w:rPr>
              <w:t xml:space="preserve"> </w:t>
            </w:r>
            <w:r w:rsidRPr="001B53A8">
              <w:rPr>
                <w:sz w:val="20"/>
                <w:szCs w:val="20"/>
                <w:lang w:val="sr-Latn-BA"/>
              </w:rPr>
              <w:t>sa</w:t>
            </w:r>
            <w:r w:rsidR="00875596" w:rsidRPr="001B53A8">
              <w:rPr>
                <w:sz w:val="20"/>
                <w:szCs w:val="20"/>
                <w:lang w:val="sr-Latn-BA"/>
              </w:rPr>
              <w:t xml:space="preserve"> </w:t>
            </w:r>
            <w:r w:rsidRPr="001B53A8">
              <w:rPr>
                <w:sz w:val="20"/>
                <w:szCs w:val="20"/>
                <w:lang w:val="sr-Latn-BA"/>
              </w:rPr>
              <w:t>virtuelnom</w:t>
            </w:r>
            <w:r w:rsidR="00875596" w:rsidRPr="001B53A8">
              <w:rPr>
                <w:sz w:val="20"/>
                <w:szCs w:val="20"/>
                <w:lang w:val="sr-Latn-BA"/>
              </w:rPr>
              <w:t xml:space="preserve"> </w:t>
            </w:r>
            <w:r w:rsidRPr="001B53A8">
              <w:rPr>
                <w:sz w:val="20"/>
                <w:szCs w:val="20"/>
                <w:lang w:val="sr-Latn-BA"/>
              </w:rPr>
              <w:t>imovinom</w:t>
            </w:r>
            <w:r w:rsidR="00875596" w:rsidRPr="001B53A8">
              <w:rPr>
                <w:sz w:val="20"/>
                <w:szCs w:val="20"/>
                <w:lang w:val="sr-Latn-BA"/>
              </w:rPr>
              <w:t>,</w:t>
            </w:r>
          </w:p>
          <w:p w14:paraId="7E923186" w14:textId="2784111A" w:rsidR="00875596" w:rsidRPr="001B53A8" w:rsidRDefault="00003F34" w:rsidP="00875596">
            <w:pPr>
              <w:pStyle w:val="ListParagraph"/>
              <w:numPr>
                <w:ilvl w:val="0"/>
                <w:numId w:val="43"/>
              </w:numPr>
              <w:tabs>
                <w:tab w:val="left" w:pos="240"/>
              </w:tabs>
              <w:spacing w:after="0" w:line="240" w:lineRule="auto"/>
              <w:ind w:left="0" w:firstLine="0"/>
              <w:contextualSpacing w:val="0"/>
              <w:jc w:val="left"/>
              <w:cnfStyle w:val="000000100000" w:firstRow="0" w:lastRow="0" w:firstColumn="0" w:lastColumn="0" w:oddVBand="0" w:evenVBand="0" w:oddHBand="1" w:evenHBand="0" w:firstRowFirstColumn="0" w:firstRowLastColumn="0" w:lastRowFirstColumn="0" w:lastRowLastColumn="0"/>
              <w:rPr>
                <w:sz w:val="20"/>
                <w:szCs w:val="20"/>
                <w:lang w:val="sr-Latn-BA" w:eastAsia="hr-HR"/>
              </w:rPr>
            </w:pPr>
            <w:r w:rsidRPr="001B53A8">
              <w:rPr>
                <w:rFonts w:eastAsia="TimesNewRomanPSMT"/>
                <w:sz w:val="20"/>
                <w:szCs w:val="20"/>
                <w:lang w:val="sr-Latn-BA" w:eastAsia="hr-HR"/>
              </w:rPr>
              <w:t>Restriktivne</w:t>
            </w:r>
            <w:r w:rsidR="00875596" w:rsidRPr="001B53A8">
              <w:rPr>
                <w:rFonts w:eastAsia="TimesNewRomanPSMT"/>
                <w:sz w:val="20"/>
                <w:szCs w:val="20"/>
                <w:lang w:val="sr-Latn-BA" w:eastAsia="hr-HR"/>
              </w:rPr>
              <w:t xml:space="preserve"> </w:t>
            </w:r>
            <w:r w:rsidRPr="001B53A8">
              <w:rPr>
                <w:rFonts w:eastAsia="TimesNewRomanPSMT"/>
                <w:sz w:val="20"/>
                <w:szCs w:val="20"/>
                <w:lang w:val="sr-Latn-BA" w:eastAsia="hr-HR"/>
              </w:rPr>
              <w:t>mjere</w:t>
            </w:r>
            <w:r w:rsidR="00875596" w:rsidRPr="001B53A8">
              <w:rPr>
                <w:rFonts w:eastAsia="TimesNewRomanPSMT"/>
                <w:sz w:val="20"/>
                <w:szCs w:val="20"/>
                <w:lang w:val="sr-Latn-BA" w:eastAsia="hr-HR"/>
              </w:rPr>
              <w:t>,</w:t>
            </w:r>
          </w:p>
          <w:p w14:paraId="4982E16F" w14:textId="3DC33768" w:rsidR="00875596" w:rsidRPr="001B53A8" w:rsidRDefault="00003F34" w:rsidP="00875596">
            <w:pPr>
              <w:keepNext/>
              <w:keepLines/>
              <w:tabs>
                <w:tab w:val="left" w:pos="240"/>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b/>
                <w:bCs/>
                <w:sz w:val="20"/>
                <w:szCs w:val="20"/>
                <w:lang w:val="sr-Latn-BA"/>
              </w:rPr>
            </w:pPr>
            <w:r w:rsidRPr="001B53A8">
              <w:rPr>
                <w:sz w:val="20"/>
                <w:szCs w:val="20"/>
                <w:lang w:val="sr-Latn-BA"/>
              </w:rPr>
              <w:t>Tipologije</w:t>
            </w:r>
            <w:r w:rsidR="00875596" w:rsidRPr="001B53A8">
              <w:rPr>
                <w:sz w:val="20"/>
                <w:szCs w:val="20"/>
                <w:lang w:val="sr-Latn-BA"/>
              </w:rPr>
              <w:t xml:space="preserve"> </w:t>
            </w:r>
            <w:r w:rsidRPr="001B53A8">
              <w:rPr>
                <w:sz w:val="20"/>
                <w:szCs w:val="20"/>
                <w:lang w:val="sr-Latn-BA"/>
              </w:rPr>
              <w:t>pranja</w:t>
            </w:r>
            <w:r w:rsidR="00875596" w:rsidRPr="001B53A8">
              <w:rPr>
                <w:sz w:val="20"/>
                <w:szCs w:val="20"/>
                <w:lang w:val="sr-Latn-BA"/>
              </w:rPr>
              <w:t xml:space="preserve"> </w:t>
            </w:r>
            <w:r w:rsidRPr="001B53A8">
              <w:rPr>
                <w:sz w:val="20"/>
                <w:szCs w:val="20"/>
                <w:lang w:val="sr-Latn-BA"/>
              </w:rPr>
              <w:t>novca</w:t>
            </w:r>
            <w:r w:rsidR="00875596" w:rsidRPr="001B53A8">
              <w:rPr>
                <w:sz w:val="20"/>
                <w:szCs w:val="20"/>
                <w:lang w:val="sr-Latn-BA"/>
              </w:rPr>
              <w:t xml:space="preserve"> </w:t>
            </w:r>
            <w:r w:rsidRPr="001B53A8">
              <w:rPr>
                <w:sz w:val="20"/>
                <w:szCs w:val="20"/>
                <w:lang w:val="sr-Latn-BA"/>
              </w:rPr>
              <w:t>i</w:t>
            </w:r>
            <w:r w:rsidR="00875596" w:rsidRPr="001B53A8">
              <w:rPr>
                <w:sz w:val="20"/>
                <w:szCs w:val="20"/>
                <w:lang w:val="sr-Latn-BA"/>
              </w:rPr>
              <w:t xml:space="preserve"> </w:t>
            </w:r>
            <w:r w:rsidRPr="001B53A8">
              <w:rPr>
                <w:sz w:val="20"/>
                <w:szCs w:val="20"/>
                <w:lang w:val="sr-Latn-BA"/>
              </w:rPr>
              <w:t>studije</w:t>
            </w:r>
            <w:r w:rsidR="00875596" w:rsidRPr="001B53A8">
              <w:rPr>
                <w:sz w:val="20"/>
                <w:szCs w:val="20"/>
                <w:lang w:val="sr-Latn-BA"/>
              </w:rPr>
              <w:t xml:space="preserve"> </w:t>
            </w:r>
            <w:r w:rsidRPr="001B53A8">
              <w:rPr>
                <w:sz w:val="20"/>
                <w:szCs w:val="20"/>
                <w:lang w:val="sr-Latn-BA"/>
              </w:rPr>
              <w:t>slučaja</w:t>
            </w:r>
            <w:r w:rsidR="00875596" w:rsidRPr="001B53A8">
              <w:rPr>
                <w:sz w:val="20"/>
                <w:szCs w:val="20"/>
                <w:lang w:val="sr-Latn-BA" w:eastAsia="hr-HR"/>
              </w:rPr>
              <w:t xml:space="preserve"> </w:t>
            </w:r>
            <w:r w:rsidRPr="001B53A8">
              <w:rPr>
                <w:sz w:val="20"/>
                <w:szCs w:val="20"/>
                <w:lang w:val="sr-Latn-BA"/>
              </w:rPr>
              <w:t>u</w:t>
            </w:r>
            <w:r w:rsidR="00875596" w:rsidRPr="001B53A8">
              <w:rPr>
                <w:sz w:val="20"/>
                <w:szCs w:val="20"/>
                <w:lang w:val="sr-Latn-BA"/>
              </w:rPr>
              <w:t xml:space="preserve"> </w:t>
            </w:r>
            <w:r w:rsidRPr="001B53A8">
              <w:rPr>
                <w:sz w:val="20"/>
                <w:szCs w:val="20"/>
                <w:lang w:val="sr-Latn-BA"/>
              </w:rPr>
              <w:t>vezi</w:t>
            </w:r>
            <w:r w:rsidR="00875596" w:rsidRPr="001B53A8">
              <w:rPr>
                <w:sz w:val="20"/>
                <w:szCs w:val="20"/>
                <w:lang w:val="sr-Latn-BA"/>
              </w:rPr>
              <w:t xml:space="preserve"> </w:t>
            </w:r>
            <w:r w:rsidRPr="001B53A8">
              <w:rPr>
                <w:sz w:val="20"/>
                <w:szCs w:val="20"/>
                <w:lang w:val="sr-Latn-BA"/>
              </w:rPr>
              <w:t>sa</w:t>
            </w:r>
            <w:r w:rsidR="00875596" w:rsidRPr="001B53A8">
              <w:rPr>
                <w:sz w:val="20"/>
                <w:szCs w:val="20"/>
                <w:lang w:val="sr-Latn-BA"/>
              </w:rPr>
              <w:t xml:space="preserve"> </w:t>
            </w:r>
            <w:r w:rsidRPr="001B53A8">
              <w:rPr>
                <w:sz w:val="20"/>
                <w:szCs w:val="20"/>
                <w:lang w:val="sr-Latn-BA"/>
              </w:rPr>
              <w:t>hartija</w:t>
            </w:r>
            <w:r w:rsidR="00875596" w:rsidRPr="001B53A8">
              <w:rPr>
                <w:sz w:val="20"/>
                <w:szCs w:val="20"/>
                <w:lang w:val="sr-Latn-BA"/>
              </w:rPr>
              <w:t xml:space="preserve"> </w:t>
            </w:r>
            <w:r w:rsidRPr="001B53A8">
              <w:rPr>
                <w:sz w:val="20"/>
                <w:szCs w:val="20"/>
                <w:lang w:val="sr-Latn-BA"/>
              </w:rPr>
              <w:t>od</w:t>
            </w:r>
            <w:r w:rsidR="00875596" w:rsidRPr="001B53A8">
              <w:rPr>
                <w:sz w:val="20"/>
                <w:szCs w:val="20"/>
                <w:lang w:val="sr-Latn-BA"/>
              </w:rPr>
              <w:t xml:space="preserve"> </w:t>
            </w:r>
            <w:r w:rsidRPr="001B53A8">
              <w:rPr>
                <w:sz w:val="20"/>
                <w:szCs w:val="20"/>
                <w:lang w:val="sr-Latn-BA"/>
              </w:rPr>
              <w:t>vrijednosti</w:t>
            </w:r>
            <w:r w:rsidR="00875596" w:rsidRPr="001B53A8">
              <w:rPr>
                <w:sz w:val="20"/>
                <w:szCs w:val="20"/>
                <w:lang w:val="sr-Latn-BA"/>
              </w:rPr>
              <w:t xml:space="preserve">, </w:t>
            </w:r>
            <w:r w:rsidRPr="001B53A8">
              <w:rPr>
                <w:sz w:val="20"/>
                <w:szCs w:val="20"/>
                <w:lang w:val="sr-Latn-BA"/>
              </w:rPr>
              <w:t>faktoringom</w:t>
            </w:r>
            <w:r w:rsidR="00875596" w:rsidRPr="001B53A8">
              <w:rPr>
                <w:sz w:val="20"/>
                <w:szCs w:val="20"/>
                <w:lang w:val="sr-Latn-BA"/>
              </w:rPr>
              <w:t xml:space="preserve">, </w:t>
            </w:r>
            <w:r w:rsidRPr="001B53A8">
              <w:rPr>
                <w:sz w:val="20"/>
                <w:szCs w:val="20"/>
                <w:lang w:val="sr-Latn-BA"/>
              </w:rPr>
              <w:t>uslugama</w:t>
            </w:r>
            <w:r w:rsidR="00875596" w:rsidRPr="001B53A8">
              <w:rPr>
                <w:sz w:val="20"/>
                <w:szCs w:val="20"/>
                <w:lang w:val="sr-Latn-BA"/>
              </w:rPr>
              <w:t xml:space="preserve"> </w:t>
            </w:r>
            <w:r w:rsidRPr="001B53A8">
              <w:rPr>
                <w:sz w:val="20"/>
                <w:szCs w:val="20"/>
                <w:lang w:val="sr-Latn-BA"/>
              </w:rPr>
              <w:t>povezanih</w:t>
            </w:r>
            <w:r w:rsidR="00875596" w:rsidRPr="001B53A8">
              <w:rPr>
                <w:sz w:val="20"/>
                <w:szCs w:val="20"/>
                <w:lang w:val="sr-Latn-BA"/>
              </w:rPr>
              <w:t xml:space="preserve"> </w:t>
            </w:r>
            <w:r w:rsidRPr="001B53A8">
              <w:rPr>
                <w:sz w:val="20"/>
                <w:szCs w:val="20"/>
                <w:lang w:val="sr-Latn-BA"/>
              </w:rPr>
              <w:t>sa</w:t>
            </w:r>
            <w:r w:rsidR="00875596" w:rsidRPr="001B53A8">
              <w:rPr>
                <w:sz w:val="20"/>
                <w:szCs w:val="20"/>
                <w:lang w:val="sr-Latn-BA"/>
              </w:rPr>
              <w:t xml:space="preserve"> </w:t>
            </w:r>
            <w:r w:rsidRPr="001B53A8">
              <w:rPr>
                <w:sz w:val="20"/>
                <w:szCs w:val="20"/>
                <w:lang w:val="sr-Latn-BA"/>
              </w:rPr>
              <w:t>virtuelnim</w:t>
            </w:r>
            <w:r w:rsidR="00875596" w:rsidRPr="001B53A8">
              <w:rPr>
                <w:sz w:val="20"/>
                <w:szCs w:val="20"/>
                <w:lang w:val="sr-Latn-BA"/>
              </w:rPr>
              <w:t xml:space="preserve"> </w:t>
            </w:r>
            <w:r w:rsidRPr="001B53A8">
              <w:rPr>
                <w:sz w:val="20"/>
                <w:szCs w:val="20"/>
                <w:lang w:val="sr-Latn-BA"/>
              </w:rPr>
              <w:t>valutama</w:t>
            </w:r>
            <w:r w:rsidR="00875596" w:rsidRPr="001B53A8">
              <w:rPr>
                <w:sz w:val="20"/>
                <w:szCs w:val="20"/>
                <w:lang w:val="sr-Latn-BA"/>
              </w:rPr>
              <w:t xml:space="preserve"> </w:t>
            </w:r>
            <w:r w:rsidRPr="001B53A8">
              <w:rPr>
                <w:sz w:val="20"/>
                <w:szCs w:val="20"/>
                <w:lang w:val="sr-Latn-BA"/>
              </w:rPr>
              <w:t>osiguranjem</w:t>
            </w:r>
            <w:r w:rsidR="00875596" w:rsidRPr="001B53A8">
              <w:rPr>
                <w:sz w:val="20"/>
                <w:szCs w:val="20"/>
                <w:lang w:val="sr-Latn-BA"/>
              </w:rPr>
              <w:t xml:space="preserve"> </w:t>
            </w:r>
            <w:r w:rsidRPr="001B53A8">
              <w:rPr>
                <w:sz w:val="20"/>
                <w:szCs w:val="20"/>
                <w:lang w:val="sr-Latn-BA"/>
              </w:rPr>
              <w:t>i</w:t>
            </w:r>
            <w:r w:rsidR="00875596" w:rsidRPr="001B53A8">
              <w:rPr>
                <w:sz w:val="20"/>
                <w:szCs w:val="20"/>
                <w:lang w:val="sr-Latn-BA"/>
              </w:rPr>
              <w:t xml:space="preserve"> </w:t>
            </w:r>
            <w:r w:rsidRPr="001B53A8">
              <w:rPr>
                <w:sz w:val="20"/>
                <w:szCs w:val="20"/>
                <w:lang w:val="sr-Latn-BA"/>
              </w:rPr>
              <w:t>mikrokreditnim</w:t>
            </w:r>
            <w:r w:rsidR="00875596" w:rsidRPr="001B53A8">
              <w:rPr>
                <w:sz w:val="20"/>
                <w:szCs w:val="20"/>
                <w:lang w:val="sr-Latn-BA"/>
              </w:rPr>
              <w:t xml:space="preserve"> </w:t>
            </w:r>
            <w:r w:rsidRPr="001B53A8">
              <w:rPr>
                <w:sz w:val="20"/>
                <w:szCs w:val="20"/>
                <w:lang w:val="sr-Latn-BA"/>
              </w:rPr>
              <w:t>sektorom</w:t>
            </w:r>
            <w:r w:rsidR="00875596" w:rsidRPr="001B53A8">
              <w:rPr>
                <w:sz w:val="20"/>
                <w:szCs w:val="20"/>
                <w:lang w:val="sr-Latn-BA"/>
              </w:rPr>
              <w:t>.</w:t>
            </w:r>
          </w:p>
        </w:tc>
        <w:tc>
          <w:tcPr>
            <w:tcW w:w="1418" w:type="dxa"/>
          </w:tcPr>
          <w:p w14:paraId="3D0F2DA0" w14:textId="4E2860DF" w:rsidR="00875596" w:rsidRPr="001B53A8" w:rsidRDefault="00003F34" w:rsidP="00875596">
            <w:pPr>
              <w:pStyle w:val="ListParagraph"/>
              <w:numPr>
                <w:ilvl w:val="0"/>
                <w:numId w:val="43"/>
              </w:numPr>
              <w:tabs>
                <w:tab w:val="left" w:pos="204"/>
              </w:tabs>
              <w:spacing w:after="0" w:line="240" w:lineRule="auto"/>
              <w:ind w:left="0" w:firstLine="0"/>
              <w:contextualSpacing w:val="0"/>
              <w:jc w:val="left"/>
              <w:cnfStyle w:val="000000100000" w:firstRow="0" w:lastRow="0" w:firstColumn="0" w:lastColumn="0" w:oddVBand="0" w:evenVBand="0" w:oddHBand="1" w:evenHBand="0" w:firstRowFirstColumn="0" w:firstRowLastColumn="0" w:lastRowFirstColumn="0" w:lastRowLastColumn="0"/>
              <w:rPr>
                <w:b/>
                <w:w w:val="107"/>
                <w:sz w:val="20"/>
                <w:szCs w:val="20"/>
                <w:lang w:val="sr-Latn-BA"/>
              </w:rPr>
            </w:pPr>
            <w:r w:rsidRPr="001B53A8">
              <w:rPr>
                <w:rFonts w:eastAsia="TimesNewRomanPSMT"/>
                <w:sz w:val="20"/>
                <w:szCs w:val="20"/>
                <w:lang w:val="sr-Latn-BA"/>
              </w:rPr>
              <w:lastRenderedPageBreak/>
              <w:t>Komisija</w:t>
            </w:r>
            <w:r w:rsidR="00875596" w:rsidRPr="001B53A8">
              <w:rPr>
                <w:rFonts w:eastAsia="TimesNewRomanPSMT"/>
                <w:sz w:val="20"/>
                <w:szCs w:val="20"/>
                <w:lang w:val="sr-Latn-BA"/>
              </w:rPr>
              <w:t xml:space="preserve"> </w:t>
            </w:r>
            <w:r w:rsidRPr="001B53A8">
              <w:rPr>
                <w:rFonts w:eastAsia="TimesNewRomanPSMT"/>
                <w:sz w:val="20"/>
                <w:szCs w:val="20"/>
                <w:lang w:val="sr-Latn-BA"/>
              </w:rPr>
              <w:t>za</w:t>
            </w:r>
            <w:r w:rsidR="00875596" w:rsidRPr="001B53A8">
              <w:rPr>
                <w:rFonts w:eastAsia="TimesNewRomanPSMT"/>
                <w:sz w:val="20"/>
                <w:szCs w:val="20"/>
                <w:lang w:val="sr-Latn-BA"/>
              </w:rPr>
              <w:t xml:space="preserve"> </w:t>
            </w:r>
            <w:r w:rsidRPr="001B53A8">
              <w:rPr>
                <w:rFonts w:eastAsia="TimesNewRomanPSMT"/>
                <w:sz w:val="20"/>
                <w:szCs w:val="20"/>
                <w:lang w:val="sr-Latn-BA"/>
              </w:rPr>
              <w:t>hartije</w:t>
            </w:r>
            <w:r w:rsidR="00875596" w:rsidRPr="001B53A8">
              <w:rPr>
                <w:rFonts w:eastAsia="TimesNewRomanPSMT"/>
                <w:sz w:val="20"/>
                <w:szCs w:val="20"/>
                <w:lang w:val="sr-Latn-BA"/>
              </w:rPr>
              <w:t xml:space="preserve"> </w:t>
            </w:r>
            <w:r w:rsidRPr="001B53A8">
              <w:rPr>
                <w:rFonts w:eastAsia="TimesNewRomanPSMT"/>
                <w:sz w:val="20"/>
                <w:szCs w:val="20"/>
                <w:lang w:val="sr-Latn-BA"/>
              </w:rPr>
              <w:t>od</w:t>
            </w:r>
            <w:r w:rsidR="00875596" w:rsidRPr="001B53A8">
              <w:rPr>
                <w:rFonts w:eastAsia="TimesNewRomanPSMT"/>
                <w:sz w:val="20"/>
                <w:szCs w:val="20"/>
                <w:lang w:val="sr-Latn-BA"/>
              </w:rPr>
              <w:t xml:space="preserve"> </w:t>
            </w:r>
            <w:r w:rsidRPr="001B53A8">
              <w:rPr>
                <w:rFonts w:eastAsia="TimesNewRomanPSMT"/>
                <w:sz w:val="20"/>
                <w:szCs w:val="20"/>
                <w:lang w:val="sr-Latn-BA"/>
              </w:rPr>
              <w:t>vrijednosti</w:t>
            </w:r>
            <w:r w:rsidR="00875596" w:rsidRPr="001B53A8">
              <w:rPr>
                <w:rFonts w:eastAsia="TimesNewRomanPSMT"/>
                <w:sz w:val="20"/>
                <w:szCs w:val="20"/>
                <w:lang w:val="sr-Latn-BA"/>
              </w:rPr>
              <w:t xml:space="preserve"> </w:t>
            </w:r>
            <w:r w:rsidRPr="001B53A8">
              <w:rPr>
                <w:rFonts w:eastAsia="TimesNewRomanPSMT"/>
                <w:sz w:val="20"/>
                <w:szCs w:val="20"/>
                <w:lang w:val="sr-Latn-BA"/>
              </w:rPr>
              <w:t>Republike</w:t>
            </w:r>
            <w:r w:rsidR="00875596" w:rsidRPr="001B53A8">
              <w:rPr>
                <w:rFonts w:eastAsia="TimesNewRomanPSMT"/>
                <w:sz w:val="20"/>
                <w:szCs w:val="20"/>
                <w:lang w:val="sr-Latn-BA"/>
              </w:rPr>
              <w:t xml:space="preserve"> </w:t>
            </w:r>
            <w:r w:rsidRPr="001B53A8">
              <w:rPr>
                <w:rFonts w:eastAsia="TimesNewRomanPSMT"/>
                <w:sz w:val="20"/>
                <w:szCs w:val="20"/>
                <w:lang w:val="sr-Latn-BA"/>
              </w:rPr>
              <w:t>Srpske</w:t>
            </w:r>
            <w:r w:rsidR="00875596" w:rsidRPr="001B53A8">
              <w:rPr>
                <w:rFonts w:eastAsia="TimesNewRomanPSMT"/>
                <w:sz w:val="20"/>
                <w:szCs w:val="20"/>
                <w:lang w:val="sr-Latn-BA"/>
              </w:rPr>
              <w:t>,</w:t>
            </w:r>
          </w:p>
          <w:p w14:paraId="0A5625D9" w14:textId="0934D999" w:rsidR="00875596" w:rsidRPr="001B53A8" w:rsidRDefault="00003F34" w:rsidP="00875596">
            <w:pPr>
              <w:pStyle w:val="ListParagraph"/>
              <w:numPr>
                <w:ilvl w:val="0"/>
                <w:numId w:val="43"/>
              </w:numPr>
              <w:tabs>
                <w:tab w:val="left" w:pos="204"/>
              </w:tabs>
              <w:spacing w:after="0" w:line="240" w:lineRule="auto"/>
              <w:ind w:left="0" w:firstLine="0"/>
              <w:contextualSpacing w:val="0"/>
              <w:jc w:val="left"/>
              <w:cnfStyle w:val="000000100000" w:firstRow="0" w:lastRow="0" w:firstColumn="0" w:lastColumn="0" w:oddVBand="0" w:evenVBand="0" w:oddHBand="1" w:evenHBand="0" w:firstRowFirstColumn="0" w:firstRowLastColumn="0" w:lastRowFirstColumn="0" w:lastRowLastColumn="0"/>
              <w:rPr>
                <w:b/>
                <w:w w:val="107"/>
                <w:sz w:val="20"/>
                <w:szCs w:val="20"/>
                <w:lang w:val="sr-Latn-BA"/>
              </w:rPr>
            </w:pPr>
            <w:r w:rsidRPr="001B53A8">
              <w:rPr>
                <w:rFonts w:eastAsia="TimesNewRomanPSMT"/>
                <w:sz w:val="20"/>
                <w:szCs w:val="20"/>
                <w:lang w:val="sr-Latn-BA"/>
              </w:rPr>
              <w:t>Agencija</w:t>
            </w:r>
            <w:r w:rsidR="00875596" w:rsidRPr="001B53A8">
              <w:rPr>
                <w:rFonts w:eastAsia="TimesNewRomanPSMT"/>
                <w:sz w:val="20"/>
                <w:szCs w:val="20"/>
                <w:lang w:val="sr-Latn-BA"/>
              </w:rPr>
              <w:t xml:space="preserve"> </w:t>
            </w:r>
            <w:r w:rsidRPr="001B53A8">
              <w:rPr>
                <w:rFonts w:eastAsia="TimesNewRomanPSMT"/>
                <w:sz w:val="20"/>
                <w:szCs w:val="20"/>
                <w:lang w:val="sr-Latn-BA"/>
              </w:rPr>
              <w:t>za</w:t>
            </w:r>
            <w:r w:rsidR="00875596" w:rsidRPr="001B53A8">
              <w:rPr>
                <w:rFonts w:eastAsia="TimesNewRomanPSMT"/>
                <w:sz w:val="20"/>
                <w:szCs w:val="20"/>
                <w:lang w:val="sr-Latn-BA"/>
              </w:rPr>
              <w:t xml:space="preserve"> </w:t>
            </w:r>
            <w:r w:rsidRPr="001B53A8">
              <w:rPr>
                <w:rFonts w:eastAsia="TimesNewRomanPSMT"/>
                <w:sz w:val="20"/>
                <w:szCs w:val="20"/>
                <w:lang w:val="sr-Latn-BA"/>
              </w:rPr>
              <w:t>osiguranje</w:t>
            </w:r>
            <w:r w:rsidR="00875596" w:rsidRPr="001B53A8">
              <w:rPr>
                <w:rFonts w:eastAsia="TimesNewRomanPSMT"/>
                <w:sz w:val="20"/>
                <w:szCs w:val="20"/>
                <w:lang w:val="sr-Latn-BA"/>
              </w:rPr>
              <w:t xml:space="preserve"> </w:t>
            </w:r>
            <w:r w:rsidRPr="001B53A8">
              <w:rPr>
                <w:rFonts w:eastAsia="TimesNewRomanPSMT"/>
                <w:sz w:val="20"/>
                <w:szCs w:val="20"/>
                <w:lang w:val="sr-Latn-BA"/>
              </w:rPr>
              <w:t>Republike</w:t>
            </w:r>
            <w:r w:rsidR="00875596" w:rsidRPr="001B53A8">
              <w:rPr>
                <w:rFonts w:eastAsia="TimesNewRomanPSMT"/>
                <w:sz w:val="20"/>
                <w:szCs w:val="20"/>
                <w:lang w:val="sr-Latn-BA"/>
              </w:rPr>
              <w:t xml:space="preserve"> </w:t>
            </w:r>
            <w:r w:rsidRPr="001B53A8">
              <w:rPr>
                <w:rFonts w:eastAsia="TimesNewRomanPSMT"/>
                <w:sz w:val="20"/>
                <w:szCs w:val="20"/>
                <w:lang w:val="sr-Latn-BA"/>
              </w:rPr>
              <w:lastRenderedPageBreak/>
              <w:t>Srpske</w:t>
            </w:r>
            <w:r w:rsidR="00875596" w:rsidRPr="001B53A8">
              <w:rPr>
                <w:rFonts w:eastAsia="TimesNewRomanPSMT"/>
                <w:sz w:val="20"/>
                <w:szCs w:val="20"/>
                <w:lang w:val="sr-Latn-BA"/>
              </w:rPr>
              <w:t xml:space="preserve">  </w:t>
            </w:r>
            <w:r w:rsidRPr="001B53A8">
              <w:rPr>
                <w:rFonts w:eastAsia="TimesNewRomanPSMT"/>
                <w:sz w:val="20"/>
                <w:szCs w:val="20"/>
                <w:lang w:val="sr-Latn-BA"/>
              </w:rPr>
              <w:t>i</w:t>
            </w:r>
            <w:r w:rsidR="00875596" w:rsidRPr="001B53A8">
              <w:rPr>
                <w:rFonts w:eastAsia="TimesNewRomanPSMT"/>
                <w:sz w:val="20"/>
                <w:szCs w:val="20"/>
                <w:lang w:val="sr-Latn-BA"/>
              </w:rPr>
              <w:t xml:space="preserve"> </w:t>
            </w:r>
          </w:p>
          <w:p w14:paraId="25F6BDB1" w14:textId="64C84412" w:rsidR="00875596" w:rsidRPr="001B53A8" w:rsidRDefault="00003F34" w:rsidP="00875596">
            <w:pPr>
              <w:tabs>
                <w:tab w:val="left" w:pos="204"/>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
                <w:w w:val="107"/>
                <w:sz w:val="20"/>
                <w:szCs w:val="20"/>
                <w:lang w:val="sr-Latn-BA"/>
              </w:rPr>
            </w:pPr>
            <w:r w:rsidRPr="001B53A8">
              <w:rPr>
                <w:rFonts w:eastAsia="TimesNewRomanPSMT"/>
                <w:sz w:val="20"/>
                <w:szCs w:val="20"/>
                <w:lang w:val="sr-Latn-BA"/>
              </w:rPr>
              <w:t>Agencija</w:t>
            </w:r>
            <w:r w:rsidR="00875596" w:rsidRPr="001B53A8">
              <w:rPr>
                <w:rFonts w:eastAsia="TimesNewRomanPSMT"/>
                <w:sz w:val="20"/>
                <w:szCs w:val="20"/>
                <w:lang w:val="sr-Latn-BA"/>
              </w:rPr>
              <w:t xml:space="preserve"> </w:t>
            </w:r>
            <w:r w:rsidRPr="001B53A8">
              <w:rPr>
                <w:rFonts w:eastAsia="TimesNewRomanPSMT"/>
                <w:sz w:val="20"/>
                <w:szCs w:val="20"/>
                <w:lang w:val="sr-Latn-BA"/>
              </w:rPr>
              <w:t>za</w:t>
            </w:r>
            <w:r w:rsidR="00875596" w:rsidRPr="001B53A8">
              <w:rPr>
                <w:rFonts w:eastAsia="TimesNewRomanPSMT"/>
                <w:sz w:val="20"/>
                <w:szCs w:val="20"/>
                <w:lang w:val="sr-Latn-BA"/>
              </w:rPr>
              <w:t xml:space="preserve"> </w:t>
            </w:r>
            <w:r w:rsidRPr="001B53A8">
              <w:rPr>
                <w:rFonts w:eastAsia="TimesNewRomanPSMT"/>
                <w:sz w:val="20"/>
                <w:szCs w:val="20"/>
                <w:lang w:val="sr-Latn-BA"/>
              </w:rPr>
              <w:t>bankarstvo</w:t>
            </w:r>
            <w:r w:rsidR="00875596" w:rsidRPr="001B53A8">
              <w:rPr>
                <w:rFonts w:eastAsia="TimesNewRomanPSMT"/>
                <w:sz w:val="20"/>
                <w:szCs w:val="20"/>
                <w:lang w:val="sr-Latn-BA"/>
              </w:rPr>
              <w:t xml:space="preserve"> </w:t>
            </w:r>
            <w:r w:rsidRPr="001B53A8">
              <w:rPr>
                <w:rFonts w:eastAsia="TimesNewRomanPSMT"/>
                <w:sz w:val="20"/>
                <w:szCs w:val="20"/>
                <w:lang w:val="sr-Latn-BA"/>
              </w:rPr>
              <w:t>Republike</w:t>
            </w:r>
            <w:r w:rsidR="00875596" w:rsidRPr="001B53A8">
              <w:rPr>
                <w:rFonts w:eastAsia="TimesNewRomanPSMT"/>
                <w:sz w:val="20"/>
                <w:szCs w:val="20"/>
                <w:lang w:val="sr-Latn-BA"/>
              </w:rPr>
              <w:t xml:space="preserve"> </w:t>
            </w:r>
            <w:r w:rsidRPr="001B53A8">
              <w:rPr>
                <w:rFonts w:eastAsia="TimesNewRomanPSMT"/>
                <w:sz w:val="20"/>
                <w:szCs w:val="20"/>
                <w:lang w:val="sr-Latn-BA"/>
              </w:rPr>
              <w:t>Srpske</w:t>
            </w:r>
          </w:p>
        </w:tc>
        <w:tc>
          <w:tcPr>
            <w:tcW w:w="2203" w:type="dxa"/>
          </w:tcPr>
          <w:p w14:paraId="05D7EA33" w14:textId="3A8A1413" w:rsidR="00875596" w:rsidRPr="001B53A8" w:rsidRDefault="00003F34" w:rsidP="00875596">
            <w:pPr>
              <w:numPr>
                <w:ilvl w:val="0"/>
                <w:numId w:val="43"/>
              </w:numPr>
              <w:tabs>
                <w:tab w:val="left" w:pos="240"/>
              </w:tabs>
              <w:spacing w:after="0" w:line="240" w:lineRule="auto"/>
              <w:ind w:left="0" w:firstLine="0"/>
              <w:jc w:val="left"/>
              <w:cnfStyle w:val="000000100000" w:firstRow="0" w:lastRow="0" w:firstColumn="0" w:lastColumn="0" w:oddVBand="0" w:evenVBand="0" w:oddHBand="1" w:evenHBand="0" w:firstRowFirstColumn="0" w:firstRowLastColumn="0" w:lastRowFirstColumn="0" w:lastRowLastColumn="0"/>
              <w:rPr>
                <w:rFonts w:eastAsia="Calibri"/>
                <w:sz w:val="20"/>
                <w:szCs w:val="20"/>
                <w:lang w:val="sr-Latn-BA"/>
              </w:rPr>
            </w:pPr>
            <w:r w:rsidRPr="001B53A8">
              <w:rPr>
                <w:rFonts w:eastAsia="Calibri"/>
                <w:sz w:val="20"/>
                <w:szCs w:val="20"/>
                <w:lang w:val="sr-Latn-BA"/>
              </w:rPr>
              <w:lastRenderedPageBreak/>
              <w:t>Rajko</w:t>
            </w:r>
            <w:r w:rsidR="00875596" w:rsidRPr="001B53A8">
              <w:rPr>
                <w:rFonts w:eastAsia="Calibri"/>
                <w:sz w:val="20"/>
                <w:szCs w:val="20"/>
                <w:lang w:val="sr-Latn-BA"/>
              </w:rPr>
              <w:t xml:space="preserve"> </w:t>
            </w:r>
            <w:r w:rsidRPr="001B53A8">
              <w:rPr>
                <w:rFonts w:eastAsia="Calibri"/>
                <w:sz w:val="20"/>
                <w:szCs w:val="20"/>
                <w:lang w:val="sr-Latn-BA"/>
              </w:rPr>
              <w:t>Ćuk</w:t>
            </w:r>
            <w:r w:rsidR="00875596" w:rsidRPr="001B53A8">
              <w:rPr>
                <w:rFonts w:eastAsia="Calibri"/>
                <w:sz w:val="20"/>
                <w:szCs w:val="20"/>
                <w:lang w:val="sr-Latn-BA"/>
              </w:rPr>
              <w:t xml:space="preserve">, </w:t>
            </w:r>
            <w:r w:rsidRPr="001B53A8">
              <w:rPr>
                <w:rFonts w:eastAsia="Calibri"/>
                <w:sz w:val="20"/>
                <w:szCs w:val="20"/>
                <w:lang w:val="sr-Latn-BA"/>
              </w:rPr>
              <w:t>Ministarstvo</w:t>
            </w:r>
            <w:r w:rsidR="00875596" w:rsidRPr="001B53A8">
              <w:rPr>
                <w:rFonts w:eastAsia="Calibri"/>
                <w:sz w:val="20"/>
                <w:szCs w:val="20"/>
                <w:lang w:val="sr-Latn-BA"/>
              </w:rPr>
              <w:t xml:space="preserve"> </w:t>
            </w:r>
            <w:r w:rsidRPr="001B53A8">
              <w:rPr>
                <w:rFonts w:eastAsia="Calibri"/>
                <w:sz w:val="20"/>
                <w:szCs w:val="20"/>
                <w:lang w:val="sr-Latn-BA"/>
              </w:rPr>
              <w:t>unutrašnjih</w:t>
            </w:r>
            <w:r w:rsidR="00875596" w:rsidRPr="001B53A8">
              <w:rPr>
                <w:rFonts w:eastAsia="Calibri"/>
                <w:sz w:val="20"/>
                <w:szCs w:val="20"/>
                <w:lang w:val="sr-Latn-BA"/>
              </w:rPr>
              <w:t xml:space="preserve"> </w:t>
            </w:r>
            <w:r w:rsidRPr="001B53A8">
              <w:rPr>
                <w:rFonts w:eastAsia="Calibri"/>
                <w:sz w:val="20"/>
                <w:szCs w:val="20"/>
                <w:lang w:val="sr-Latn-BA"/>
              </w:rPr>
              <w:t>poslova</w:t>
            </w:r>
            <w:r w:rsidR="00875596" w:rsidRPr="001B53A8">
              <w:rPr>
                <w:rFonts w:eastAsia="Calibri"/>
                <w:sz w:val="20"/>
                <w:szCs w:val="20"/>
                <w:lang w:val="sr-Latn-BA"/>
              </w:rPr>
              <w:t xml:space="preserve"> </w:t>
            </w:r>
            <w:r w:rsidRPr="001B53A8">
              <w:rPr>
                <w:rFonts w:eastAsia="Calibri"/>
                <w:sz w:val="20"/>
                <w:szCs w:val="20"/>
                <w:lang w:val="sr-Latn-BA"/>
              </w:rPr>
              <w:t>Republike</w:t>
            </w:r>
            <w:r w:rsidR="00875596" w:rsidRPr="001B53A8">
              <w:rPr>
                <w:rFonts w:eastAsia="Calibri"/>
                <w:sz w:val="20"/>
                <w:szCs w:val="20"/>
                <w:lang w:val="sr-Latn-BA"/>
              </w:rPr>
              <w:t xml:space="preserve"> </w:t>
            </w:r>
            <w:r w:rsidRPr="001B53A8">
              <w:rPr>
                <w:rFonts w:eastAsia="Calibri"/>
                <w:sz w:val="20"/>
                <w:szCs w:val="20"/>
                <w:lang w:val="sr-Latn-BA"/>
              </w:rPr>
              <w:t>Srpske</w:t>
            </w:r>
            <w:r w:rsidR="00875596" w:rsidRPr="001B53A8">
              <w:rPr>
                <w:rFonts w:eastAsia="Calibri"/>
                <w:sz w:val="20"/>
                <w:szCs w:val="20"/>
                <w:lang w:val="sr-Latn-BA"/>
              </w:rPr>
              <w:t>,</w:t>
            </w:r>
          </w:p>
          <w:p w14:paraId="47405129" w14:textId="16E12F6C" w:rsidR="00875596" w:rsidRPr="001B53A8" w:rsidRDefault="00003F34" w:rsidP="00875596">
            <w:pPr>
              <w:numPr>
                <w:ilvl w:val="0"/>
                <w:numId w:val="43"/>
              </w:numPr>
              <w:tabs>
                <w:tab w:val="left" w:pos="240"/>
              </w:tabs>
              <w:spacing w:after="0" w:line="240" w:lineRule="auto"/>
              <w:ind w:left="0" w:firstLine="0"/>
              <w:jc w:val="left"/>
              <w:cnfStyle w:val="000000100000" w:firstRow="0" w:lastRow="0" w:firstColumn="0" w:lastColumn="0" w:oddVBand="0" w:evenVBand="0" w:oddHBand="1" w:evenHBand="0" w:firstRowFirstColumn="0" w:firstRowLastColumn="0" w:lastRowFirstColumn="0" w:lastRowLastColumn="0"/>
              <w:rPr>
                <w:rFonts w:eastAsia="Calibri"/>
                <w:sz w:val="20"/>
                <w:szCs w:val="20"/>
                <w:lang w:val="sr-Latn-BA"/>
              </w:rPr>
            </w:pPr>
            <w:r w:rsidRPr="001B53A8">
              <w:rPr>
                <w:rFonts w:eastAsia="Calibri"/>
                <w:sz w:val="20"/>
                <w:szCs w:val="20"/>
                <w:lang w:val="sr-Latn-BA"/>
              </w:rPr>
              <w:t>Borislav</w:t>
            </w:r>
            <w:r w:rsidR="00875596" w:rsidRPr="001B53A8">
              <w:rPr>
                <w:rFonts w:eastAsia="Calibri"/>
                <w:sz w:val="20"/>
                <w:szCs w:val="20"/>
                <w:lang w:val="sr-Latn-BA"/>
              </w:rPr>
              <w:t xml:space="preserve"> </w:t>
            </w:r>
            <w:r w:rsidRPr="001B53A8">
              <w:rPr>
                <w:rFonts w:eastAsia="Calibri"/>
                <w:sz w:val="20"/>
                <w:szCs w:val="20"/>
                <w:lang w:val="sr-Latn-BA"/>
              </w:rPr>
              <w:t>Čvoro</w:t>
            </w:r>
            <w:r w:rsidR="00875596" w:rsidRPr="001B53A8">
              <w:rPr>
                <w:rFonts w:eastAsia="Calibri"/>
                <w:sz w:val="20"/>
                <w:szCs w:val="20"/>
                <w:lang w:val="sr-Latn-BA"/>
              </w:rPr>
              <w:t xml:space="preserve">, </w:t>
            </w:r>
            <w:r w:rsidRPr="001B53A8">
              <w:rPr>
                <w:rFonts w:eastAsia="Calibri"/>
                <w:sz w:val="20"/>
                <w:szCs w:val="20"/>
                <w:lang w:val="sr-Latn-BA"/>
              </w:rPr>
              <w:t>Državna</w:t>
            </w:r>
            <w:r w:rsidR="00875596" w:rsidRPr="001B53A8">
              <w:rPr>
                <w:rFonts w:eastAsia="Calibri"/>
                <w:sz w:val="20"/>
                <w:szCs w:val="20"/>
                <w:lang w:val="sr-Latn-BA"/>
              </w:rPr>
              <w:t xml:space="preserve"> </w:t>
            </w:r>
            <w:r w:rsidRPr="001B53A8">
              <w:rPr>
                <w:rFonts w:eastAsia="Calibri"/>
                <w:sz w:val="20"/>
                <w:szCs w:val="20"/>
                <w:lang w:val="sr-Latn-BA"/>
              </w:rPr>
              <w:t>agencija</w:t>
            </w:r>
            <w:r w:rsidR="00875596" w:rsidRPr="001B53A8">
              <w:rPr>
                <w:rFonts w:eastAsia="Calibri"/>
                <w:sz w:val="20"/>
                <w:szCs w:val="20"/>
                <w:lang w:val="sr-Latn-BA"/>
              </w:rPr>
              <w:t xml:space="preserve"> </w:t>
            </w:r>
            <w:r w:rsidRPr="001B53A8">
              <w:rPr>
                <w:rFonts w:eastAsia="Calibri"/>
                <w:sz w:val="20"/>
                <w:szCs w:val="20"/>
                <w:lang w:val="sr-Latn-BA"/>
              </w:rPr>
              <w:t>za</w:t>
            </w:r>
            <w:r w:rsidR="00875596" w:rsidRPr="001B53A8">
              <w:rPr>
                <w:rFonts w:eastAsia="Calibri"/>
                <w:sz w:val="20"/>
                <w:szCs w:val="20"/>
                <w:lang w:val="sr-Latn-BA"/>
              </w:rPr>
              <w:t xml:space="preserve"> </w:t>
            </w:r>
            <w:r w:rsidRPr="001B53A8">
              <w:rPr>
                <w:rFonts w:eastAsia="Calibri"/>
                <w:sz w:val="20"/>
                <w:szCs w:val="20"/>
                <w:lang w:val="sr-Latn-BA"/>
              </w:rPr>
              <w:t>istrage</w:t>
            </w:r>
            <w:r w:rsidR="00875596" w:rsidRPr="001B53A8">
              <w:rPr>
                <w:rFonts w:eastAsia="Calibri"/>
                <w:sz w:val="20"/>
                <w:szCs w:val="20"/>
                <w:lang w:val="sr-Latn-BA"/>
              </w:rPr>
              <w:t xml:space="preserve"> </w:t>
            </w:r>
            <w:r w:rsidRPr="001B53A8">
              <w:rPr>
                <w:rFonts w:eastAsia="Calibri"/>
                <w:sz w:val="20"/>
                <w:szCs w:val="20"/>
                <w:lang w:val="sr-Latn-BA"/>
              </w:rPr>
              <w:t>i</w:t>
            </w:r>
            <w:r w:rsidR="00875596" w:rsidRPr="001B53A8">
              <w:rPr>
                <w:rFonts w:eastAsia="Calibri"/>
                <w:sz w:val="20"/>
                <w:szCs w:val="20"/>
                <w:lang w:val="sr-Latn-BA"/>
              </w:rPr>
              <w:t xml:space="preserve"> </w:t>
            </w:r>
            <w:r w:rsidRPr="001B53A8">
              <w:rPr>
                <w:rFonts w:eastAsia="Calibri"/>
                <w:sz w:val="20"/>
                <w:szCs w:val="20"/>
                <w:lang w:val="sr-Latn-BA"/>
              </w:rPr>
              <w:t>zaštitu</w:t>
            </w:r>
            <w:r w:rsidR="00875596" w:rsidRPr="001B53A8">
              <w:rPr>
                <w:rFonts w:eastAsia="Calibri"/>
                <w:sz w:val="20"/>
                <w:szCs w:val="20"/>
                <w:lang w:val="sr-Latn-BA"/>
              </w:rPr>
              <w:t xml:space="preserve"> -</w:t>
            </w:r>
            <w:r w:rsidRPr="001B53A8">
              <w:rPr>
                <w:rFonts w:eastAsia="Calibri"/>
                <w:sz w:val="20"/>
                <w:szCs w:val="20"/>
                <w:lang w:val="sr-Latn-BA"/>
              </w:rPr>
              <w:t>SIPA</w:t>
            </w:r>
            <w:r w:rsidR="00875596" w:rsidRPr="001B53A8">
              <w:rPr>
                <w:rFonts w:eastAsia="Calibri"/>
                <w:sz w:val="20"/>
                <w:szCs w:val="20"/>
                <w:lang w:val="sr-Latn-BA"/>
              </w:rPr>
              <w:t xml:space="preserve"> </w:t>
            </w:r>
            <w:r w:rsidRPr="001B53A8">
              <w:rPr>
                <w:rFonts w:eastAsia="Calibri"/>
                <w:sz w:val="20"/>
                <w:szCs w:val="20"/>
                <w:lang w:val="sr-Latn-BA"/>
              </w:rPr>
              <w:t>i</w:t>
            </w:r>
          </w:p>
          <w:p w14:paraId="0976794D" w14:textId="0D003BD8" w:rsidR="00875596" w:rsidRPr="001B53A8" w:rsidRDefault="00003F34" w:rsidP="00875596">
            <w:pPr>
              <w:tabs>
                <w:tab w:val="left" w:pos="240"/>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sz w:val="20"/>
                <w:szCs w:val="20"/>
                <w:lang w:val="sr-Latn-BA"/>
              </w:rPr>
            </w:pPr>
            <w:r w:rsidRPr="001B53A8">
              <w:rPr>
                <w:rFonts w:eastAsia="Calibri"/>
                <w:sz w:val="20"/>
                <w:szCs w:val="20"/>
                <w:lang w:val="sr-Latn-BA"/>
              </w:rPr>
              <w:t>Nikola</w:t>
            </w:r>
            <w:r w:rsidR="00875596" w:rsidRPr="001B53A8">
              <w:rPr>
                <w:rFonts w:eastAsia="Calibri"/>
                <w:sz w:val="20"/>
                <w:szCs w:val="20"/>
                <w:lang w:val="sr-Latn-BA"/>
              </w:rPr>
              <w:t xml:space="preserve"> </w:t>
            </w:r>
            <w:r w:rsidRPr="001B53A8">
              <w:rPr>
                <w:rFonts w:eastAsia="Calibri"/>
                <w:sz w:val="20"/>
                <w:szCs w:val="20"/>
                <w:lang w:val="sr-Latn-BA"/>
              </w:rPr>
              <w:t>Šlјivar</w:t>
            </w:r>
            <w:r w:rsidR="00875596" w:rsidRPr="001B53A8">
              <w:rPr>
                <w:rFonts w:eastAsia="Calibri"/>
                <w:sz w:val="20"/>
                <w:szCs w:val="20"/>
                <w:lang w:val="sr-Latn-BA"/>
              </w:rPr>
              <w:t xml:space="preserve">, </w:t>
            </w:r>
            <w:r w:rsidRPr="001B53A8">
              <w:rPr>
                <w:rFonts w:eastAsia="Calibri"/>
                <w:sz w:val="20"/>
                <w:szCs w:val="20"/>
                <w:lang w:val="sr-Latn-BA"/>
              </w:rPr>
              <w:t>Uprava</w:t>
            </w:r>
            <w:r w:rsidR="00875596" w:rsidRPr="001B53A8">
              <w:rPr>
                <w:rFonts w:eastAsia="Calibri"/>
                <w:sz w:val="20"/>
                <w:szCs w:val="20"/>
                <w:lang w:val="sr-Latn-BA"/>
              </w:rPr>
              <w:t xml:space="preserve"> </w:t>
            </w:r>
            <w:r w:rsidRPr="001B53A8">
              <w:rPr>
                <w:rFonts w:eastAsia="Calibri"/>
                <w:sz w:val="20"/>
                <w:szCs w:val="20"/>
                <w:lang w:val="sr-Latn-BA"/>
              </w:rPr>
              <w:lastRenderedPageBreak/>
              <w:t>za</w:t>
            </w:r>
            <w:r w:rsidR="00875596" w:rsidRPr="001B53A8">
              <w:rPr>
                <w:rFonts w:eastAsia="Calibri"/>
                <w:sz w:val="20"/>
                <w:szCs w:val="20"/>
                <w:lang w:val="sr-Latn-BA"/>
              </w:rPr>
              <w:t xml:space="preserve"> </w:t>
            </w:r>
            <w:r w:rsidRPr="001B53A8">
              <w:rPr>
                <w:rFonts w:eastAsia="Calibri"/>
                <w:sz w:val="20"/>
                <w:szCs w:val="20"/>
                <w:lang w:val="sr-Latn-BA"/>
              </w:rPr>
              <w:t>indirektno</w:t>
            </w:r>
            <w:r w:rsidR="00875596" w:rsidRPr="001B53A8">
              <w:rPr>
                <w:rFonts w:eastAsia="Calibri"/>
                <w:sz w:val="20"/>
                <w:szCs w:val="20"/>
                <w:lang w:val="sr-Latn-BA"/>
              </w:rPr>
              <w:t xml:space="preserve"> </w:t>
            </w:r>
            <w:r w:rsidRPr="001B53A8">
              <w:rPr>
                <w:rFonts w:eastAsia="Calibri"/>
                <w:sz w:val="20"/>
                <w:szCs w:val="20"/>
                <w:lang w:val="sr-Latn-BA"/>
              </w:rPr>
              <w:t>oporezivanje</w:t>
            </w:r>
            <w:r w:rsidR="00875596" w:rsidRPr="001B53A8">
              <w:rPr>
                <w:rFonts w:eastAsia="Calibri"/>
                <w:sz w:val="20"/>
                <w:szCs w:val="20"/>
                <w:lang w:val="sr-Latn-BA"/>
              </w:rPr>
              <w:t xml:space="preserve"> </w:t>
            </w:r>
            <w:r w:rsidRPr="001B53A8">
              <w:rPr>
                <w:rFonts w:eastAsia="Calibri"/>
                <w:sz w:val="20"/>
                <w:szCs w:val="20"/>
                <w:lang w:val="sr-Latn-BA"/>
              </w:rPr>
              <w:t>Bosne</w:t>
            </w:r>
            <w:r w:rsidR="00875596" w:rsidRPr="001B53A8">
              <w:rPr>
                <w:rFonts w:eastAsia="Calibri"/>
                <w:sz w:val="20"/>
                <w:szCs w:val="20"/>
                <w:lang w:val="sr-Latn-BA"/>
              </w:rPr>
              <w:t xml:space="preserve"> </w:t>
            </w:r>
            <w:r w:rsidRPr="001B53A8">
              <w:rPr>
                <w:rFonts w:eastAsia="Calibri"/>
                <w:sz w:val="20"/>
                <w:szCs w:val="20"/>
                <w:lang w:val="sr-Latn-BA"/>
              </w:rPr>
              <w:t>i</w:t>
            </w:r>
            <w:r w:rsidR="00875596" w:rsidRPr="001B53A8">
              <w:rPr>
                <w:rFonts w:eastAsia="Calibri"/>
                <w:sz w:val="20"/>
                <w:szCs w:val="20"/>
                <w:lang w:val="sr-Latn-BA"/>
              </w:rPr>
              <w:t xml:space="preserve"> </w:t>
            </w:r>
            <w:r w:rsidRPr="001B53A8">
              <w:rPr>
                <w:rFonts w:eastAsia="Calibri"/>
                <w:sz w:val="20"/>
                <w:szCs w:val="20"/>
                <w:lang w:val="sr-Latn-BA"/>
              </w:rPr>
              <w:t>Hercegovine</w:t>
            </w:r>
          </w:p>
        </w:tc>
      </w:tr>
    </w:tbl>
    <w:bookmarkEnd w:id="90"/>
    <w:p w14:paraId="37A930F9" w14:textId="31C3BA7C" w:rsidR="009628CE" w:rsidRPr="001B53A8" w:rsidRDefault="00003F34" w:rsidP="006B6E0C">
      <w:pPr>
        <w:pStyle w:val="Caption"/>
        <w:tabs>
          <w:tab w:val="left" w:pos="1276"/>
        </w:tabs>
        <w:spacing w:after="0"/>
        <w:ind w:left="1276" w:hanging="1276"/>
        <w:jc w:val="both"/>
        <w:rPr>
          <w:rFonts w:ascii="Times New Roman" w:hAnsi="Times New Roman"/>
          <w:sz w:val="24"/>
          <w:szCs w:val="24"/>
          <w:lang w:val="sr-Latn-BA"/>
        </w:rPr>
      </w:pPr>
      <w:r w:rsidRPr="001B53A8">
        <w:rPr>
          <w:rFonts w:ascii="Times New Roman" w:hAnsi="Times New Roman"/>
          <w:sz w:val="24"/>
          <w:szCs w:val="24"/>
          <w:lang w:val="sr-Latn-BA"/>
        </w:rPr>
        <w:lastRenderedPageBreak/>
        <w:t>Tabela</w:t>
      </w:r>
      <w:r w:rsidR="009628CE" w:rsidRPr="001B53A8">
        <w:rPr>
          <w:rFonts w:ascii="Times New Roman" w:hAnsi="Times New Roman"/>
          <w:sz w:val="24"/>
          <w:szCs w:val="24"/>
          <w:lang w:val="sr-Latn-BA"/>
        </w:rPr>
        <w:t xml:space="preserve"> </w:t>
      </w:r>
      <w:r w:rsidR="00D3478F" w:rsidRPr="001B53A8">
        <w:rPr>
          <w:rFonts w:ascii="Times New Roman" w:hAnsi="Times New Roman"/>
          <w:sz w:val="24"/>
          <w:szCs w:val="24"/>
          <w:lang w:val="sr-Latn-BA"/>
        </w:rPr>
        <w:fldChar w:fldCharType="begin"/>
      </w:r>
      <w:r w:rsidR="009628CE" w:rsidRPr="001B53A8">
        <w:rPr>
          <w:rFonts w:ascii="Times New Roman" w:hAnsi="Times New Roman"/>
          <w:sz w:val="24"/>
          <w:szCs w:val="24"/>
          <w:lang w:val="sr-Latn-BA"/>
        </w:rPr>
        <w:instrText xml:space="preserve"> SEQ Табела \* ARABIC </w:instrText>
      </w:r>
      <w:r w:rsidR="00D3478F" w:rsidRPr="001B53A8">
        <w:rPr>
          <w:rFonts w:ascii="Times New Roman" w:hAnsi="Times New Roman"/>
          <w:sz w:val="24"/>
          <w:szCs w:val="24"/>
          <w:lang w:val="sr-Latn-BA"/>
        </w:rPr>
        <w:fldChar w:fldCharType="separate"/>
      </w:r>
      <w:r w:rsidR="00945E8E" w:rsidRPr="001B53A8">
        <w:rPr>
          <w:rFonts w:ascii="Times New Roman" w:hAnsi="Times New Roman"/>
          <w:noProof/>
          <w:sz w:val="24"/>
          <w:szCs w:val="24"/>
          <w:lang w:val="sr-Latn-BA"/>
        </w:rPr>
        <w:t>18</w:t>
      </w:r>
      <w:r w:rsidR="00D3478F" w:rsidRPr="001B53A8">
        <w:rPr>
          <w:rFonts w:ascii="Times New Roman" w:hAnsi="Times New Roman"/>
          <w:sz w:val="24"/>
          <w:szCs w:val="24"/>
          <w:lang w:val="sr-Latn-BA"/>
        </w:rPr>
        <w:fldChar w:fldCharType="end"/>
      </w:r>
      <w:r w:rsidR="009628CE" w:rsidRPr="001B53A8">
        <w:rPr>
          <w:rFonts w:ascii="Times New Roman" w:hAnsi="Times New Roman"/>
          <w:sz w:val="24"/>
          <w:szCs w:val="24"/>
          <w:lang w:val="sr-Latn-BA"/>
        </w:rPr>
        <w:t>.</w:t>
      </w:r>
      <w:r w:rsidR="009628CE" w:rsidRPr="001B53A8">
        <w:rPr>
          <w:rFonts w:ascii="Times New Roman" w:hAnsi="Times New Roman"/>
          <w:sz w:val="24"/>
          <w:szCs w:val="24"/>
          <w:lang w:val="sr-Latn-BA"/>
        </w:rPr>
        <w:tab/>
      </w:r>
      <w:r w:rsidRPr="001B53A8">
        <w:rPr>
          <w:rFonts w:ascii="Times New Roman" w:hAnsi="Times New Roman"/>
          <w:b w:val="0"/>
          <w:sz w:val="24"/>
          <w:szCs w:val="24"/>
          <w:lang w:val="sr-Latn-BA"/>
        </w:rPr>
        <w:t>Pregled</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edukativnih</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aktivnosti</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Komisije</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u</w:t>
      </w:r>
      <w:r w:rsidR="009628CE" w:rsidRPr="001B53A8">
        <w:rPr>
          <w:rFonts w:ascii="Times New Roman" w:hAnsi="Times New Roman"/>
          <w:b w:val="0"/>
          <w:sz w:val="24"/>
          <w:szCs w:val="24"/>
          <w:lang w:val="sr-Latn-BA"/>
        </w:rPr>
        <w:t xml:space="preserve"> </w:t>
      </w:r>
      <w:r w:rsidR="00875596" w:rsidRPr="001B53A8">
        <w:rPr>
          <w:rFonts w:ascii="Times New Roman" w:hAnsi="Times New Roman"/>
          <w:b w:val="0"/>
          <w:sz w:val="24"/>
          <w:szCs w:val="24"/>
          <w:lang w:val="sr-Latn-BA"/>
        </w:rPr>
        <w:t>2023</w:t>
      </w:r>
      <w:r w:rsidR="009628CE" w:rsidRPr="001B53A8">
        <w:rPr>
          <w:rFonts w:ascii="Times New Roman" w:hAnsi="Times New Roman"/>
          <w:b w:val="0"/>
          <w:sz w:val="24"/>
          <w:szCs w:val="24"/>
          <w:lang w:val="sr-Latn-BA"/>
        </w:rPr>
        <w:t xml:space="preserve">. </w:t>
      </w:r>
      <w:r w:rsidRPr="001B53A8">
        <w:rPr>
          <w:rFonts w:ascii="Times New Roman" w:hAnsi="Times New Roman"/>
          <w:b w:val="0"/>
          <w:sz w:val="24"/>
          <w:szCs w:val="24"/>
          <w:lang w:val="sr-Latn-BA"/>
        </w:rPr>
        <w:t>godini</w:t>
      </w:r>
    </w:p>
    <w:p w14:paraId="70C89C04" w14:textId="500EF04C" w:rsidR="00B60F0E" w:rsidRPr="001B53A8" w:rsidRDefault="00003F34" w:rsidP="006B6E0C">
      <w:pPr>
        <w:spacing w:line="240" w:lineRule="auto"/>
        <w:ind w:firstLine="567"/>
        <w:rPr>
          <w:lang w:val="sr-Latn-BA" w:eastAsia="sr-Latn-CS"/>
        </w:rPr>
      </w:pPr>
      <w:r w:rsidRPr="001B53A8">
        <w:rPr>
          <w:lang w:val="sr-Latn-BA"/>
        </w:rPr>
        <w:t>Izlaganjem</w:t>
      </w:r>
      <w:r w:rsidR="009628CE" w:rsidRPr="001B53A8">
        <w:rPr>
          <w:lang w:val="sr-Latn-BA"/>
        </w:rPr>
        <w:t xml:space="preserve"> </w:t>
      </w:r>
      <w:r w:rsidRPr="001B53A8">
        <w:rPr>
          <w:lang w:val="sr-Latn-BA"/>
        </w:rPr>
        <w:t>radova</w:t>
      </w:r>
      <w:r w:rsidR="009628CE" w:rsidRPr="001B53A8">
        <w:rPr>
          <w:lang w:val="sr-Latn-BA"/>
        </w:rPr>
        <w:t xml:space="preserve"> </w:t>
      </w:r>
      <w:r w:rsidRPr="001B53A8">
        <w:rPr>
          <w:lang w:val="sr-Latn-BA"/>
        </w:rPr>
        <w:t>i</w:t>
      </w:r>
      <w:r w:rsidR="009628CE" w:rsidRPr="001B53A8">
        <w:rPr>
          <w:lang w:val="sr-Latn-BA"/>
        </w:rPr>
        <w:t xml:space="preserve"> </w:t>
      </w:r>
      <w:r w:rsidRPr="001B53A8">
        <w:rPr>
          <w:lang w:val="sr-Latn-BA"/>
        </w:rPr>
        <w:t>putem</w:t>
      </w:r>
      <w:r w:rsidR="009628CE" w:rsidRPr="001B53A8">
        <w:rPr>
          <w:lang w:val="sr-Latn-BA"/>
        </w:rPr>
        <w:t xml:space="preserve"> </w:t>
      </w:r>
      <w:r w:rsidRPr="001B53A8">
        <w:rPr>
          <w:lang w:val="sr-Latn-BA"/>
        </w:rPr>
        <w:t>kontakata</w:t>
      </w:r>
      <w:r w:rsidR="009628CE" w:rsidRPr="001B53A8">
        <w:rPr>
          <w:lang w:val="sr-Latn-BA"/>
        </w:rPr>
        <w:t xml:space="preserve"> </w:t>
      </w:r>
      <w:r w:rsidRPr="001B53A8">
        <w:rPr>
          <w:lang w:val="sr-Latn-BA"/>
        </w:rPr>
        <w:t>se</w:t>
      </w:r>
      <w:r w:rsidR="009628CE" w:rsidRPr="001B53A8">
        <w:rPr>
          <w:lang w:val="sr-Latn-BA"/>
        </w:rPr>
        <w:t xml:space="preserve"> </w:t>
      </w:r>
      <w:r w:rsidRPr="001B53A8">
        <w:rPr>
          <w:lang w:val="sr-Latn-BA"/>
        </w:rPr>
        <w:t>učesnicima</w:t>
      </w:r>
      <w:r w:rsidR="009628CE" w:rsidRPr="001B53A8">
        <w:rPr>
          <w:lang w:val="sr-Latn-BA"/>
        </w:rPr>
        <w:t xml:space="preserve"> </w:t>
      </w:r>
      <w:r w:rsidRPr="001B53A8">
        <w:rPr>
          <w:lang w:val="sr-Latn-BA"/>
        </w:rPr>
        <w:t>na</w:t>
      </w:r>
      <w:r w:rsidR="009628CE" w:rsidRPr="001B53A8">
        <w:rPr>
          <w:lang w:val="sr-Latn-BA"/>
        </w:rPr>
        <w:t xml:space="preserve"> </w:t>
      </w:r>
      <w:r w:rsidRPr="001B53A8">
        <w:rPr>
          <w:lang w:val="sr-Latn-BA"/>
        </w:rPr>
        <w:t>navedenim</w:t>
      </w:r>
      <w:r w:rsidR="009628CE" w:rsidRPr="001B53A8">
        <w:rPr>
          <w:lang w:val="sr-Latn-BA"/>
        </w:rPr>
        <w:t xml:space="preserve"> </w:t>
      </w:r>
      <w:r w:rsidRPr="001B53A8">
        <w:rPr>
          <w:lang w:val="sr-Latn-BA"/>
        </w:rPr>
        <w:t>skupovima</w:t>
      </w:r>
      <w:r w:rsidR="009628CE" w:rsidRPr="001B53A8">
        <w:rPr>
          <w:lang w:val="sr-Latn-BA"/>
        </w:rPr>
        <w:t xml:space="preserve">, </w:t>
      </w:r>
      <w:r w:rsidRPr="001B53A8">
        <w:rPr>
          <w:lang w:val="sr-Latn-BA"/>
        </w:rPr>
        <w:t>predstavnici</w:t>
      </w:r>
      <w:r w:rsidR="009628CE" w:rsidRPr="001B53A8">
        <w:rPr>
          <w:lang w:val="sr-Latn-BA"/>
        </w:rPr>
        <w:t xml:space="preserve"> </w:t>
      </w:r>
      <w:r w:rsidRPr="001B53A8">
        <w:rPr>
          <w:lang w:val="sr-Latn-BA"/>
        </w:rPr>
        <w:t>Komisije</w:t>
      </w:r>
      <w:r w:rsidR="009628CE" w:rsidRPr="001B53A8">
        <w:rPr>
          <w:lang w:val="sr-Latn-BA"/>
        </w:rPr>
        <w:t xml:space="preserve"> </w:t>
      </w:r>
      <w:r w:rsidRPr="001B53A8">
        <w:rPr>
          <w:color w:val="000000"/>
          <w:lang w:val="sr-Latn-BA" w:eastAsia="sr-Latn-CS"/>
        </w:rPr>
        <w:t>afirmisali</w:t>
      </w:r>
      <w:r w:rsidR="009628CE" w:rsidRPr="001B53A8">
        <w:rPr>
          <w:color w:val="000000"/>
          <w:lang w:val="sr-Latn-BA" w:eastAsia="sr-Latn-CS"/>
        </w:rPr>
        <w:t xml:space="preserve"> </w:t>
      </w:r>
      <w:r w:rsidRPr="001B53A8">
        <w:rPr>
          <w:color w:val="000000"/>
          <w:lang w:val="sr-Latn-BA" w:eastAsia="sr-Latn-CS"/>
        </w:rPr>
        <w:t>su</w:t>
      </w:r>
      <w:r w:rsidR="009628CE" w:rsidRPr="001B53A8">
        <w:rPr>
          <w:lang w:val="sr-Latn-BA"/>
        </w:rPr>
        <w:t xml:space="preserve"> </w:t>
      </w:r>
      <w:r w:rsidRPr="001B53A8">
        <w:rPr>
          <w:lang w:val="sr-Latn-BA"/>
        </w:rPr>
        <w:t>tržište</w:t>
      </w:r>
      <w:r w:rsidR="009628CE" w:rsidRPr="001B53A8">
        <w:rPr>
          <w:lang w:val="sr-Latn-BA"/>
        </w:rPr>
        <w:t xml:space="preserve"> </w:t>
      </w:r>
      <w:r w:rsidRPr="001B53A8">
        <w:rPr>
          <w:lang w:val="sr-Latn-BA"/>
        </w:rPr>
        <w:t>hartija</w:t>
      </w:r>
      <w:r w:rsidR="009628CE" w:rsidRPr="001B53A8">
        <w:rPr>
          <w:lang w:val="sr-Latn-BA"/>
        </w:rPr>
        <w:t xml:space="preserve"> </w:t>
      </w:r>
      <w:r w:rsidRPr="001B53A8">
        <w:rPr>
          <w:lang w:val="sr-Latn-BA"/>
        </w:rPr>
        <w:t>od</w:t>
      </w:r>
      <w:r w:rsidR="009628CE" w:rsidRPr="001B53A8">
        <w:rPr>
          <w:lang w:val="sr-Latn-BA"/>
        </w:rPr>
        <w:t xml:space="preserve"> </w:t>
      </w:r>
      <w:r w:rsidRPr="001B53A8">
        <w:rPr>
          <w:lang w:val="sr-Latn-BA"/>
        </w:rPr>
        <w:t>vrijednosti</w:t>
      </w:r>
      <w:r w:rsidR="009628CE" w:rsidRPr="001B53A8">
        <w:rPr>
          <w:lang w:val="sr-Latn-BA"/>
        </w:rPr>
        <w:t xml:space="preserve"> </w:t>
      </w:r>
      <w:r w:rsidRPr="001B53A8">
        <w:rPr>
          <w:lang w:val="sr-Latn-BA"/>
        </w:rPr>
        <w:t>Republike</w:t>
      </w:r>
      <w:r w:rsidR="009628CE" w:rsidRPr="001B53A8">
        <w:rPr>
          <w:lang w:val="sr-Latn-BA"/>
        </w:rPr>
        <w:t xml:space="preserve"> </w:t>
      </w:r>
      <w:r w:rsidRPr="001B53A8">
        <w:rPr>
          <w:lang w:val="sr-Latn-BA"/>
        </w:rPr>
        <w:t>Srpske</w:t>
      </w:r>
      <w:r w:rsidR="009628CE" w:rsidRPr="001B53A8">
        <w:rPr>
          <w:lang w:val="sr-Latn-BA"/>
        </w:rPr>
        <w:t xml:space="preserve"> </w:t>
      </w:r>
      <w:r w:rsidRPr="001B53A8">
        <w:rPr>
          <w:lang w:val="sr-Latn-BA"/>
        </w:rPr>
        <w:t>sa</w:t>
      </w:r>
      <w:r w:rsidR="009628CE" w:rsidRPr="001B53A8">
        <w:rPr>
          <w:lang w:val="sr-Latn-BA"/>
        </w:rPr>
        <w:t xml:space="preserve"> </w:t>
      </w:r>
      <w:r w:rsidRPr="001B53A8">
        <w:rPr>
          <w:lang w:val="sr-Latn-BA"/>
        </w:rPr>
        <w:t>cilјem</w:t>
      </w:r>
      <w:r w:rsidR="009628CE" w:rsidRPr="001B53A8">
        <w:rPr>
          <w:lang w:val="sr-Latn-BA"/>
        </w:rPr>
        <w:t xml:space="preserve"> </w:t>
      </w:r>
      <w:r w:rsidRPr="001B53A8">
        <w:rPr>
          <w:lang w:val="sr-Latn-BA"/>
        </w:rPr>
        <w:t>privlačenja</w:t>
      </w:r>
      <w:r w:rsidR="009628CE" w:rsidRPr="001B53A8">
        <w:rPr>
          <w:lang w:val="sr-Latn-BA"/>
        </w:rPr>
        <w:t xml:space="preserve"> </w:t>
      </w:r>
      <w:r w:rsidRPr="001B53A8">
        <w:rPr>
          <w:lang w:val="sr-Latn-BA"/>
        </w:rPr>
        <w:t>stranih</w:t>
      </w:r>
      <w:r w:rsidR="009628CE" w:rsidRPr="001B53A8">
        <w:rPr>
          <w:lang w:val="sr-Latn-BA"/>
        </w:rPr>
        <w:t xml:space="preserve"> </w:t>
      </w:r>
      <w:r w:rsidRPr="001B53A8">
        <w:rPr>
          <w:lang w:val="sr-Latn-BA"/>
        </w:rPr>
        <w:t>investitora</w:t>
      </w:r>
      <w:r w:rsidR="009628CE" w:rsidRPr="001B53A8">
        <w:rPr>
          <w:lang w:val="sr-Latn-BA"/>
        </w:rPr>
        <w:t xml:space="preserve"> </w:t>
      </w:r>
      <w:r w:rsidRPr="001B53A8">
        <w:rPr>
          <w:lang w:val="sr-Latn-BA"/>
        </w:rPr>
        <w:t>kroz</w:t>
      </w:r>
      <w:r w:rsidR="009628CE" w:rsidRPr="001B53A8">
        <w:rPr>
          <w:lang w:val="sr-Latn-BA"/>
        </w:rPr>
        <w:t xml:space="preserve"> </w:t>
      </w:r>
      <w:r w:rsidRPr="001B53A8">
        <w:rPr>
          <w:lang w:val="sr-Latn-BA"/>
        </w:rPr>
        <w:t>ovaj</w:t>
      </w:r>
      <w:r w:rsidR="009628CE" w:rsidRPr="001B53A8">
        <w:rPr>
          <w:lang w:val="sr-Latn-BA"/>
        </w:rPr>
        <w:t xml:space="preserve"> </w:t>
      </w:r>
      <w:r w:rsidRPr="001B53A8">
        <w:rPr>
          <w:lang w:val="sr-Latn-BA"/>
        </w:rPr>
        <w:t>oblik</w:t>
      </w:r>
      <w:r w:rsidR="009628CE" w:rsidRPr="001B53A8">
        <w:rPr>
          <w:lang w:val="sr-Latn-BA"/>
        </w:rPr>
        <w:t xml:space="preserve"> </w:t>
      </w:r>
      <w:r w:rsidRPr="001B53A8">
        <w:rPr>
          <w:lang w:val="sr-Latn-BA"/>
        </w:rPr>
        <w:t>investicionih</w:t>
      </w:r>
      <w:r w:rsidR="009628CE" w:rsidRPr="001B53A8">
        <w:rPr>
          <w:lang w:val="sr-Latn-BA"/>
        </w:rPr>
        <w:t xml:space="preserve"> </w:t>
      </w:r>
      <w:r w:rsidRPr="001B53A8">
        <w:rPr>
          <w:lang w:val="sr-Latn-BA"/>
        </w:rPr>
        <w:t>ulaganja</w:t>
      </w:r>
      <w:r w:rsidR="009628CE" w:rsidRPr="001B53A8">
        <w:rPr>
          <w:lang w:val="sr-Latn-BA"/>
        </w:rPr>
        <w:t>.</w:t>
      </w:r>
    </w:p>
    <w:sectPr w:rsidR="00B60F0E" w:rsidRPr="001B53A8" w:rsidSect="00295F4B">
      <w:footerReference w:type="default" r:id="rId23"/>
      <w:pgSz w:w="11906" w:h="16838" w:code="9"/>
      <w:pgMar w:top="1418" w:right="1134" w:bottom="1418"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40D43" w14:textId="77777777" w:rsidR="004A2895" w:rsidRDefault="004A2895" w:rsidP="009628CE">
      <w:pPr>
        <w:spacing w:before="0" w:after="0" w:line="240" w:lineRule="auto"/>
      </w:pPr>
      <w:r>
        <w:separator/>
      </w:r>
    </w:p>
  </w:endnote>
  <w:endnote w:type="continuationSeparator" w:id="0">
    <w:p w14:paraId="3965F369" w14:textId="77777777" w:rsidR="004A2895" w:rsidRDefault="004A2895" w:rsidP="009628C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altName w:val="Malgun Gothic"/>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TimesRoman">
    <w:altName w:val="Times New Roman"/>
    <w:charset w:val="00"/>
    <w:family w:val="auto"/>
    <w:pitch w:val="variable"/>
    <w:sig w:usb0="00000001" w:usb1="00000000" w:usb2="00000000" w:usb3="00000000" w:csb0="00000009"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default"/>
    <w:sig w:usb0="00000001" w:usb1="00000000" w:usb2="00000000" w:usb3="00000000" w:csb0="00000003" w:csb1="00000000"/>
  </w:font>
  <w:font w:name="Palatino Linotype">
    <w:panose1 w:val="02040502050505030304"/>
    <w:charset w:val="00"/>
    <w:family w:val="roman"/>
    <w:pitch w:val="variable"/>
    <w:sig w:usb0="E0000287" w:usb1="40000013" w:usb2="00000000" w:usb3="00000000" w:csb0="0000019F" w:csb1="00000000"/>
  </w:font>
  <w:font w:name="MS Reference Sans Serif">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5085110"/>
      <w:docPartObj>
        <w:docPartGallery w:val="Page Numbers (Bottom of Page)"/>
        <w:docPartUnique/>
      </w:docPartObj>
    </w:sdtPr>
    <w:sdtContent>
      <w:p w14:paraId="007318ED" w14:textId="77777777" w:rsidR="00003F34" w:rsidRPr="00DC0160" w:rsidRDefault="00003F34" w:rsidP="00322730">
        <w:pPr>
          <w:pStyle w:val="Footer"/>
          <w:jc w:val="right"/>
        </w:pPr>
        <w:r w:rsidRPr="00DC0160">
          <w:fldChar w:fldCharType="begin"/>
        </w:r>
        <w:r w:rsidRPr="00DC0160">
          <w:instrText xml:space="preserve"> PAGE   \* MERGEFORMAT </w:instrText>
        </w:r>
        <w:r w:rsidRPr="00DC0160">
          <w:fldChar w:fldCharType="separate"/>
        </w:r>
        <w:r>
          <w:rPr>
            <w:noProof/>
          </w:rPr>
          <w:t>35</w:t>
        </w:r>
        <w:r w:rsidRPr="00DC016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8628C" w14:textId="77777777" w:rsidR="004A2895" w:rsidRDefault="004A2895" w:rsidP="009628CE">
      <w:pPr>
        <w:spacing w:before="0" w:after="0" w:line="240" w:lineRule="auto"/>
      </w:pPr>
      <w:r>
        <w:separator/>
      </w:r>
    </w:p>
  </w:footnote>
  <w:footnote w:type="continuationSeparator" w:id="0">
    <w:p w14:paraId="72354F00" w14:textId="77777777" w:rsidR="004A2895" w:rsidRDefault="004A2895" w:rsidP="009628CE">
      <w:pPr>
        <w:spacing w:before="0" w:after="0" w:line="240" w:lineRule="auto"/>
      </w:pPr>
      <w:r>
        <w:continuationSeparator/>
      </w:r>
    </w:p>
  </w:footnote>
  <w:footnote w:id="1">
    <w:p w14:paraId="3560685F" w14:textId="0FB53632" w:rsidR="00003F34" w:rsidRPr="00967004" w:rsidRDefault="00003F34" w:rsidP="001B53A8">
      <w:pPr>
        <w:pStyle w:val="FootnoteText"/>
        <w:spacing w:after="0"/>
        <w:ind w:right="-285"/>
        <w:rPr>
          <w:lang w:val="sr-Latn-BA"/>
        </w:rPr>
      </w:pPr>
      <w:r w:rsidRPr="00967004">
        <w:rPr>
          <w:rStyle w:val="FootnoteReference"/>
          <w:lang w:val="sr-Latn-BA"/>
        </w:rPr>
        <w:footnoteRef/>
      </w:r>
      <w:r w:rsidRPr="00967004">
        <w:rPr>
          <w:lang w:val="sr-Latn-BA"/>
        </w:rPr>
        <w:t xml:space="preserve"> </w:t>
      </w:r>
      <w:r w:rsidR="001B53A8" w:rsidRPr="00967004">
        <w:rPr>
          <w:lang w:val="sr-Latn-BA"/>
        </w:rPr>
        <w:t xml:space="preserve">„Službeni glasnik Republike Srpske“ br. </w:t>
      </w:r>
      <w:r w:rsidRPr="00967004">
        <w:rPr>
          <w:lang w:val="sr-Latn-BA"/>
        </w:rPr>
        <w:t xml:space="preserve">92/06, 34/09, 30/12, 59/13, 108/13, 4/17 , 63/21, 11/22 </w:t>
      </w:r>
      <w:r w:rsidR="00967004" w:rsidRPr="00967004">
        <w:rPr>
          <w:lang w:val="sr-Latn-BA"/>
        </w:rPr>
        <w:t>i</w:t>
      </w:r>
      <w:r w:rsidRPr="00967004">
        <w:rPr>
          <w:lang w:val="sr-Latn-BA"/>
        </w:rPr>
        <w:t xml:space="preserve"> 63/22.</w:t>
      </w:r>
    </w:p>
  </w:footnote>
  <w:footnote w:id="2">
    <w:p w14:paraId="28BBA962" w14:textId="2371C366" w:rsidR="00003F34" w:rsidRPr="00967004" w:rsidRDefault="00003F34" w:rsidP="000A10DE">
      <w:pPr>
        <w:pStyle w:val="FootnoteText"/>
        <w:spacing w:after="0"/>
        <w:rPr>
          <w:lang w:val="sr-Latn-BA"/>
        </w:rPr>
      </w:pPr>
      <w:r w:rsidRPr="00967004">
        <w:rPr>
          <w:rStyle w:val="FootnoteReference"/>
          <w:lang w:val="sr-Latn-BA"/>
        </w:rPr>
        <w:footnoteRef/>
      </w:r>
      <w:r w:rsidRPr="00967004">
        <w:rPr>
          <w:lang w:val="sr-Latn-BA"/>
        </w:rPr>
        <w:t xml:space="preserve"> </w:t>
      </w:r>
      <w:r w:rsidR="00967004" w:rsidRPr="00967004">
        <w:rPr>
          <w:lang w:val="sr-Latn-BA"/>
        </w:rPr>
        <w:t xml:space="preserve">„Službeni glasnik Republike Srpske“ br. </w:t>
      </w:r>
      <w:r w:rsidRPr="00967004">
        <w:rPr>
          <w:lang w:val="sr-Latn-BA"/>
        </w:rPr>
        <w:t xml:space="preserve">99/21, 14/22, 81/22, 29/23 </w:t>
      </w:r>
      <w:r w:rsidR="00967004" w:rsidRPr="00967004">
        <w:rPr>
          <w:lang w:val="sr-Latn-BA"/>
        </w:rPr>
        <w:t>i</w:t>
      </w:r>
      <w:r w:rsidRPr="00967004">
        <w:rPr>
          <w:lang w:val="sr-Latn-BA"/>
        </w:rPr>
        <w:t xml:space="preserve"> 69/23.</w:t>
      </w:r>
    </w:p>
  </w:footnote>
  <w:footnote w:id="3">
    <w:p w14:paraId="5A5B405E" w14:textId="77B97E3C" w:rsidR="00003F34" w:rsidRPr="00967004" w:rsidRDefault="00003F34" w:rsidP="000A10DE">
      <w:pPr>
        <w:pStyle w:val="FootnoteText"/>
        <w:spacing w:after="0"/>
        <w:rPr>
          <w:lang w:val="sr-Latn-BA"/>
        </w:rPr>
      </w:pPr>
      <w:r w:rsidRPr="00967004">
        <w:rPr>
          <w:rStyle w:val="FootnoteReference"/>
          <w:lang w:val="sr-Latn-BA"/>
        </w:rPr>
        <w:footnoteRef/>
      </w:r>
      <w:r w:rsidRPr="00967004">
        <w:rPr>
          <w:lang w:val="sr-Latn-BA"/>
        </w:rPr>
        <w:t xml:space="preserve"> </w:t>
      </w:r>
      <w:r w:rsidR="00967004" w:rsidRPr="00967004">
        <w:rPr>
          <w:lang w:val="sr-Latn-BA"/>
        </w:rPr>
        <w:t xml:space="preserve">„Službeni glasnik Republike Srpske“ br. </w:t>
      </w:r>
      <w:r w:rsidRPr="00967004">
        <w:rPr>
          <w:lang w:val="sr-Latn-BA"/>
        </w:rPr>
        <w:t xml:space="preserve">60/12, 111/12, 50/14, 103/20 </w:t>
      </w:r>
      <w:r w:rsidR="00967004" w:rsidRPr="00967004">
        <w:rPr>
          <w:lang w:val="sr-Latn-BA"/>
        </w:rPr>
        <w:t>i</w:t>
      </w:r>
      <w:r w:rsidRPr="00967004">
        <w:rPr>
          <w:lang w:val="sr-Latn-BA"/>
        </w:rPr>
        <w:t xml:space="preserve"> 99/21.</w:t>
      </w:r>
    </w:p>
  </w:footnote>
  <w:footnote w:id="4">
    <w:p w14:paraId="79C14617" w14:textId="47B050E4" w:rsidR="00003F34" w:rsidRPr="00967004" w:rsidRDefault="00003F34" w:rsidP="000A10DE">
      <w:pPr>
        <w:pStyle w:val="FootnoteText"/>
        <w:spacing w:after="0"/>
        <w:jc w:val="both"/>
        <w:rPr>
          <w:lang w:val="sr-Latn-BA"/>
        </w:rPr>
      </w:pPr>
      <w:r w:rsidRPr="00967004">
        <w:rPr>
          <w:rStyle w:val="FootnoteReference"/>
          <w:rFonts w:eastAsiaTheme="majorEastAsia"/>
          <w:lang w:val="sr-Latn-BA"/>
        </w:rPr>
        <w:footnoteRef/>
      </w:r>
      <w:r w:rsidRPr="00967004">
        <w:rPr>
          <w:lang w:val="sr-Latn-BA"/>
        </w:rPr>
        <w:t xml:space="preserve"> </w:t>
      </w:r>
      <w:bookmarkStart w:id="53" w:name="_Hlk167967294"/>
      <w:r w:rsidR="00967004" w:rsidRPr="00967004">
        <w:rPr>
          <w:lang w:val="sr-Latn-BA"/>
        </w:rPr>
        <w:t>U 2020. godini Pravilnik je promijenjen u dijelu koji se tiče usaglašavanja sa Pravilnikom o uslovima i postupku emisije hartija od vrijednosti u dijelu koji se tiče dokumentacije koja se objavlјuje u postupku emisije hartija od vrijednosti, kao značajni događaj, te u smislu dopune značajnih događaja</w:t>
      </w:r>
      <w:r w:rsidRPr="00967004">
        <w:rPr>
          <w:lang w:val="sr-Latn-BA"/>
        </w:rPr>
        <w:t>.</w:t>
      </w:r>
    </w:p>
    <w:bookmarkEnd w:id="53"/>
  </w:footnote>
  <w:footnote w:id="5">
    <w:p w14:paraId="1C06B77E" w14:textId="1C354E65" w:rsidR="00003F34" w:rsidRPr="00967004" w:rsidRDefault="00003F34" w:rsidP="004353DF">
      <w:pPr>
        <w:pStyle w:val="FootnoteText"/>
        <w:spacing w:after="0"/>
        <w:jc w:val="both"/>
        <w:rPr>
          <w:lang w:val="sr-Latn-BA"/>
        </w:rPr>
      </w:pPr>
      <w:r w:rsidRPr="00967004">
        <w:rPr>
          <w:rStyle w:val="FootnoteReference"/>
          <w:lang w:val="sr-Latn-BA"/>
        </w:rPr>
        <w:footnoteRef/>
      </w:r>
      <w:r w:rsidRPr="00967004">
        <w:rPr>
          <w:lang w:val="sr-Latn-BA"/>
        </w:rPr>
        <w:t xml:space="preserve"> </w:t>
      </w:r>
      <w:r w:rsidR="00967004" w:rsidRPr="00967004">
        <w:rPr>
          <w:lang w:val="sr-Latn-BA"/>
        </w:rPr>
        <w:t>Izmjenom člana 309. stav 1. Zakona o privrednim društvima („Službeni glasnik Republike Srpske“, broj 17/23) obavezan je upravni odbor i onih otvorenih akcionarskog društva čije akcije nisu uvrštene  na službeno berzansko tržište da donesu svoj pisani kodeks ponašanja ili prihvate standarde korporativnog upravlјanja koje donosi Komisija za hartije od vrijednosti Republike Srpske</w:t>
      </w:r>
      <w:r w:rsidRPr="00967004">
        <w:rPr>
          <w:lang w:val="sr-Latn-BA"/>
        </w:rPr>
        <w:t>.</w:t>
      </w:r>
    </w:p>
  </w:footnote>
  <w:footnote w:id="6">
    <w:p w14:paraId="5A4502EF" w14:textId="29BF3154" w:rsidR="00003F34" w:rsidRPr="00967004" w:rsidRDefault="00003F34" w:rsidP="004353DF">
      <w:pPr>
        <w:pStyle w:val="FootnoteText"/>
        <w:spacing w:after="0"/>
        <w:rPr>
          <w:lang w:val="sr-Latn-BA"/>
        </w:rPr>
      </w:pPr>
      <w:r w:rsidRPr="00967004">
        <w:rPr>
          <w:rStyle w:val="FootnoteReference"/>
          <w:lang w:val="sr-Latn-BA"/>
        </w:rPr>
        <w:footnoteRef/>
      </w:r>
      <w:r w:rsidRPr="00967004">
        <w:rPr>
          <w:lang w:val="sr-Latn-BA"/>
        </w:rPr>
        <w:t xml:space="preserve"> </w:t>
      </w:r>
      <w:r w:rsidR="00967004" w:rsidRPr="00967004">
        <w:rPr>
          <w:lang w:val="sr-Latn-BA"/>
        </w:rPr>
        <w:t xml:space="preserve">„Službeni glasnik Republike Srpske“ br. </w:t>
      </w:r>
      <w:r w:rsidRPr="00967004">
        <w:rPr>
          <w:lang w:val="sr-Latn-BA"/>
        </w:rPr>
        <w:t xml:space="preserve">94/15 </w:t>
      </w:r>
      <w:r w:rsidR="00EC4EFC">
        <w:rPr>
          <w:lang w:val="sr-Latn-BA"/>
        </w:rPr>
        <w:t>i</w:t>
      </w:r>
      <w:r w:rsidRPr="00967004">
        <w:rPr>
          <w:lang w:val="sr-Latn-BA"/>
        </w:rPr>
        <w:t xml:space="preserve"> 78/20.</w:t>
      </w:r>
    </w:p>
  </w:footnote>
  <w:footnote w:id="7">
    <w:p w14:paraId="7C5FBFE6" w14:textId="331B0D95" w:rsidR="00003F34" w:rsidRPr="00967004" w:rsidRDefault="00003F34" w:rsidP="000A10DE">
      <w:pPr>
        <w:pStyle w:val="FootnoteText"/>
        <w:spacing w:after="0"/>
        <w:rPr>
          <w:lang w:val="sr-Latn-BA"/>
        </w:rPr>
      </w:pPr>
      <w:r w:rsidRPr="00967004">
        <w:rPr>
          <w:rStyle w:val="FootnoteReference"/>
          <w:lang w:val="sr-Latn-BA"/>
        </w:rPr>
        <w:footnoteRef/>
      </w:r>
      <w:r w:rsidRPr="00967004">
        <w:rPr>
          <w:lang w:val="sr-Latn-BA"/>
        </w:rPr>
        <w:t xml:space="preserve"> </w:t>
      </w:r>
      <w:r w:rsidR="00967004" w:rsidRPr="00967004">
        <w:rPr>
          <w:lang w:val="sr-Latn-BA"/>
        </w:rPr>
        <w:t xml:space="preserve">„Službeni glasnik Republike Srpske“ br. </w:t>
      </w:r>
      <w:r w:rsidRPr="00967004">
        <w:rPr>
          <w:lang w:val="sr-Latn-BA"/>
        </w:rPr>
        <w:t xml:space="preserve">65/08, 92/09 </w:t>
      </w:r>
      <w:r w:rsidR="00EC4EFC">
        <w:rPr>
          <w:lang w:val="sr-Latn-BA"/>
        </w:rPr>
        <w:t>i</w:t>
      </w:r>
      <w:r w:rsidRPr="00967004">
        <w:rPr>
          <w:lang w:val="sr-Latn-BA"/>
        </w:rPr>
        <w:t xml:space="preserve"> 59/13.</w:t>
      </w:r>
    </w:p>
  </w:footnote>
  <w:footnote w:id="8">
    <w:p w14:paraId="038312BD" w14:textId="707E14FC" w:rsidR="00003F34" w:rsidRPr="00967004" w:rsidRDefault="00003F34" w:rsidP="004353DF">
      <w:pPr>
        <w:pStyle w:val="FootnoteText"/>
        <w:spacing w:after="0"/>
        <w:rPr>
          <w:lang w:val="sr-Latn-BA"/>
        </w:rPr>
      </w:pPr>
      <w:r w:rsidRPr="00967004">
        <w:rPr>
          <w:rStyle w:val="FootnoteReference"/>
          <w:lang w:val="sr-Latn-BA"/>
        </w:rPr>
        <w:footnoteRef/>
      </w:r>
      <w:r w:rsidRPr="00967004">
        <w:rPr>
          <w:lang w:val="sr-Latn-BA"/>
        </w:rPr>
        <w:t xml:space="preserve"> </w:t>
      </w:r>
      <w:r w:rsidR="00967004" w:rsidRPr="00967004">
        <w:rPr>
          <w:lang w:val="sr-Latn-BA"/>
        </w:rPr>
        <w:t>Uz dva izuzetka, od kojih je jedno društvo i dalјe sa jednim vlasnikom</w:t>
      </w:r>
      <w:r w:rsidRPr="00967004">
        <w:rPr>
          <w:color w:val="000000" w:themeColor="text1"/>
          <w:lang w:val="sr-Latn-BA"/>
        </w:rPr>
        <w:t>.</w:t>
      </w:r>
    </w:p>
  </w:footnote>
  <w:footnote w:id="9">
    <w:p w14:paraId="208F4B7A" w14:textId="32B8D0DD" w:rsidR="00003F34" w:rsidRPr="00967004" w:rsidRDefault="00003F34" w:rsidP="000A10DE">
      <w:pPr>
        <w:pStyle w:val="FootnoteText"/>
        <w:spacing w:after="0"/>
        <w:rPr>
          <w:lang w:val="sr-Latn-BA"/>
        </w:rPr>
      </w:pPr>
      <w:r w:rsidRPr="00967004">
        <w:rPr>
          <w:rStyle w:val="FootnoteReference"/>
          <w:lang w:val="sr-Latn-BA"/>
        </w:rPr>
        <w:footnoteRef/>
      </w:r>
      <w:r w:rsidRPr="00967004">
        <w:rPr>
          <w:lang w:val="sr-Latn-BA"/>
        </w:rPr>
        <w:t xml:space="preserve"> </w:t>
      </w:r>
      <w:r w:rsidR="00967004" w:rsidRPr="00967004">
        <w:rPr>
          <w:lang w:val="sr-Latn-BA"/>
        </w:rPr>
        <w:t xml:space="preserve">„Službeni glasnik Republike Srpske“ br. </w:t>
      </w:r>
      <w:r w:rsidRPr="00967004">
        <w:rPr>
          <w:lang w:val="sr-Latn-BA"/>
        </w:rPr>
        <w:t xml:space="preserve">127/08, 58/09, 100/11, 67/13, 100/17, 82/19 </w:t>
      </w:r>
      <w:r w:rsidR="00967004" w:rsidRPr="00967004">
        <w:rPr>
          <w:lang w:val="sr-Latn-BA"/>
        </w:rPr>
        <w:t>i</w:t>
      </w:r>
      <w:r w:rsidRPr="00967004">
        <w:rPr>
          <w:lang w:val="sr-Latn-BA"/>
        </w:rPr>
        <w:t xml:space="preserve"> 17/23.</w:t>
      </w:r>
    </w:p>
  </w:footnote>
  <w:footnote w:id="10">
    <w:p w14:paraId="344F5805" w14:textId="2F3D2C47" w:rsidR="00003F34" w:rsidRPr="00967004" w:rsidRDefault="00003F34" w:rsidP="000A10DE">
      <w:pPr>
        <w:pStyle w:val="FootnoteText"/>
        <w:spacing w:after="0"/>
        <w:rPr>
          <w:lang w:val="sr-Latn-BA"/>
        </w:rPr>
      </w:pPr>
      <w:r w:rsidRPr="00967004">
        <w:rPr>
          <w:rStyle w:val="FootnoteReference"/>
          <w:lang w:val="sr-Latn-BA"/>
        </w:rPr>
        <w:footnoteRef/>
      </w:r>
      <w:r w:rsidRPr="00967004">
        <w:rPr>
          <w:lang w:val="sr-Latn-BA"/>
        </w:rPr>
        <w:t xml:space="preserve"> </w:t>
      </w:r>
      <w:r w:rsidR="00967004" w:rsidRPr="00967004">
        <w:rPr>
          <w:lang w:val="sr-Latn-BA"/>
        </w:rPr>
        <w:t xml:space="preserve">„Službeni glasnik Republike Srpske“ broj </w:t>
      </w:r>
      <w:r w:rsidRPr="00967004">
        <w:rPr>
          <w:lang w:val="sr-Latn-BA"/>
        </w:rPr>
        <w:t>29/23.</w:t>
      </w:r>
    </w:p>
  </w:footnote>
  <w:footnote w:id="11">
    <w:p w14:paraId="4CC07DC0" w14:textId="738277D9" w:rsidR="00003F34" w:rsidRPr="00967004" w:rsidRDefault="00003F34" w:rsidP="000A10DE">
      <w:pPr>
        <w:pStyle w:val="FootnoteText"/>
        <w:spacing w:after="0"/>
        <w:rPr>
          <w:lang w:val="sr-Latn-BA"/>
        </w:rPr>
      </w:pPr>
      <w:r w:rsidRPr="00967004">
        <w:rPr>
          <w:rStyle w:val="FootnoteReference"/>
          <w:lang w:val="sr-Latn-BA"/>
        </w:rPr>
        <w:footnoteRef/>
      </w:r>
      <w:r w:rsidRPr="00967004">
        <w:rPr>
          <w:lang w:val="sr-Latn-BA"/>
        </w:rPr>
        <w:t xml:space="preserve"> </w:t>
      </w:r>
      <w:r w:rsidR="00967004" w:rsidRPr="00967004">
        <w:rPr>
          <w:lang w:val="sr-Latn-BA"/>
        </w:rPr>
        <w:t xml:space="preserve">„Službeni glasnik Republike Srpske“ br. </w:t>
      </w:r>
      <w:r w:rsidRPr="00967004">
        <w:rPr>
          <w:lang w:val="sr-Latn-BA"/>
        </w:rPr>
        <w:t xml:space="preserve">67/12, 5/13, 32/16 </w:t>
      </w:r>
      <w:r w:rsidR="00967004" w:rsidRPr="00967004">
        <w:rPr>
          <w:lang w:val="sr-Latn-BA"/>
        </w:rPr>
        <w:t>i</w:t>
      </w:r>
      <w:r w:rsidRPr="00967004">
        <w:rPr>
          <w:lang w:val="sr-Latn-BA"/>
        </w:rPr>
        <w:t xml:space="preserve"> 99/21.</w:t>
      </w:r>
    </w:p>
  </w:footnote>
  <w:footnote w:id="12">
    <w:p w14:paraId="0FA51DA6" w14:textId="0A662D19" w:rsidR="00003F34" w:rsidRPr="00967004" w:rsidRDefault="00003F34" w:rsidP="000A10DE">
      <w:pPr>
        <w:pStyle w:val="FootnoteText"/>
        <w:spacing w:after="0"/>
        <w:rPr>
          <w:lang w:val="sr-Latn-BA"/>
        </w:rPr>
      </w:pPr>
      <w:r w:rsidRPr="00967004">
        <w:rPr>
          <w:rStyle w:val="FootnoteReference"/>
          <w:lang w:val="sr-Latn-BA"/>
        </w:rPr>
        <w:footnoteRef/>
      </w:r>
      <w:r w:rsidRPr="00967004">
        <w:rPr>
          <w:lang w:val="sr-Latn-BA"/>
        </w:rPr>
        <w:t xml:space="preserve"> </w:t>
      </w:r>
      <w:r w:rsidR="00967004" w:rsidRPr="00967004">
        <w:rPr>
          <w:lang w:val="sr-Latn-BA"/>
        </w:rPr>
        <w:t xml:space="preserve">„Službeni glasnik Republike Srpske“ br. </w:t>
      </w:r>
      <w:r w:rsidRPr="00967004">
        <w:rPr>
          <w:lang w:val="sr-Latn-BA"/>
        </w:rPr>
        <w:t xml:space="preserve">119/06,  26/07, 15/18 </w:t>
      </w:r>
      <w:r w:rsidR="00967004" w:rsidRPr="00967004">
        <w:rPr>
          <w:lang w:val="sr-Latn-BA"/>
        </w:rPr>
        <w:t>i</w:t>
      </w:r>
      <w:r w:rsidRPr="00967004">
        <w:rPr>
          <w:lang w:val="sr-Latn-BA"/>
        </w:rPr>
        <w:t xml:space="preserve"> 03/22.</w:t>
      </w:r>
    </w:p>
  </w:footnote>
  <w:footnote w:id="13">
    <w:p w14:paraId="4C6F1630" w14:textId="2659025F" w:rsidR="00003F34" w:rsidRPr="00967004" w:rsidRDefault="00003F34" w:rsidP="000A10DE">
      <w:pPr>
        <w:pStyle w:val="FootnoteText"/>
        <w:spacing w:after="0"/>
        <w:rPr>
          <w:lang w:val="sr-Latn-BA"/>
        </w:rPr>
      </w:pPr>
      <w:r w:rsidRPr="00967004">
        <w:rPr>
          <w:rStyle w:val="FootnoteReference"/>
          <w:lang w:val="sr-Latn-BA"/>
        </w:rPr>
        <w:footnoteRef/>
      </w:r>
      <w:r w:rsidRPr="00967004">
        <w:rPr>
          <w:lang w:val="sr-Latn-BA"/>
        </w:rPr>
        <w:t xml:space="preserve"> </w:t>
      </w:r>
      <w:r w:rsidR="00967004" w:rsidRPr="00967004">
        <w:rPr>
          <w:lang w:val="sr-Latn-BA"/>
        </w:rPr>
        <w:t xml:space="preserve">„Službeni glasnik Republike Srpske“ br. </w:t>
      </w:r>
      <w:r w:rsidRPr="00967004">
        <w:rPr>
          <w:lang w:val="sr-Latn-BA"/>
        </w:rPr>
        <w:t xml:space="preserve">119/06, 17/08 </w:t>
      </w:r>
      <w:r w:rsidR="00967004" w:rsidRPr="00967004">
        <w:rPr>
          <w:lang w:val="sr-Latn-BA"/>
        </w:rPr>
        <w:t>i</w:t>
      </w:r>
      <w:r w:rsidRPr="00967004">
        <w:rPr>
          <w:lang w:val="sr-Latn-BA"/>
        </w:rPr>
        <w:t xml:space="preserve"> 15/18.</w:t>
      </w:r>
    </w:p>
  </w:footnote>
  <w:footnote w:id="14">
    <w:p w14:paraId="519D8C75" w14:textId="6454C384" w:rsidR="00003F34" w:rsidRPr="00967004" w:rsidRDefault="00003F34" w:rsidP="001B7591">
      <w:pPr>
        <w:pStyle w:val="FootnoteText"/>
        <w:jc w:val="both"/>
        <w:rPr>
          <w:lang w:val="sr-Latn-BA"/>
        </w:rPr>
      </w:pPr>
      <w:r w:rsidRPr="00967004">
        <w:rPr>
          <w:rStyle w:val="FootnoteReference"/>
          <w:lang w:val="sr-Latn-BA"/>
        </w:rPr>
        <w:footnoteRef/>
      </w:r>
      <w:r w:rsidRPr="00967004">
        <w:rPr>
          <w:lang w:val="sr-Latn-BA"/>
        </w:rPr>
        <w:t xml:space="preserve"> </w:t>
      </w:r>
      <w:r w:rsidR="00967004" w:rsidRPr="00967004">
        <w:rPr>
          <w:lang w:val="sr-Latn-BA"/>
        </w:rPr>
        <w:t>Oznaka PIF je skraćenica za privatizacioni investicioni fond, oznaka ZIF je skraćenica za zatvoreni investicioni fond, oznaka OAIF je skraćenica za otvoreni akcijski investicioni fond, oznaka OMIF je skraćenica za otvoreni mješoviti investicioni fond</w:t>
      </w:r>
      <w:r w:rsidRPr="00967004">
        <w:rPr>
          <w:lang w:val="sr-Latn-BA"/>
        </w:rPr>
        <w:t>.</w:t>
      </w:r>
    </w:p>
  </w:footnote>
  <w:footnote w:id="15">
    <w:p w14:paraId="5498FD3F" w14:textId="655678EA" w:rsidR="00003F34" w:rsidRPr="00967004" w:rsidRDefault="00003F34" w:rsidP="000A10DE">
      <w:pPr>
        <w:pStyle w:val="FootnoteText"/>
        <w:spacing w:after="0"/>
        <w:rPr>
          <w:lang w:val="sr-Latn-BA"/>
        </w:rPr>
      </w:pPr>
      <w:r w:rsidRPr="00967004">
        <w:rPr>
          <w:rStyle w:val="FootnoteReference"/>
          <w:lang w:val="sr-Latn-BA"/>
        </w:rPr>
        <w:footnoteRef/>
      </w:r>
      <w:r w:rsidRPr="00967004">
        <w:rPr>
          <w:lang w:val="sr-Latn-BA"/>
        </w:rPr>
        <w:t xml:space="preserve"> </w:t>
      </w:r>
      <w:r w:rsidR="00967004" w:rsidRPr="00967004">
        <w:rPr>
          <w:lang w:val="sr-Latn-BA"/>
        </w:rPr>
        <w:t xml:space="preserve">„Službeni glasnik Republike Srpske“ br. </w:t>
      </w:r>
      <w:r w:rsidRPr="00967004">
        <w:rPr>
          <w:lang w:val="sr-Latn-BA"/>
        </w:rPr>
        <w:t xml:space="preserve">123/20 </w:t>
      </w:r>
      <w:r w:rsidR="00967004" w:rsidRPr="00967004">
        <w:rPr>
          <w:lang w:val="sr-Latn-BA"/>
        </w:rPr>
        <w:t>i</w:t>
      </w:r>
      <w:r w:rsidRPr="00967004">
        <w:rPr>
          <w:lang w:val="sr-Latn-BA"/>
        </w:rPr>
        <w:t xml:space="preserve"> 26/21.</w:t>
      </w:r>
    </w:p>
  </w:footnote>
  <w:footnote w:id="16">
    <w:p w14:paraId="7AB0CD0B" w14:textId="09E748D6" w:rsidR="00003F34" w:rsidRPr="00967004" w:rsidRDefault="00003F34" w:rsidP="000A10DE">
      <w:pPr>
        <w:pStyle w:val="FootnoteText"/>
        <w:spacing w:after="0"/>
        <w:rPr>
          <w:lang w:val="sr-Latn-BA"/>
        </w:rPr>
      </w:pPr>
      <w:r w:rsidRPr="00967004">
        <w:rPr>
          <w:rStyle w:val="FootnoteReference"/>
          <w:lang w:val="sr-Latn-BA"/>
        </w:rPr>
        <w:footnoteRef/>
      </w:r>
      <w:r w:rsidRPr="00967004">
        <w:rPr>
          <w:lang w:val="sr-Latn-BA"/>
        </w:rPr>
        <w:t xml:space="preserve"> </w:t>
      </w:r>
      <w:r w:rsidR="00967004" w:rsidRPr="00967004">
        <w:rPr>
          <w:lang w:val="sr-Latn-BA"/>
        </w:rPr>
        <w:t xml:space="preserve">„Službeni glasnik Republike Srpske“ broj </w:t>
      </w:r>
      <w:r w:rsidRPr="00967004">
        <w:rPr>
          <w:lang w:val="sr-Latn-BA"/>
        </w:rPr>
        <w:t>105/23.</w:t>
      </w:r>
    </w:p>
  </w:footnote>
  <w:footnote w:id="17">
    <w:p w14:paraId="74F95879" w14:textId="69A46721" w:rsidR="00003F34" w:rsidRPr="00967004" w:rsidRDefault="00003F34">
      <w:pPr>
        <w:pStyle w:val="FootnoteText"/>
        <w:rPr>
          <w:lang w:val="sr-Latn-BA"/>
        </w:rPr>
      </w:pPr>
      <w:r w:rsidRPr="00967004">
        <w:rPr>
          <w:rStyle w:val="FootnoteReference"/>
          <w:lang w:val="sr-Latn-BA"/>
        </w:rPr>
        <w:footnoteRef/>
      </w:r>
      <w:r w:rsidRPr="00967004">
        <w:rPr>
          <w:lang w:val="sr-Latn-BA"/>
        </w:rPr>
        <w:t xml:space="preserve"> </w:t>
      </w:r>
      <w:r w:rsidR="00967004" w:rsidRPr="00967004">
        <w:rPr>
          <w:lang w:val="sr-Latn-BA"/>
        </w:rPr>
        <w:t xml:space="preserve">„Službeni glasnik Republike Srpske“ broj </w:t>
      </w:r>
      <w:r w:rsidRPr="00967004">
        <w:rPr>
          <w:lang w:val="sr-Latn-BA"/>
        </w:rPr>
        <w:t>63/22.</w:t>
      </w:r>
    </w:p>
  </w:footnote>
  <w:footnote w:id="18">
    <w:p w14:paraId="1A137AEA" w14:textId="295E4E2F" w:rsidR="00003F34" w:rsidRPr="00967004" w:rsidRDefault="00003F34" w:rsidP="000A10DE">
      <w:pPr>
        <w:pStyle w:val="FootnoteText"/>
        <w:spacing w:after="0"/>
        <w:jc w:val="both"/>
        <w:rPr>
          <w:lang w:val="sr-Latn-BA"/>
        </w:rPr>
      </w:pPr>
      <w:r w:rsidRPr="00967004">
        <w:rPr>
          <w:rStyle w:val="FootnoteReference"/>
          <w:lang w:val="sr-Latn-BA"/>
        </w:rPr>
        <w:footnoteRef/>
      </w:r>
      <w:r w:rsidRPr="00967004">
        <w:rPr>
          <w:lang w:val="sr-Latn-BA"/>
        </w:rPr>
        <w:t xml:space="preserve"> Administrative arrangement for the transfer of personal data between Each of the European Economic Area (“EEA”) Authorities set out in Appendix A and Each of the non-EEA Authorities set out in Appendix B.</w:t>
      </w:r>
    </w:p>
  </w:footnote>
  <w:footnote w:id="19">
    <w:p w14:paraId="667517D5" w14:textId="6F6EB032" w:rsidR="00003F34" w:rsidRPr="00967004" w:rsidRDefault="00003F34" w:rsidP="000A10DE">
      <w:pPr>
        <w:pStyle w:val="FootnoteText"/>
        <w:spacing w:after="0"/>
        <w:jc w:val="both"/>
        <w:rPr>
          <w:lang w:val="sr-Latn-BA"/>
        </w:rPr>
      </w:pPr>
      <w:r w:rsidRPr="00967004">
        <w:rPr>
          <w:rStyle w:val="FootnoteReference"/>
          <w:lang w:val="sr-Latn-BA"/>
        </w:rPr>
        <w:footnoteRef/>
      </w:r>
      <w:r w:rsidRPr="00967004">
        <w:rPr>
          <w:lang w:val="sr-Latn-BA"/>
        </w:rPr>
        <w:t xml:space="preserve"> IOSCO Multilateral Memorandum of Understanding Concerning Consultation and Cooperation and Exchange of Information (IOSCO MMoU).</w:t>
      </w:r>
    </w:p>
  </w:footnote>
  <w:footnote w:id="20">
    <w:p w14:paraId="5CE8EEDC" w14:textId="357D413B" w:rsidR="00003F34" w:rsidRPr="00967004" w:rsidRDefault="00003F34" w:rsidP="000A10DE">
      <w:pPr>
        <w:pStyle w:val="FootnoteText"/>
        <w:spacing w:after="0"/>
        <w:jc w:val="both"/>
        <w:rPr>
          <w:lang w:val="sr-Latn-BA"/>
        </w:rPr>
      </w:pPr>
      <w:r w:rsidRPr="00967004">
        <w:rPr>
          <w:rStyle w:val="FootnoteReference"/>
          <w:lang w:val="sr-Latn-BA"/>
        </w:rPr>
        <w:footnoteRef/>
      </w:r>
      <w:r w:rsidRPr="00967004">
        <w:rPr>
          <w:lang w:val="sr-Latn-BA"/>
        </w:rPr>
        <w:t xml:space="preserve"> IOSCO Enhanced Multilateral Memorandum of Understanding Concerning Consultation and Cooperation and Exchange of Information (IOSCO EMMoU).</w:t>
      </w:r>
    </w:p>
  </w:footnote>
  <w:footnote w:id="21">
    <w:p w14:paraId="133C39A6" w14:textId="7E41FE19" w:rsidR="00003F34" w:rsidRPr="00967004" w:rsidRDefault="00003F34" w:rsidP="00643CDC">
      <w:pPr>
        <w:pStyle w:val="FootnoteText"/>
        <w:spacing w:after="0"/>
        <w:rPr>
          <w:lang w:val="sr-Latn-BA"/>
        </w:rPr>
      </w:pPr>
      <w:r w:rsidRPr="00967004">
        <w:rPr>
          <w:rStyle w:val="FootnoteReference"/>
          <w:lang w:val="sr-Latn-BA"/>
        </w:rPr>
        <w:footnoteRef/>
      </w:r>
      <w:r w:rsidRPr="00967004">
        <w:rPr>
          <w:lang w:val="sr-Latn-BA"/>
        </w:rPr>
        <w:t xml:space="preserve"> </w:t>
      </w:r>
      <w:r w:rsidR="00967004" w:rsidRPr="00967004">
        <w:rPr>
          <w:lang w:val="sr-Latn-BA"/>
        </w:rPr>
        <w:t>Na kraju 2023. godine ova lista je povećana na 17 regulatora</w:t>
      </w:r>
      <w:r w:rsidRPr="00967004">
        <w:rPr>
          <w:lang w:val="sr-Latn-BA"/>
        </w:rPr>
        <w:t>.</w:t>
      </w:r>
    </w:p>
  </w:footnote>
  <w:footnote w:id="22">
    <w:p w14:paraId="6DDFAEF9" w14:textId="64841C19" w:rsidR="00003F34" w:rsidRPr="00967004" w:rsidRDefault="00003F34" w:rsidP="000A10DE">
      <w:pPr>
        <w:pStyle w:val="FootnoteText"/>
        <w:spacing w:after="0"/>
        <w:rPr>
          <w:lang w:val="sr-Latn-BA"/>
        </w:rPr>
      </w:pPr>
      <w:r w:rsidRPr="00967004">
        <w:rPr>
          <w:rStyle w:val="FootnoteReference"/>
          <w:rFonts w:eastAsiaTheme="majorEastAsia"/>
          <w:lang w:val="sr-Latn-BA"/>
        </w:rPr>
        <w:footnoteRef/>
      </w:r>
      <w:r w:rsidRPr="00967004">
        <w:rPr>
          <w:lang w:val="sr-Latn-BA"/>
        </w:rPr>
        <w:t xml:space="preserve"> </w:t>
      </w:r>
      <w:r w:rsidR="00967004" w:rsidRPr="00967004">
        <w:rPr>
          <w:lang w:val="sr-Latn-BA"/>
        </w:rPr>
        <w:t>Član 260. tačka d) Zakona o tržištu</w:t>
      </w:r>
      <w:r w:rsidRPr="00967004">
        <w:rPr>
          <w:lang w:val="sr-Latn-BA"/>
        </w:rPr>
        <w:t>.</w:t>
      </w:r>
    </w:p>
  </w:footnote>
  <w:footnote w:id="23">
    <w:p w14:paraId="394887A2" w14:textId="6DCCDF12" w:rsidR="00003F34" w:rsidRPr="00967004" w:rsidRDefault="00003F34" w:rsidP="000A10DE">
      <w:pPr>
        <w:pStyle w:val="FootnoteText"/>
        <w:spacing w:after="0"/>
        <w:rPr>
          <w:lang w:val="sr-Latn-BA"/>
        </w:rPr>
      </w:pPr>
      <w:r w:rsidRPr="00967004">
        <w:rPr>
          <w:rStyle w:val="FootnoteReference"/>
          <w:rFonts w:eastAsiaTheme="majorEastAsia"/>
          <w:lang w:val="sr-Latn-BA"/>
        </w:rPr>
        <w:footnoteRef/>
      </w:r>
      <w:r w:rsidRPr="00967004">
        <w:rPr>
          <w:lang w:val="sr-Latn-BA"/>
        </w:rPr>
        <w:t xml:space="preserve"> </w:t>
      </w:r>
      <w:r w:rsidR="00967004" w:rsidRPr="00967004">
        <w:rPr>
          <w:lang w:val="sr-Latn-BA"/>
        </w:rPr>
        <w:t>Član 260. tačka đ) Zakona o tržištu</w:t>
      </w:r>
      <w:r w:rsidRPr="00967004">
        <w:rPr>
          <w:lang w:val="sr-Latn-BA"/>
        </w:rPr>
        <w:t>.</w:t>
      </w:r>
    </w:p>
  </w:footnote>
  <w:footnote w:id="24">
    <w:p w14:paraId="2E883163" w14:textId="02674D11" w:rsidR="00003F34" w:rsidRPr="00967004" w:rsidRDefault="00003F34" w:rsidP="000A10DE">
      <w:pPr>
        <w:pStyle w:val="FootnoteText"/>
        <w:spacing w:after="0"/>
        <w:rPr>
          <w:lang w:val="sr-Latn-BA"/>
        </w:rPr>
      </w:pPr>
      <w:r w:rsidRPr="00967004">
        <w:rPr>
          <w:rStyle w:val="FootnoteReference"/>
          <w:rFonts w:eastAsiaTheme="majorEastAsia"/>
          <w:lang w:val="sr-Latn-BA"/>
        </w:rPr>
        <w:footnoteRef/>
      </w:r>
      <w:r w:rsidRPr="00967004">
        <w:rPr>
          <w:lang w:val="sr-Latn-BA"/>
        </w:rPr>
        <w:t xml:space="preserve"> </w:t>
      </w:r>
      <w:r w:rsidR="00967004" w:rsidRPr="00967004">
        <w:rPr>
          <w:lang w:val="sr-Latn-BA"/>
        </w:rPr>
        <w:t>Član 80. stav 1. tačka h) Zakona o sprečavanju pranja novca i finansiranja terorističkih aktivnosti („Službeni glasnik BiH“, broj 47/14 i 10/16).</w:t>
      </w:r>
    </w:p>
  </w:footnote>
  <w:footnote w:id="25">
    <w:p w14:paraId="39DB6D25" w14:textId="3C3C7F11" w:rsidR="00003F34" w:rsidRPr="00967004" w:rsidRDefault="00003F34" w:rsidP="000A10DE">
      <w:pPr>
        <w:pStyle w:val="FootnoteText"/>
        <w:spacing w:after="0"/>
        <w:rPr>
          <w:lang w:val="sr-Latn-BA"/>
        </w:rPr>
      </w:pPr>
      <w:r w:rsidRPr="00967004">
        <w:rPr>
          <w:rStyle w:val="FootnoteReference"/>
          <w:rFonts w:eastAsiaTheme="majorEastAsia"/>
          <w:lang w:val="sr-Latn-BA"/>
        </w:rPr>
        <w:footnoteRef/>
      </w:r>
      <w:r w:rsidRPr="00967004">
        <w:rPr>
          <w:lang w:val="sr-Latn-BA"/>
        </w:rPr>
        <w:t xml:space="preserve"> </w:t>
      </w:r>
      <w:r w:rsidR="00967004" w:rsidRPr="00967004">
        <w:rPr>
          <w:lang w:val="sr-Latn-BA"/>
        </w:rPr>
        <w:t>Član 227. stav 1. Zakona o investicionim fondovima</w:t>
      </w:r>
      <w:r w:rsidRPr="00967004">
        <w:rPr>
          <w:lang w:val="sr-Latn-BA"/>
        </w:rPr>
        <w:t>.</w:t>
      </w:r>
    </w:p>
  </w:footnote>
  <w:footnote w:id="26">
    <w:p w14:paraId="31F6F78A" w14:textId="45CD160B" w:rsidR="00003F34" w:rsidRPr="00967004" w:rsidRDefault="00003F34" w:rsidP="000A10DE">
      <w:pPr>
        <w:pStyle w:val="FootnoteText"/>
        <w:spacing w:after="0"/>
        <w:rPr>
          <w:lang w:val="sr-Latn-BA"/>
        </w:rPr>
      </w:pPr>
      <w:r w:rsidRPr="00967004">
        <w:rPr>
          <w:rStyle w:val="FootnoteReference"/>
          <w:rFonts w:eastAsiaTheme="majorEastAsia"/>
          <w:lang w:val="sr-Latn-BA"/>
        </w:rPr>
        <w:footnoteRef/>
      </w:r>
      <w:r w:rsidRPr="00967004">
        <w:rPr>
          <w:lang w:val="sr-Latn-BA"/>
        </w:rPr>
        <w:t xml:space="preserve"> </w:t>
      </w:r>
      <w:r w:rsidR="00967004" w:rsidRPr="00967004">
        <w:rPr>
          <w:lang w:val="sr-Latn-BA"/>
        </w:rPr>
        <w:t>Član 3. Pravilnika o nadzoru nad učesnicima na tržištu hartija od vrijednosti (Službeni glasnik Republike Srpske broj 98/14, 77/17 i 25/23</w:t>
      </w:r>
      <w:r w:rsidRPr="00967004">
        <w:rPr>
          <w:lang w:val="sr-Latn-BA"/>
        </w:rPr>
        <w:t>).</w:t>
      </w:r>
    </w:p>
  </w:footnote>
  <w:footnote w:id="27">
    <w:p w14:paraId="6A832D77" w14:textId="05C012DE" w:rsidR="00003F34" w:rsidRPr="00967004" w:rsidRDefault="00003F34" w:rsidP="000A10DE">
      <w:pPr>
        <w:pStyle w:val="FootnoteText"/>
        <w:spacing w:after="0"/>
        <w:rPr>
          <w:lang w:val="sr-Latn-BA"/>
        </w:rPr>
      </w:pPr>
      <w:r w:rsidRPr="00967004">
        <w:rPr>
          <w:rStyle w:val="FootnoteReference"/>
          <w:rFonts w:eastAsiaTheme="majorEastAsia"/>
          <w:lang w:val="sr-Latn-BA"/>
        </w:rPr>
        <w:footnoteRef/>
      </w:r>
      <w:r w:rsidRPr="00967004">
        <w:rPr>
          <w:lang w:val="sr-Latn-BA"/>
        </w:rPr>
        <w:t xml:space="preserve"> </w:t>
      </w:r>
      <w:r w:rsidR="00967004" w:rsidRPr="00967004">
        <w:rPr>
          <w:lang w:val="sr-Latn-BA"/>
        </w:rPr>
        <w:t xml:space="preserve">Član </w:t>
      </w:r>
      <w:r w:rsidRPr="00967004">
        <w:rPr>
          <w:lang w:val="sr-Latn-BA"/>
        </w:rPr>
        <w:t xml:space="preserve">2. </w:t>
      </w:r>
      <w:r w:rsidR="00967004" w:rsidRPr="00967004">
        <w:rPr>
          <w:lang w:val="sr-Latn-BA"/>
        </w:rPr>
        <w:t xml:space="preserve">stav </w:t>
      </w:r>
      <w:r w:rsidRPr="00967004">
        <w:rPr>
          <w:lang w:val="sr-Latn-BA"/>
        </w:rPr>
        <w:t xml:space="preserve">1. </w:t>
      </w:r>
      <w:r w:rsidR="00967004" w:rsidRPr="00967004">
        <w:rPr>
          <w:lang w:val="sr-Latn-BA"/>
        </w:rPr>
        <w:t>Pravilnika o nadzoru</w:t>
      </w:r>
      <w:r w:rsidRPr="00967004">
        <w:rPr>
          <w:lang w:val="sr-Latn-BA"/>
        </w:rPr>
        <w:t>.</w:t>
      </w:r>
    </w:p>
  </w:footnote>
  <w:footnote w:id="28">
    <w:p w14:paraId="4574213F" w14:textId="6CED1B9F" w:rsidR="00003F34" w:rsidRPr="00967004" w:rsidRDefault="00003F34" w:rsidP="000A10DE">
      <w:pPr>
        <w:pStyle w:val="FootnoteText"/>
        <w:spacing w:after="0"/>
        <w:rPr>
          <w:lang w:val="sr-Latn-BA"/>
        </w:rPr>
      </w:pPr>
      <w:r w:rsidRPr="00967004">
        <w:rPr>
          <w:rStyle w:val="FootnoteReference"/>
          <w:rFonts w:eastAsiaTheme="majorEastAsia"/>
          <w:lang w:val="sr-Latn-BA"/>
        </w:rPr>
        <w:footnoteRef/>
      </w:r>
      <w:r w:rsidRPr="00967004">
        <w:rPr>
          <w:lang w:val="sr-Latn-BA"/>
        </w:rPr>
        <w:t xml:space="preserve"> </w:t>
      </w:r>
      <w:r w:rsidR="00967004" w:rsidRPr="00967004">
        <w:rPr>
          <w:lang w:val="sr-Latn-BA"/>
        </w:rPr>
        <w:t xml:space="preserve">Član </w:t>
      </w:r>
      <w:r w:rsidRPr="00967004">
        <w:rPr>
          <w:lang w:val="sr-Latn-BA"/>
        </w:rPr>
        <w:t xml:space="preserve">2. </w:t>
      </w:r>
      <w:r w:rsidR="00967004" w:rsidRPr="00967004">
        <w:rPr>
          <w:lang w:val="sr-Latn-BA"/>
        </w:rPr>
        <w:t>st</w:t>
      </w:r>
      <w:r w:rsidRPr="00967004">
        <w:rPr>
          <w:lang w:val="sr-Latn-BA"/>
        </w:rPr>
        <w:t xml:space="preserve">. 2. </w:t>
      </w:r>
      <w:r w:rsidR="00967004" w:rsidRPr="00967004">
        <w:rPr>
          <w:lang w:val="sr-Latn-BA"/>
        </w:rPr>
        <w:t>i</w:t>
      </w:r>
      <w:r w:rsidRPr="00967004">
        <w:rPr>
          <w:lang w:val="sr-Latn-BA"/>
        </w:rPr>
        <w:t xml:space="preserve"> 3. </w:t>
      </w:r>
      <w:r w:rsidR="00967004" w:rsidRPr="00967004">
        <w:rPr>
          <w:lang w:val="sr-Latn-BA"/>
        </w:rPr>
        <w:t>Pravilnika o nadzoru</w:t>
      </w:r>
      <w:r w:rsidRPr="00967004">
        <w:rPr>
          <w:lang w:val="sr-Latn-BA"/>
        </w:rPr>
        <w:t>.</w:t>
      </w:r>
    </w:p>
  </w:footnote>
  <w:footnote w:id="29">
    <w:p w14:paraId="132C40C3" w14:textId="4EBEFBA5" w:rsidR="00003F34" w:rsidRPr="00967004" w:rsidRDefault="00003F34" w:rsidP="000A10DE">
      <w:pPr>
        <w:pStyle w:val="FootnoteText"/>
        <w:spacing w:after="0"/>
        <w:rPr>
          <w:lang w:val="sr-Latn-BA"/>
        </w:rPr>
      </w:pPr>
      <w:r w:rsidRPr="00967004">
        <w:rPr>
          <w:rStyle w:val="FootnoteReference"/>
          <w:rFonts w:eastAsiaTheme="majorEastAsia"/>
          <w:lang w:val="sr-Latn-BA"/>
        </w:rPr>
        <w:footnoteRef/>
      </w:r>
      <w:r w:rsidRPr="00967004">
        <w:rPr>
          <w:lang w:val="sr-Latn-BA"/>
        </w:rPr>
        <w:t xml:space="preserve"> </w:t>
      </w:r>
      <w:r w:rsidR="00967004" w:rsidRPr="00967004">
        <w:rPr>
          <w:lang w:val="sr-Latn-BA"/>
        </w:rPr>
        <w:t xml:space="preserve">Član </w:t>
      </w:r>
      <w:r w:rsidRPr="00967004">
        <w:rPr>
          <w:lang w:val="sr-Latn-BA"/>
        </w:rPr>
        <w:t xml:space="preserve">7. </w:t>
      </w:r>
      <w:r w:rsidR="00967004" w:rsidRPr="00967004">
        <w:rPr>
          <w:lang w:val="sr-Latn-BA"/>
        </w:rPr>
        <w:t xml:space="preserve">stav </w:t>
      </w:r>
      <w:r w:rsidRPr="00967004">
        <w:rPr>
          <w:lang w:val="sr-Latn-BA"/>
        </w:rPr>
        <w:t xml:space="preserve">1. </w:t>
      </w:r>
      <w:r w:rsidR="00967004" w:rsidRPr="00967004">
        <w:rPr>
          <w:lang w:val="sr-Latn-BA"/>
        </w:rPr>
        <w:t>Pravilnika o nadzoru</w:t>
      </w:r>
      <w:r w:rsidRPr="00967004">
        <w:rPr>
          <w:lang w:val="sr-Latn-BA"/>
        </w:rPr>
        <w:t>.</w:t>
      </w:r>
    </w:p>
  </w:footnote>
  <w:footnote w:id="30">
    <w:p w14:paraId="23BD2846" w14:textId="5066E02E" w:rsidR="00003F34" w:rsidRPr="00967004" w:rsidRDefault="00003F34" w:rsidP="000A10DE">
      <w:pPr>
        <w:pStyle w:val="FootnoteText"/>
        <w:spacing w:after="0"/>
        <w:rPr>
          <w:lang w:val="sr-Latn-BA"/>
        </w:rPr>
      </w:pPr>
      <w:r w:rsidRPr="00967004">
        <w:rPr>
          <w:rStyle w:val="FootnoteReference"/>
          <w:rFonts w:eastAsiaTheme="majorEastAsia"/>
          <w:lang w:val="sr-Latn-BA"/>
        </w:rPr>
        <w:footnoteRef/>
      </w:r>
      <w:r w:rsidRPr="00967004">
        <w:rPr>
          <w:lang w:val="sr-Latn-BA"/>
        </w:rPr>
        <w:t xml:space="preserve"> </w:t>
      </w:r>
      <w:r w:rsidR="00967004" w:rsidRPr="00967004">
        <w:rPr>
          <w:lang w:val="sr-Latn-BA"/>
        </w:rPr>
        <w:t xml:space="preserve">Član </w:t>
      </w:r>
      <w:r w:rsidRPr="00967004">
        <w:rPr>
          <w:lang w:val="sr-Latn-BA"/>
        </w:rPr>
        <w:t xml:space="preserve">7. </w:t>
      </w:r>
      <w:r w:rsidR="00967004" w:rsidRPr="00967004">
        <w:rPr>
          <w:lang w:val="sr-Latn-BA"/>
        </w:rPr>
        <w:t xml:space="preserve">stav </w:t>
      </w:r>
      <w:r w:rsidRPr="00967004">
        <w:rPr>
          <w:lang w:val="sr-Latn-BA"/>
        </w:rPr>
        <w:t xml:space="preserve">2. </w:t>
      </w:r>
      <w:r w:rsidR="00967004" w:rsidRPr="00967004">
        <w:rPr>
          <w:lang w:val="sr-Latn-BA"/>
        </w:rPr>
        <w:t>Pravilnika o nadzoru</w:t>
      </w:r>
      <w:r w:rsidRPr="00967004">
        <w:rPr>
          <w:lang w:val="sr-Latn-BA"/>
        </w:rPr>
        <w:t>.</w:t>
      </w:r>
    </w:p>
  </w:footnote>
  <w:footnote w:id="31">
    <w:p w14:paraId="2ABEB815" w14:textId="08B2CD5A" w:rsidR="00003F34" w:rsidRPr="00967004" w:rsidRDefault="00003F34" w:rsidP="000A10DE">
      <w:pPr>
        <w:pStyle w:val="FootnoteText"/>
        <w:spacing w:after="0"/>
        <w:rPr>
          <w:lang w:val="sr-Latn-BA"/>
        </w:rPr>
      </w:pPr>
      <w:r w:rsidRPr="00967004">
        <w:rPr>
          <w:rStyle w:val="FootnoteReference"/>
          <w:rFonts w:eastAsiaTheme="majorEastAsia"/>
          <w:lang w:val="sr-Latn-BA"/>
        </w:rPr>
        <w:footnoteRef/>
      </w:r>
      <w:r w:rsidRPr="00967004">
        <w:rPr>
          <w:lang w:val="sr-Latn-BA"/>
        </w:rPr>
        <w:t xml:space="preserve"> </w:t>
      </w:r>
      <w:r w:rsidR="00967004" w:rsidRPr="00967004">
        <w:rPr>
          <w:lang w:val="sr-Latn-BA"/>
        </w:rPr>
        <w:t xml:space="preserve">Član </w:t>
      </w:r>
      <w:r w:rsidRPr="00967004">
        <w:rPr>
          <w:lang w:val="sr-Latn-BA"/>
        </w:rPr>
        <w:t xml:space="preserve">9. </w:t>
      </w:r>
      <w:r w:rsidR="00967004" w:rsidRPr="00967004">
        <w:rPr>
          <w:lang w:val="sr-Latn-BA"/>
        </w:rPr>
        <w:t xml:space="preserve">stav </w:t>
      </w:r>
      <w:r w:rsidRPr="00967004">
        <w:rPr>
          <w:lang w:val="sr-Latn-BA"/>
        </w:rPr>
        <w:t xml:space="preserve">1. </w:t>
      </w:r>
      <w:r w:rsidR="00967004" w:rsidRPr="00967004">
        <w:rPr>
          <w:lang w:val="sr-Latn-BA"/>
        </w:rPr>
        <w:t>Pravilnika o nadzoru</w:t>
      </w:r>
      <w:r w:rsidRPr="00967004">
        <w:rPr>
          <w:lang w:val="sr-Latn-BA"/>
        </w:rPr>
        <w:t>.</w:t>
      </w:r>
    </w:p>
  </w:footnote>
  <w:footnote w:id="32">
    <w:p w14:paraId="71A8CF5F" w14:textId="110735AA" w:rsidR="00003F34" w:rsidRPr="00967004" w:rsidRDefault="00003F34" w:rsidP="000A10DE">
      <w:pPr>
        <w:pStyle w:val="FootnoteText"/>
        <w:spacing w:after="0"/>
        <w:rPr>
          <w:lang w:val="sr-Latn-BA"/>
        </w:rPr>
      </w:pPr>
      <w:r w:rsidRPr="00967004">
        <w:rPr>
          <w:rStyle w:val="FootnoteReference"/>
          <w:rFonts w:eastAsiaTheme="majorEastAsia"/>
          <w:lang w:val="sr-Latn-BA"/>
        </w:rPr>
        <w:footnoteRef/>
      </w:r>
      <w:r w:rsidRPr="00967004">
        <w:rPr>
          <w:lang w:val="sr-Latn-BA"/>
        </w:rPr>
        <w:t xml:space="preserve"> </w:t>
      </w:r>
      <w:r w:rsidR="00967004" w:rsidRPr="00967004">
        <w:rPr>
          <w:lang w:val="sr-Latn-BA"/>
        </w:rPr>
        <w:t xml:space="preserve">Član </w:t>
      </w:r>
      <w:r w:rsidRPr="00967004">
        <w:rPr>
          <w:lang w:val="sr-Latn-BA"/>
        </w:rPr>
        <w:t xml:space="preserve">7. </w:t>
      </w:r>
      <w:r w:rsidR="00967004" w:rsidRPr="00967004">
        <w:rPr>
          <w:lang w:val="sr-Latn-BA"/>
        </w:rPr>
        <w:t xml:space="preserve">stav </w:t>
      </w:r>
      <w:r w:rsidRPr="00967004">
        <w:rPr>
          <w:lang w:val="sr-Latn-BA"/>
        </w:rPr>
        <w:t xml:space="preserve">3. </w:t>
      </w:r>
      <w:r w:rsidR="00967004" w:rsidRPr="00967004">
        <w:rPr>
          <w:lang w:val="sr-Latn-BA"/>
        </w:rPr>
        <w:t>Pravilnika o nadzoru</w:t>
      </w:r>
      <w:r w:rsidRPr="00967004">
        <w:rPr>
          <w:lang w:val="sr-Latn-BA"/>
        </w:rPr>
        <w:t>.</w:t>
      </w:r>
    </w:p>
  </w:footnote>
  <w:footnote w:id="33">
    <w:p w14:paraId="7428763B" w14:textId="565083A8" w:rsidR="00003F34" w:rsidRPr="00967004" w:rsidRDefault="00003F34" w:rsidP="000A10DE">
      <w:pPr>
        <w:pStyle w:val="FootnoteText"/>
        <w:spacing w:after="0"/>
        <w:rPr>
          <w:lang w:val="sr-Latn-BA"/>
        </w:rPr>
      </w:pPr>
      <w:r w:rsidRPr="00967004">
        <w:rPr>
          <w:rStyle w:val="FootnoteReference"/>
          <w:rFonts w:eastAsiaTheme="majorEastAsia"/>
          <w:lang w:val="sr-Latn-BA"/>
        </w:rPr>
        <w:footnoteRef/>
      </w:r>
      <w:r w:rsidRPr="00967004">
        <w:rPr>
          <w:lang w:val="sr-Latn-BA"/>
        </w:rPr>
        <w:t xml:space="preserve"> </w:t>
      </w:r>
      <w:r w:rsidR="00967004" w:rsidRPr="00967004">
        <w:rPr>
          <w:lang w:val="sr-Latn-BA"/>
        </w:rPr>
        <w:t xml:space="preserve">Član </w:t>
      </w:r>
      <w:r w:rsidRPr="00967004">
        <w:rPr>
          <w:lang w:val="sr-Latn-BA"/>
        </w:rPr>
        <w:t xml:space="preserve">7. </w:t>
      </w:r>
      <w:r w:rsidR="00967004" w:rsidRPr="00967004">
        <w:rPr>
          <w:lang w:val="sr-Latn-BA"/>
        </w:rPr>
        <w:t xml:space="preserve">stav </w:t>
      </w:r>
      <w:r w:rsidRPr="00967004">
        <w:rPr>
          <w:lang w:val="sr-Latn-BA"/>
        </w:rPr>
        <w:t xml:space="preserve">4. </w:t>
      </w:r>
      <w:r w:rsidR="00967004" w:rsidRPr="00967004">
        <w:rPr>
          <w:lang w:val="sr-Latn-BA"/>
        </w:rPr>
        <w:t>Pravilnika o nadzoru</w:t>
      </w:r>
      <w:r w:rsidRPr="00967004">
        <w:rPr>
          <w:lang w:val="sr-Latn-BA"/>
        </w:rPr>
        <w:t>.</w:t>
      </w:r>
    </w:p>
  </w:footnote>
  <w:footnote w:id="34">
    <w:p w14:paraId="4F4CA60D" w14:textId="20DFE3B9" w:rsidR="00003F34" w:rsidRPr="00967004" w:rsidRDefault="00003F34" w:rsidP="000A10DE">
      <w:pPr>
        <w:pStyle w:val="FootnoteText"/>
        <w:spacing w:after="0"/>
        <w:rPr>
          <w:lang w:val="sr-Latn-BA"/>
        </w:rPr>
      </w:pPr>
      <w:r w:rsidRPr="00967004">
        <w:rPr>
          <w:rStyle w:val="FootnoteReference"/>
          <w:rFonts w:eastAsiaTheme="majorEastAsia"/>
          <w:lang w:val="sr-Latn-BA"/>
        </w:rPr>
        <w:footnoteRef/>
      </w:r>
      <w:r w:rsidRPr="00967004">
        <w:rPr>
          <w:lang w:val="sr-Latn-BA"/>
        </w:rPr>
        <w:t xml:space="preserve"> </w:t>
      </w:r>
      <w:r w:rsidR="00967004" w:rsidRPr="00967004">
        <w:rPr>
          <w:lang w:val="sr-Latn-BA"/>
        </w:rPr>
        <w:t xml:space="preserve">Član </w:t>
      </w:r>
      <w:r w:rsidRPr="00967004">
        <w:rPr>
          <w:lang w:val="sr-Latn-BA"/>
        </w:rPr>
        <w:t xml:space="preserve">4. </w:t>
      </w:r>
      <w:r w:rsidR="00967004" w:rsidRPr="00967004">
        <w:rPr>
          <w:lang w:val="sr-Latn-BA"/>
        </w:rPr>
        <w:t xml:space="preserve">stav </w:t>
      </w:r>
      <w:r w:rsidRPr="00967004">
        <w:rPr>
          <w:lang w:val="sr-Latn-BA"/>
        </w:rPr>
        <w:t xml:space="preserve">1. </w:t>
      </w:r>
      <w:r w:rsidR="00967004" w:rsidRPr="00967004">
        <w:rPr>
          <w:lang w:val="sr-Latn-BA"/>
        </w:rPr>
        <w:t>Pravilnika o nadzoru</w:t>
      </w:r>
      <w:r w:rsidRPr="00967004">
        <w:rPr>
          <w:lang w:val="sr-Latn-BA"/>
        </w:rPr>
        <w:t>.</w:t>
      </w:r>
    </w:p>
  </w:footnote>
  <w:footnote w:id="35">
    <w:p w14:paraId="4A8B1ADC" w14:textId="68B32218" w:rsidR="00003F34" w:rsidRPr="00967004" w:rsidRDefault="00003F34" w:rsidP="000A10DE">
      <w:pPr>
        <w:pStyle w:val="FootnoteText"/>
        <w:spacing w:after="0"/>
        <w:rPr>
          <w:lang w:val="sr-Latn-BA"/>
        </w:rPr>
      </w:pPr>
      <w:r w:rsidRPr="00967004">
        <w:rPr>
          <w:rStyle w:val="FootnoteReference"/>
          <w:rFonts w:eastAsiaTheme="majorEastAsia"/>
          <w:lang w:val="sr-Latn-BA"/>
        </w:rPr>
        <w:footnoteRef/>
      </w:r>
      <w:r w:rsidRPr="00967004">
        <w:rPr>
          <w:lang w:val="sr-Latn-BA"/>
        </w:rPr>
        <w:t xml:space="preserve"> </w:t>
      </w:r>
      <w:r w:rsidR="00967004" w:rsidRPr="00967004">
        <w:rPr>
          <w:lang w:val="sr-Latn-BA"/>
        </w:rPr>
        <w:t>Član</w:t>
      </w:r>
      <w:r w:rsidRPr="00967004">
        <w:rPr>
          <w:lang w:val="sr-Latn-BA"/>
        </w:rPr>
        <w:t xml:space="preserve"> 7. </w:t>
      </w:r>
      <w:r w:rsidR="00967004" w:rsidRPr="00967004">
        <w:rPr>
          <w:lang w:val="sr-Latn-BA"/>
        </w:rPr>
        <w:t>st</w:t>
      </w:r>
      <w:r w:rsidRPr="00967004">
        <w:rPr>
          <w:lang w:val="sr-Latn-BA"/>
        </w:rPr>
        <w:t xml:space="preserve">. 5. </w:t>
      </w:r>
      <w:r w:rsidR="00967004" w:rsidRPr="00967004">
        <w:rPr>
          <w:lang w:val="sr-Latn-BA"/>
        </w:rPr>
        <w:t>do</w:t>
      </w:r>
      <w:r w:rsidRPr="00967004">
        <w:rPr>
          <w:lang w:val="sr-Latn-BA"/>
        </w:rPr>
        <w:t xml:space="preserve"> 7. </w:t>
      </w:r>
      <w:r w:rsidR="00967004" w:rsidRPr="00967004">
        <w:rPr>
          <w:lang w:val="sr-Latn-BA"/>
        </w:rPr>
        <w:t>Pravilnika o nadzoru</w:t>
      </w:r>
      <w:r w:rsidRPr="00967004">
        <w:rPr>
          <w:lang w:val="sr-Latn-BA"/>
        </w:rPr>
        <w:t>.</w:t>
      </w:r>
    </w:p>
    <w:p w14:paraId="55925777" w14:textId="77777777" w:rsidR="00003F34" w:rsidRPr="00967004" w:rsidRDefault="00003F34" w:rsidP="000A10DE">
      <w:pPr>
        <w:pStyle w:val="FootnoteText"/>
        <w:spacing w:after="0"/>
        <w:rPr>
          <w:lang w:val="sr-Latn-BA"/>
        </w:rPr>
      </w:pPr>
    </w:p>
  </w:footnote>
  <w:footnote w:id="36">
    <w:p w14:paraId="27858AB8" w14:textId="1E9761F0" w:rsidR="00003F34" w:rsidRPr="00967004" w:rsidRDefault="00003F34" w:rsidP="000A10DE">
      <w:pPr>
        <w:pStyle w:val="Footnote"/>
        <w:ind w:firstLine="709"/>
        <w:rPr>
          <w:sz w:val="20"/>
          <w:szCs w:val="20"/>
          <w:lang w:val="sr-Latn-BA"/>
        </w:rPr>
      </w:pPr>
      <w:r w:rsidRPr="00967004">
        <w:rPr>
          <w:rStyle w:val="FootnoteReference"/>
          <w:lang w:val="sr-Latn-BA"/>
        </w:rPr>
        <w:footnoteRef/>
      </w:r>
      <w:r w:rsidRPr="00967004">
        <w:rPr>
          <w:sz w:val="20"/>
          <w:szCs w:val="20"/>
          <w:lang w:val="sr-Latn-BA"/>
        </w:rPr>
        <w:t xml:space="preserve"> </w:t>
      </w:r>
      <w:r w:rsidR="00967004" w:rsidRPr="00967004">
        <w:rPr>
          <w:sz w:val="20"/>
          <w:szCs w:val="20"/>
          <w:lang w:val="sr-Latn-BA"/>
        </w:rPr>
        <w:t>Član 266. Zakona o tržištu</w:t>
      </w:r>
      <w:r w:rsidRPr="00967004">
        <w:rPr>
          <w:sz w:val="20"/>
          <w:szCs w:val="20"/>
          <w:lang w:val="sr-Latn-BA"/>
        </w:rPr>
        <w:t>.</w:t>
      </w:r>
    </w:p>
  </w:footnote>
  <w:footnote w:id="37">
    <w:p w14:paraId="49276E17" w14:textId="59F21BC8" w:rsidR="00003F34" w:rsidRPr="00967004" w:rsidRDefault="00003F34" w:rsidP="000A10DE">
      <w:pPr>
        <w:pStyle w:val="Footnote"/>
        <w:ind w:firstLine="709"/>
        <w:rPr>
          <w:sz w:val="20"/>
          <w:szCs w:val="20"/>
          <w:lang w:val="sr-Latn-BA"/>
        </w:rPr>
      </w:pPr>
      <w:r w:rsidRPr="00967004">
        <w:rPr>
          <w:rStyle w:val="FootnoteReference"/>
          <w:lang w:val="sr-Latn-BA"/>
        </w:rPr>
        <w:footnoteRef/>
      </w:r>
      <w:r w:rsidRPr="00967004">
        <w:rPr>
          <w:sz w:val="20"/>
          <w:szCs w:val="20"/>
          <w:lang w:val="sr-Latn-BA"/>
        </w:rPr>
        <w:t xml:space="preserve"> </w:t>
      </w:r>
      <w:r w:rsidR="00967004" w:rsidRPr="00967004">
        <w:rPr>
          <w:sz w:val="20"/>
          <w:szCs w:val="20"/>
          <w:lang w:val="sr-Latn-BA"/>
        </w:rPr>
        <w:t>Član 265. stav 2. Zakona o tržištu</w:t>
      </w:r>
      <w:r w:rsidRPr="00967004">
        <w:rPr>
          <w:sz w:val="20"/>
          <w:szCs w:val="20"/>
          <w:lang w:val="sr-Latn-BA"/>
        </w:rPr>
        <w:t>.</w:t>
      </w:r>
    </w:p>
  </w:footnote>
  <w:footnote w:id="38">
    <w:p w14:paraId="08B73982" w14:textId="07EA9EA3" w:rsidR="00003F34" w:rsidRPr="00967004" w:rsidRDefault="00003F34" w:rsidP="000A10DE">
      <w:pPr>
        <w:pStyle w:val="Footnote"/>
        <w:ind w:firstLine="709"/>
        <w:rPr>
          <w:sz w:val="20"/>
          <w:szCs w:val="20"/>
          <w:lang w:val="sr-Latn-BA"/>
        </w:rPr>
      </w:pPr>
      <w:r w:rsidRPr="00967004">
        <w:rPr>
          <w:rStyle w:val="FootnoteReference"/>
          <w:lang w:val="sr-Latn-BA"/>
        </w:rPr>
        <w:footnoteRef/>
      </w:r>
      <w:r w:rsidRPr="00967004">
        <w:rPr>
          <w:sz w:val="20"/>
          <w:szCs w:val="20"/>
          <w:lang w:val="sr-Latn-BA"/>
        </w:rPr>
        <w:t xml:space="preserve"> </w:t>
      </w:r>
      <w:r w:rsidR="00967004" w:rsidRPr="00967004">
        <w:rPr>
          <w:sz w:val="20"/>
          <w:szCs w:val="20"/>
          <w:lang w:val="sr-Latn-BA"/>
        </w:rPr>
        <w:t>Član 267. stav 1. Zakona o tržištu</w:t>
      </w:r>
      <w:r w:rsidRPr="00967004">
        <w:rPr>
          <w:sz w:val="20"/>
          <w:szCs w:val="20"/>
          <w:lang w:val="sr-Latn-B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6F10F0F"/>
    <w:multiLevelType w:val="hybridMultilevel"/>
    <w:tmpl w:val="25BF881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910BE"/>
    <w:multiLevelType w:val="hybridMultilevel"/>
    <w:tmpl w:val="EE780088"/>
    <w:lvl w:ilvl="0" w:tplc="550E4F1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8FAF34"/>
    <w:multiLevelType w:val="hybridMultilevel"/>
    <w:tmpl w:val="FEF858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F3357A7"/>
    <w:multiLevelType w:val="hybridMultilevel"/>
    <w:tmpl w:val="C9D0CEDC"/>
    <w:lvl w:ilvl="0" w:tplc="081A000F">
      <w:start w:val="1"/>
      <w:numFmt w:val="decimal"/>
      <w:lvlText w:val="%1."/>
      <w:lvlJc w:val="left"/>
      <w:pPr>
        <w:ind w:left="1068" w:hanging="360"/>
      </w:pPr>
      <w:rPr>
        <w:rFonts w:hint="default"/>
      </w:rPr>
    </w:lvl>
    <w:lvl w:ilvl="1" w:tplc="081A0019" w:tentative="1">
      <w:start w:val="1"/>
      <w:numFmt w:val="lowerLetter"/>
      <w:lvlText w:val="%2."/>
      <w:lvlJc w:val="left"/>
      <w:pPr>
        <w:ind w:left="1788" w:hanging="360"/>
      </w:pPr>
    </w:lvl>
    <w:lvl w:ilvl="2" w:tplc="081A001B" w:tentative="1">
      <w:start w:val="1"/>
      <w:numFmt w:val="lowerRoman"/>
      <w:lvlText w:val="%3."/>
      <w:lvlJc w:val="right"/>
      <w:pPr>
        <w:ind w:left="2508" w:hanging="180"/>
      </w:pPr>
    </w:lvl>
    <w:lvl w:ilvl="3" w:tplc="081A000F" w:tentative="1">
      <w:start w:val="1"/>
      <w:numFmt w:val="decimal"/>
      <w:lvlText w:val="%4."/>
      <w:lvlJc w:val="left"/>
      <w:pPr>
        <w:ind w:left="3228" w:hanging="360"/>
      </w:pPr>
    </w:lvl>
    <w:lvl w:ilvl="4" w:tplc="081A0019" w:tentative="1">
      <w:start w:val="1"/>
      <w:numFmt w:val="lowerLetter"/>
      <w:lvlText w:val="%5."/>
      <w:lvlJc w:val="left"/>
      <w:pPr>
        <w:ind w:left="3948" w:hanging="360"/>
      </w:pPr>
    </w:lvl>
    <w:lvl w:ilvl="5" w:tplc="081A001B" w:tentative="1">
      <w:start w:val="1"/>
      <w:numFmt w:val="lowerRoman"/>
      <w:lvlText w:val="%6."/>
      <w:lvlJc w:val="right"/>
      <w:pPr>
        <w:ind w:left="4668" w:hanging="180"/>
      </w:pPr>
    </w:lvl>
    <w:lvl w:ilvl="6" w:tplc="081A000F" w:tentative="1">
      <w:start w:val="1"/>
      <w:numFmt w:val="decimal"/>
      <w:lvlText w:val="%7."/>
      <w:lvlJc w:val="left"/>
      <w:pPr>
        <w:ind w:left="5388" w:hanging="360"/>
      </w:pPr>
    </w:lvl>
    <w:lvl w:ilvl="7" w:tplc="081A0019" w:tentative="1">
      <w:start w:val="1"/>
      <w:numFmt w:val="lowerLetter"/>
      <w:lvlText w:val="%8."/>
      <w:lvlJc w:val="left"/>
      <w:pPr>
        <w:ind w:left="6108" w:hanging="360"/>
      </w:pPr>
    </w:lvl>
    <w:lvl w:ilvl="8" w:tplc="081A001B" w:tentative="1">
      <w:start w:val="1"/>
      <w:numFmt w:val="lowerRoman"/>
      <w:lvlText w:val="%9."/>
      <w:lvlJc w:val="right"/>
      <w:pPr>
        <w:ind w:left="6828" w:hanging="180"/>
      </w:pPr>
    </w:lvl>
  </w:abstractNum>
  <w:abstractNum w:abstractNumId="4" w15:restartNumberingAfterBreak="0">
    <w:nsid w:val="10792259"/>
    <w:multiLevelType w:val="hybridMultilevel"/>
    <w:tmpl w:val="CD76B5CE"/>
    <w:lvl w:ilvl="0" w:tplc="B550318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B205E5"/>
    <w:multiLevelType w:val="hybridMultilevel"/>
    <w:tmpl w:val="E018AB8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 w15:restartNumberingAfterBreak="0">
    <w:nsid w:val="16D6328E"/>
    <w:multiLevelType w:val="hybridMultilevel"/>
    <w:tmpl w:val="4644FF10"/>
    <w:lvl w:ilvl="0" w:tplc="2AEAD762">
      <w:start w:val="1"/>
      <w:numFmt w:val="bullet"/>
      <w:lvlText w:val="-"/>
      <w:lvlJc w:val="left"/>
      <w:pPr>
        <w:ind w:left="720" w:hanging="360"/>
      </w:pPr>
      <w:rPr>
        <w:rFonts w:ascii="Times New Roman" w:eastAsia="Times New Roman" w:hAnsi="Times New Roman" w:cs="Times New Roman" w:hint="default"/>
      </w:rPr>
    </w:lvl>
    <w:lvl w:ilvl="1" w:tplc="181A0003">
      <w:start w:val="1"/>
      <w:numFmt w:val="decimal"/>
      <w:lvlText w:val="%2."/>
      <w:lvlJc w:val="left"/>
      <w:pPr>
        <w:tabs>
          <w:tab w:val="num" w:pos="1440"/>
        </w:tabs>
        <w:ind w:left="1440" w:hanging="360"/>
      </w:pPr>
    </w:lvl>
    <w:lvl w:ilvl="2" w:tplc="181A0005">
      <w:start w:val="1"/>
      <w:numFmt w:val="decimal"/>
      <w:lvlText w:val="%3."/>
      <w:lvlJc w:val="left"/>
      <w:pPr>
        <w:tabs>
          <w:tab w:val="num" w:pos="2160"/>
        </w:tabs>
        <w:ind w:left="2160" w:hanging="360"/>
      </w:pPr>
    </w:lvl>
    <w:lvl w:ilvl="3" w:tplc="181A0001">
      <w:start w:val="1"/>
      <w:numFmt w:val="decimal"/>
      <w:lvlText w:val="%4."/>
      <w:lvlJc w:val="left"/>
      <w:pPr>
        <w:tabs>
          <w:tab w:val="num" w:pos="2880"/>
        </w:tabs>
        <w:ind w:left="2880" w:hanging="360"/>
      </w:pPr>
    </w:lvl>
    <w:lvl w:ilvl="4" w:tplc="181A0003">
      <w:start w:val="1"/>
      <w:numFmt w:val="decimal"/>
      <w:lvlText w:val="%5."/>
      <w:lvlJc w:val="left"/>
      <w:pPr>
        <w:tabs>
          <w:tab w:val="num" w:pos="3600"/>
        </w:tabs>
        <w:ind w:left="3600" w:hanging="360"/>
      </w:pPr>
    </w:lvl>
    <w:lvl w:ilvl="5" w:tplc="181A0005">
      <w:start w:val="1"/>
      <w:numFmt w:val="decimal"/>
      <w:lvlText w:val="%6."/>
      <w:lvlJc w:val="left"/>
      <w:pPr>
        <w:tabs>
          <w:tab w:val="num" w:pos="4320"/>
        </w:tabs>
        <w:ind w:left="4320" w:hanging="360"/>
      </w:pPr>
    </w:lvl>
    <w:lvl w:ilvl="6" w:tplc="181A0001">
      <w:start w:val="1"/>
      <w:numFmt w:val="decimal"/>
      <w:lvlText w:val="%7."/>
      <w:lvlJc w:val="left"/>
      <w:pPr>
        <w:tabs>
          <w:tab w:val="num" w:pos="5040"/>
        </w:tabs>
        <w:ind w:left="5040" w:hanging="360"/>
      </w:pPr>
    </w:lvl>
    <w:lvl w:ilvl="7" w:tplc="181A0003">
      <w:start w:val="1"/>
      <w:numFmt w:val="decimal"/>
      <w:lvlText w:val="%8."/>
      <w:lvlJc w:val="left"/>
      <w:pPr>
        <w:tabs>
          <w:tab w:val="num" w:pos="5760"/>
        </w:tabs>
        <w:ind w:left="5760" w:hanging="360"/>
      </w:pPr>
    </w:lvl>
    <w:lvl w:ilvl="8" w:tplc="181A0005">
      <w:start w:val="1"/>
      <w:numFmt w:val="decimal"/>
      <w:lvlText w:val="%9."/>
      <w:lvlJc w:val="left"/>
      <w:pPr>
        <w:tabs>
          <w:tab w:val="num" w:pos="6480"/>
        </w:tabs>
        <w:ind w:left="6480" w:hanging="360"/>
      </w:pPr>
    </w:lvl>
  </w:abstractNum>
  <w:abstractNum w:abstractNumId="7" w15:restartNumberingAfterBreak="0">
    <w:nsid w:val="1DBB3A6D"/>
    <w:multiLevelType w:val="hybridMultilevel"/>
    <w:tmpl w:val="350EB2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B80EF3"/>
    <w:multiLevelType w:val="hybridMultilevel"/>
    <w:tmpl w:val="C55E1A64"/>
    <w:lvl w:ilvl="0" w:tplc="550E4F1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115B50"/>
    <w:multiLevelType w:val="hybridMultilevel"/>
    <w:tmpl w:val="0D9EA2F4"/>
    <w:lvl w:ilvl="0" w:tplc="04090011">
      <w:start w:val="1"/>
      <w:numFmt w:val="decimal"/>
      <w:lvlText w:val="%1)"/>
      <w:lvlJc w:val="left"/>
      <w:pPr>
        <w:ind w:left="1068" w:hanging="360"/>
      </w:pPr>
    </w:lvl>
    <w:lvl w:ilvl="1" w:tplc="181A0019" w:tentative="1">
      <w:start w:val="1"/>
      <w:numFmt w:val="lowerLetter"/>
      <w:lvlText w:val="%2."/>
      <w:lvlJc w:val="left"/>
      <w:pPr>
        <w:ind w:left="1788" w:hanging="360"/>
      </w:pPr>
    </w:lvl>
    <w:lvl w:ilvl="2" w:tplc="181A001B" w:tentative="1">
      <w:start w:val="1"/>
      <w:numFmt w:val="lowerRoman"/>
      <w:lvlText w:val="%3."/>
      <w:lvlJc w:val="right"/>
      <w:pPr>
        <w:ind w:left="2508" w:hanging="180"/>
      </w:pPr>
    </w:lvl>
    <w:lvl w:ilvl="3" w:tplc="181A000F" w:tentative="1">
      <w:start w:val="1"/>
      <w:numFmt w:val="decimal"/>
      <w:lvlText w:val="%4."/>
      <w:lvlJc w:val="left"/>
      <w:pPr>
        <w:ind w:left="3228" w:hanging="360"/>
      </w:pPr>
    </w:lvl>
    <w:lvl w:ilvl="4" w:tplc="181A0019" w:tentative="1">
      <w:start w:val="1"/>
      <w:numFmt w:val="lowerLetter"/>
      <w:lvlText w:val="%5."/>
      <w:lvlJc w:val="left"/>
      <w:pPr>
        <w:ind w:left="3948" w:hanging="360"/>
      </w:pPr>
    </w:lvl>
    <w:lvl w:ilvl="5" w:tplc="181A001B" w:tentative="1">
      <w:start w:val="1"/>
      <w:numFmt w:val="lowerRoman"/>
      <w:lvlText w:val="%6."/>
      <w:lvlJc w:val="right"/>
      <w:pPr>
        <w:ind w:left="4668" w:hanging="180"/>
      </w:pPr>
    </w:lvl>
    <w:lvl w:ilvl="6" w:tplc="181A000F" w:tentative="1">
      <w:start w:val="1"/>
      <w:numFmt w:val="decimal"/>
      <w:lvlText w:val="%7."/>
      <w:lvlJc w:val="left"/>
      <w:pPr>
        <w:ind w:left="5388" w:hanging="360"/>
      </w:pPr>
    </w:lvl>
    <w:lvl w:ilvl="7" w:tplc="181A0019" w:tentative="1">
      <w:start w:val="1"/>
      <w:numFmt w:val="lowerLetter"/>
      <w:lvlText w:val="%8."/>
      <w:lvlJc w:val="left"/>
      <w:pPr>
        <w:ind w:left="6108" w:hanging="360"/>
      </w:pPr>
    </w:lvl>
    <w:lvl w:ilvl="8" w:tplc="181A001B" w:tentative="1">
      <w:start w:val="1"/>
      <w:numFmt w:val="lowerRoman"/>
      <w:lvlText w:val="%9."/>
      <w:lvlJc w:val="right"/>
      <w:pPr>
        <w:ind w:left="6828" w:hanging="180"/>
      </w:pPr>
    </w:lvl>
  </w:abstractNum>
  <w:abstractNum w:abstractNumId="10" w15:restartNumberingAfterBreak="0">
    <w:nsid w:val="23047BF5"/>
    <w:multiLevelType w:val="hybridMultilevel"/>
    <w:tmpl w:val="8534B3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5C946DF"/>
    <w:multiLevelType w:val="hybridMultilevel"/>
    <w:tmpl w:val="24F42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232DFD"/>
    <w:multiLevelType w:val="hybridMultilevel"/>
    <w:tmpl w:val="821830E8"/>
    <w:lvl w:ilvl="0" w:tplc="7E5888A6">
      <w:start w:val="1"/>
      <w:numFmt w:val="decimal"/>
      <w:lvlText w:val="%1)"/>
      <w:lvlJc w:val="left"/>
      <w:pPr>
        <w:ind w:left="720" w:hanging="360"/>
      </w:pPr>
      <w:rPr>
        <w:rFonts w:ascii="Times New Roman" w:hAnsi="Times New Roman" w:cs="Times New Roman"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E71544E"/>
    <w:multiLevelType w:val="hybridMultilevel"/>
    <w:tmpl w:val="6C78CEF4"/>
    <w:lvl w:ilvl="0" w:tplc="EA9052B6">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DD345E"/>
    <w:multiLevelType w:val="hybridMultilevel"/>
    <w:tmpl w:val="15E2C324"/>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 w15:restartNumberingAfterBreak="0">
    <w:nsid w:val="325C39CC"/>
    <w:multiLevelType w:val="hybridMultilevel"/>
    <w:tmpl w:val="EFE81994"/>
    <w:lvl w:ilvl="0" w:tplc="181A000F">
      <w:start w:val="1"/>
      <w:numFmt w:val="decimal"/>
      <w:lvlText w:val="%1."/>
      <w:lvlJc w:val="left"/>
      <w:pPr>
        <w:ind w:left="644" w:hanging="360"/>
      </w:pPr>
    </w:lvl>
    <w:lvl w:ilvl="1" w:tplc="181A0019">
      <w:start w:val="1"/>
      <w:numFmt w:val="decimal"/>
      <w:lvlText w:val="%2."/>
      <w:lvlJc w:val="left"/>
      <w:pPr>
        <w:tabs>
          <w:tab w:val="num" w:pos="1364"/>
        </w:tabs>
        <w:ind w:left="1364" w:hanging="360"/>
      </w:pPr>
    </w:lvl>
    <w:lvl w:ilvl="2" w:tplc="181A001B">
      <w:start w:val="1"/>
      <w:numFmt w:val="decimal"/>
      <w:lvlText w:val="%3."/>
      <w:lvlJc w:val="left"/>
      <w:pPr>
        <w:tabs>
          <w:tab w:val="num" w:pos="2084"/>
        </w:tabs>
        <w:ind w:left="2084" w:hanging="360"/>
      </w:pPr>
    </w:lvl>
    <w:lvl w:ilvl="3" w:tplc="181A000F">
      <w:start w:val="1"/>
      <w:numFmt w:val="decimal"/>
      <w:lvlText w:val="%4."/>
      <w:lvlJc w:val="left"/>
      <w:pPr>
        <w:tabs>
          <w:tab w:val="num" w:pos="2804"/>
        </w:tabs>
        <w:ind w:left="2804" w:hanging="360"/>
      </w:pPr>
    </w:lvl>
    <w:lvl w:ilvl="4" w:tplc="181A0019">
      <w:start w:val="1"/>
      <w:numFmt w:val="decimal"/>
      <w:lvlText w:val="%5."/>
      <w:lvlJc w:val="left"/>
      <w:pPr>
        <w:tabs>
          <w:tab w:val="num" w:pos="3524"/>
        </w:tabs>
        <w:ind w:left="3524" w:hanging="360"/>
      </w:pPr>
    </w:lvl>
    <w:lvl w:ilvl="5" w:tplc="181A001B">
      <w:start w:val="1"/>
      <w:numFmt w:val="decimal"/>
      <w:lvlText w:val="%6."/>
      <w:lvlJc w:val="left"/>
      <w:pPr>
        <w:tabs>
          <w:tab w:val="num" w:pos="4244"/>
        </w:tabs>
        <w:ind w:left="4244" w:hanging="360"/>
      </w:pPr>
    </w:lvl>
    <w:lvl w:ilvl="6" w:tplc="181A000F">
      <w:start w:val="1"/>
      <w:numFmt w:val="decimal"/>
      <w:lvlText w:val="%7."/>
      <w:lvlJc w:val="left"/>
      <w:pPr>
        <w:tabs>
          <w:tab w:val="num" w:pos="4964"/>
        </w:tabs>
        <w:ind w:left="4964" w:hanging="360"/>
      </w:pPr>
    </w:lvl>
    <w:lvl w:ilvl="7" w:tplc="181A0019">
      <w:start w:val="1"/>
      <w:numFmt w:val="decimal"/>
      <w:lvlText w:val="%8."/>
      <w:lvlJc w:val="left"/>
      <w:pPr>
        <w:tabs>
          <w:tab w:val="num" w:pos="5684"/>
        </w:tabs>
        <w:ind w:left="5684" w:hanging="360"/>
      </w:pPr>
    </w:lvl>
    <w:lvl w:ilvl="8" w:tplc="181A001B">
      <w:start w:val="1"/>
      <w:numFmt w:val="decimal"/>
      <w:lvlText w:val="%9."/>
      <w:lvlJc w:val="left"/>
      <w:pPr>
        <w:tabs>
          <w:tab w:val="num" w:pos="6404"/>
        </w:tabs>
        <w:ind w:left="6404" w:hanging="360"/>
      </w:pPr>
    </w:lvl>
  </w:abstractNum>
  <w:abstractNum w:abstractNumId="16" w15:restartNumberingAfterBreak="0">
    <w:nsid w:val="32D54B86"/>
    <w:multiLevelType w:val="hybridMultilevel"/>
    <w:tmpl w:val="E2A0CF46"/>
    <w:lvl w:ilvl="0" w:tplc="5ABC51AE">
      <w:start w:val="1"/>
      <w:numFmt w:val="decimal"/>
      <w:lvlText w:val="%1."/>
      <w:lvlJc w:val="left"/>
      <w:pPr>
        <w:ind w:left="1068" w:hanging="360"/>
      </w:pPr>
      <w:rPr>
        <w:rFonts w:ascii="Times New Roman" w:eastAsia="Calibri" w:hAnsi="Times New Roman" w:cs="Times New Roman" w:hint="default"/>
        <w:i w:val="0"/>
        <w:color w:val="auto"/>
      </w:rPr>
    </w:lvl>
    <w:lvl w:ilvl="1" w:tplc="181A0019">
      <w:start w:val="1"/>
      <w:numFmt w:val="decimal"/>
      <w:lvlText w:val="%2."/>
      <w:lvlJc w:val="left"/>
      <w:pPr>
        <w:tabs>
          <w:tab w:val="num" w:pos="1440"/>
        </w:tabs>
        <w:ind w:left="1440" w:hanging="360"/>
      </w:pPr>
    </w:lvl>
    <w:lvl w:ilvl="2" w:tplc="181A001B">
      <w:start w:val="1"/>
      <w:numFmt w:val="decimal"/>
      <w:lvlText w:val="%3."/>
      <w:lvlJc w:val="left"/>
      <w:pPr>
        <w:tabs>
          <w:tab w:val="num" w:pos="2160"/>
        </w:tabs>
        <w:ind w:left="2160" w:hanging="360"/>
      </w:pPr>
    </w:lvl>
    <w:lvl w:ilvl="3" w:tplc="181A000F">
      <w:start w:val="1"/>
      <w:numFmt w:val="decimal"/>
      <w:lvlText w:val="%4."/>
      <w:lvlJc w:val="left"/>
      <w:pPr>
        <w:tabs>
          <w:tab w:val="num" w:pos="2880"/>
        </w:tabs>
        <w:ind w:left="2880" w:hanging="360"/>
      </w:pPr>
    </w:lvl>
    <w:lvl w:ilvl="4" w:tplc="181A0019">
      <w:start w:val="1"/>
      <w:numFmt w:val="decimal"/>
      <w:lvlText w:val="%5."/>
      <w:lvlJc w:val="left"/>
      <w:pPr>
        <w:tabs>
          <w:tab w:val="num" w:pos="3600"/>
        </w:tabs>
        <w:ind w:left="3600" w:hanging="360"/>
      </w:pPr>
    </w:lvl>
    <w:lvl w:ilvl="5" w:tplc="181A001B">
      <w:start w:val="1"/>
      <w:numFmt w:val="decimal"/>
      <w:lvlText w:val="%6."/>
      <w:lvlJc w:val="left"/>
      <w:pPr>
        <w:tabs>
          <w:tab w:val="num" w:pos="4320"/>
        </w:tabs>
        <w:ind w:left="4320" w:hanging="360"/>
      </w:pPr>
    </w:lvl>
    <w:lvl w:ilvl="6" w:tplc="181A000F">
      <w:start w:val="1"/>
      <w:numFmt w:val="decimal"/>
      <w:lvlText w:val="%7."/>
      <w:lvlJc w:val="left"/>
      <w:pPr>
        <w:tabs>
          <w:tab w:val="num" w:pos="5040"/>
        </w:tabs>
        <w:ind w:left="5040" w:hanging="360"/>
      </w:pPr>
    </w:lvl>
    <w:lvl w:ilvl="7" w:tplc="181A0019">
      <w:start w:val="1"/>
      <w:numFmt w:val="decimal"/>
      <w:lvlText w:val="%8."/>
      <w:lvlJc w:val="left"/>
      <w:pPr>
        <w:tabs>
          <w:tab w:val="num" w:pos="5760"/>
        </w:tabs>
        <w:ind w:left="5760" w:hanging="360"/>
      </w:pPr>
    </w:lvl>
    <w:lvl w:ilvl="8" w:tplc="181A001B">
      <w:start w:val="1"/>
      <w:numFmt w:val="decimal"/>
      <w:lvlText w:val="%9."/>
      <w:lvlJc w:val="left"/>
      <w:pPr>
        <w:tabs>
          <w:tab w:val="num" w:pos="6480"/>
        </w:tabs>
        <w:ind w:left="6480" w:hanging="360"/>
      </w:pPr>
    </w:lvl>
  </w:abstractNum>
  <w:abstractNum w:abstractNumId="17" w15:restartNumberingAfterBreak="0">
    <w:nsid w:val="35CA3F0F"/>
    <w:multiLevelType w:val="hybridMultilevel"/>
    <w:tmpl w:val="BA4A3492"/>
    <w:lvl w:ilvl="0" w:tplc="84EAAC0A">
      <w:start w:val="1"/>
      <w:numFmt w:val="bullet"/>
      <w:lvlText w:val="-"/>
      <w:lvlJc w:val="left"/>
      <w:pPr>
        <w:ind w:left="1069" w:hanging="360"/>
      </w:pPr>
      <w:rPr>
        <w:rFonts w:ascii="Calibri" w:hAnsi="Calibri" w:hint="default"/>
      </w:rPr>
    </w:lvl>
    <w:lvl w:ilvl="1" w:tplc="181A0003" w:tentative="1">
      <w:start w:val="1"/>
      <w:numFmt w:val="bullet"/>
      <w:lvlText w:val="o"/>
      <w:lvlJc w:val="left"/>
      <w:pPr>
        <w:ind w:left="1789" w:hanging="360"/>
      </w:pPr>
      <w:rPr>
        <w:rFonts w:ascii="Courier New" w:hAnsi="Courier New" w:cs="Courier New" w:hint="default"/>
      </w:rPr>
    </w:lvl>
    <w:lvl w:ilvl="2" w:tplc="181A0005" w:tentative="1">
      <w:start w:val="1"/>
      <w:numFmt w:val="bullet"/>
      <w:lvlText w:val=""/>
      <w:lvlJc w:val="left"/>
      <w:pPr>
        <w:ind w:left="2509" w:hanging="360"/>
      </w:pPr>
      <w:rPr>
        <w:rFonts w:ascii="Wingdings" w:hAnsi="Wingdings" w:hint="default"/>
      </w:rPr>
    </w:lvl>
    <w:lvl w:ilvl="3" w:tplc="181A0001" w:tentative="1">
      <w:start w:val="1"/>
      <w:numFmt w:val="bullet"/>
      <w:lvlText w:val=""/>
      <w:lvlJc w:val="left"/>
      <w:pPr>
        <w:ind w:left="3229" w:hanging="360"/>
      </w:pPr>
      <w:rPr>
        <w:rFonts w:ascii="Symbol" w:hAnsi="Symbol" w:hint="default"/>
      </w:rPr>
    </w:lvl>
    <w:lvl w:ilvl="4" w:tplc="181A0003" w:tentative="1">
      <w:start w:val="1"/>
      <w:numFmt w:val="bullet"/>
      <w:lvlText w:val="o"/>
      <w:lvlJc w:val="left"/>
      <w:pPr>
        <w:ind w:left="3949" w:hanging="360"/>
      </w:pPr>
      <w:rPr>
        <w:rFonts w:ascii="Courier New" w:hAnsi="Courier New" w:cs="Courier New" w:hint="default"/>
      </w:rPr>
    </w:lvl>
    <w:lvl w:ilvl="5" w:tplc="181A0005" w:tentative="1">
      <w:start w:val="1"/>
      <w:numFmt w:val="bullet"/>
      <w:lvlText w:val=""/>
      <w:lvlJc w:val="left"/>
      <w:pPr>
        <w:ind w:left="4669" w:hanging="360"/>
      </w:pPr>
      <w:rPr>
        <w:rFonts w:ascii="Wingdings" w:hAnsi="Wingdings" w:hint="default"/>
      </w:rPr>
    </w:lvl>
    <w:lvl w:ilvl="6" w:tplc="181A0001" w:tentative="1">
      <w:start w:val="1"/>
      <w:numFmt w:val="bullet"/>
      <w:lvlText w:val=""/>
      <w:lvlJc w:val="left"/>
      <w:pPr>
        <w:ind w:left="5389" w:hanging="360"/>
      </w:pPr>
      <w:rPr>
        <w:rFonts w:ascii="Symbol" w:hAnsi="Symbol" w:hint="default"/>
      </w:rPr>
    </w:lvl>
    <w:lvl w:ilvl="7" w:tplc="181A0003" w:tentative="1">
      <w:start w:val="1"/>
      <w:numFmt w:val="bullet"/>
      <w:lvlText w:val="o"/>
      <w:lvlJc w:val="left"/>
      <w:pPr>
        <w:ind w:left="6109" w:hanging="360"/>
      </w:pPr>
      <w:rPr>
        <w:rFonts w:ascii="Courier New" w:hAnsi="Courier New" w:cs="Courier New" w:hint="default"/>
      </w:rPr>
    </w:lvl>
    <w:lvl w:ilvl="8" w:tplc="181A0005" w:tentative="1">
      <w:start w:val="1"/>
      <w:numFmt w:val="bullet"/>
      <w:lvlText w:val=""/>
      <w:lvlJc w:val="left"/>
      <w:pPr>
        <w:ind w:left="6829" w:hanging="360"/>
      </w:pPr>
      <w:rPr>
        <w:rFonts w:ascii="Wingdings" w:hAnsi="Wingdings" w:hint="default"/>
      </w:rPr>
    </w:lvl>
  </w:abstractNum>
  <w:abstractNum w:abstractNumId="18" w15:restartNumberingAfterBreak="0">
    <w:nsid w:val="3B4A56DE"/>
    <w:multiLevelType w:val="multilevel"/>
    <w:tmpl w:val="9E56D4DA"/>
    <w:lvl w:ilvl="0">
      <w:start w:val="1"/>
      <w:numFmt w:val="upperRoman"/>
      <w:pStyle w:val="Heading1"/>
      <w:lvlText w:val="%1"/>
      <w:lvlJc w:val="left"/>
      <w:pPr>
        <w:ind w:left="-265" w:hanging="432"/>
      </w:pPr>
      <w:rPr>
        <w:rFonts w:hint="default"/>
      </w:rPr>
    </w:lvl>
    <w:lvl w:ilvl="1">
      <w:start w:val="1"/>
      <w:numFmt w:val="decimal"/>
      <w:pStyle w:val="Heading2"/>
      <w:lvlText w:val="%2."/>
      <w:lvlJc w:val="left"/>
      <w:pPr>
        <w:ind w:left="-121" w:hanging="576"/>
      </w:pPr>
      <w:rPr>
        <w:rFonts w:hint="default"/>
      </w:rPr>
    </w:lvl>
    <w:lvl w:ilvl="2">
      <w:start w:val="1"/>
      <w:numFmt w:val="decimal"/>
      <w:pStyle w:val="Heading3"/>
      <w:lvlText w:val="%2.%3."/>
      <w:lvlJc w:val="left"/>
      <w:pPr>
        <w:ind w:left="23" w:hanging="720"/>
      </w:pPr>
      <w:rPr>
        <w:rFonts w:hint="default"/>
      </w:rPr>
    </w:lvl>
    <w:lvl w:ilvl="3">
      <w:start w:val="1"/>
      <w:numFmt w:val="decimal"/>
      <w:pStyle w:val="Heading4"/>
      <w:lvlText w:val="%2.%3.%4."/>
      <w:lvlJc w:val="left"/>
      <w:pPr>
        <w:ind w:left="167" w:hanging="864"/>
      </w:pPr>
      <w:rPr>
        <w:rFonts w:hint="default"/>
      </w:rPr>
    </w:lvl>
    <w:lvl w:ilvl="4">
      <w:start w:val="1"/>
      <w:numFmt w:val="decimal"/>
      <w:pStyle w:val="Heading5"/>
      <w:lvlText w:val="%1.%2.%3.%4.%5"/>
      <w:lvlJc w:val="left"/>
      <w:pPr>
        <w:ind w:left="311" w:hanging="1008"/>
      </w:pPr>
      <w:rPr>
        <w:rFonts w:hint="default"/>
      </w:rPr>
    </w:lvl>
    <w:lvl w:ilvl="5">
      <w:start w:val="1"/>
      <w:numFmt w:val="decimal"/>
      <w:pStyle w:val="Heading6"/>
      <w:lvlText w:val="%1.%2.%3.%4.%5.%6"/>
      <w:lvlJc w:val="left"/>
      <w:pPr>
        <w:ind w:left="455" w:hanging="1152"/>
      </w:pPr>
      <w:rPr>
        <w:rFonts w:hint="default"/>
      </w:rPr>
    </w:lvl>
    <w:lvl w:ilvl="6">
      <w:start w:val="1"/>
      <w:numFmt w:val="decimal"/>
      <w:pStyle w:val="Heading7"/>
      <w:lvlText w:val="%1.%2.%3.%4.%5.%6.%7"/>
      <w:lvlJc w:val="left"/>
      <w:pPr>
        <w:ind w:left="599" w:hanging="1296"/>
      </w:pPr>
      <w:rPr>
        <w:rFonts w:hint="default"/>
      </w:rPr>
    </w:lvl>
    <w:lvl w:ilvl="7">
      <w:start w:val="1"/>
      <w:numFmt w:val="decimal"/>
      <w:pStyle w:val="Heading8"/>
      <w:lvlText w:val="%1.%2.%3.%4.%5.%6.%7.%8"/>
      <w:lvlJc w:val="left"/>
      <w:pPr>
        <w:ind w:left="743" w:hanging="1440"/>
      </w:pPr>
      <w:rPr>
        <w:rFonts w:hint="default"/>
      </w:rPr>
    </w:lvl>
    <w:lvl w:ilvl="8">
      <w:start w:val="1"/>
      <w:numFmt w:val="decimal"/>
      <w:pStyle w:val="Heading9"/>
      <w:lvlText w:val="%1.%2.%3.%4.%5.%6.%7.%8.%9"/>
      <w:lvlJc w:val="left"/>
      <w:pPr>
        <w:ind w:left="887" w:hanging="1584"/>
      </w:pPr>
      <w:rPr>
        <w:rFonts w:hint="default"/>
      </w:rPr>
    </w:lvl>
  </w:abstractNum>
  <w:abstractNum w:abstractNumId="19" w15:restartNumberingAfterBreak="0">
    <w:nsid w:val="3BED372B"/>
    <w:multiLevelType w:val="hybridMultilevel"/>
    <w:tmpl w:val="34784D60"/>
    <w:lvl w:ilvl="0" w:tplc="181A0005">
      <w:start w:val="1"/>
      <w:numFmt w:val="bullet"/>
      <w:lvlText w:val=""/>
      <w:lvlJc w:val="left"/>
      <w:pPr>
        <w:ind w:left="1069" w:hanging="360"/>
      </w:pPr>
      <w:rPr>
        <w:rFonts w:ascii="Wingdings" w:hAnsi="Wingdings" w:hint="default"/>
      </w:rPr>
    </w:lvl>
    <w:lvl w:ilvl="1" w:tplc="181A0003">
      <w:start w:val="1"/>
      <w:numFmt w:val="bullet"/>
      <w:lvlText w:val="o"/>
      <w:lvlJc w:val="left"/>
      <w:pPr>
        <w:ind w:left="1789" w:hanging="360"/>
      </w:pPr>
      <w:rPr>
        <w:rFonts w:ascii="Courier New" w:hAnsi="Courier New" w:cs="Courier New" w:hint="default"/>
      </w:rPr>
    </w:lvl>
    <w:lvl w:ilvl="2" w:tplc="181A0005" w:tentative="1">
      <w:start w:val="1"/>
      <w:numFmt w:val="bullet"/>
      <w:lvlText w:val=""/>
      <w:lvlJc w:val="left"/>
      <w:pPr>
        <w:ind w:left="2509" w:hanging="360"/>
      </w:pPr>
      <w:rPr>
        <w:rFonts w:ascii="Wingdings" w:hAnsi="Wingdings" w:hint="default"/>
      </w:rPr>
    </w:lvl>
    <w:lvl w:ilvl="3" w:tplc="181A0001" w:tentative="1">
      <w:start w:val="1"/>
      <w:numFmt w:val="bullet"/>
      <w:lvlText w:val=""/>
      <w:lvlJc w:val="left"/>
      <w:pPr>
        <w:ind w:left="3229" w:hanging="360"/>
      </w:pPr>
      <w:rPr>
        <w:rFonts w:ascii="Symbol" w:hAnsi="Symbol" w:hint="default"/>
      </w:rPr>
    </w:lvl>
    <w:lvl w:ilvl="4" w:tplc="181A0003" w:tentative="1">
      <w:start w:val="1"/>
      <w:numFmt w:val="bullet"/>
      <w:lvlText w:val="o"/>
      <w:lvlJc w:val="left"/>
      <w:pPr>
        <w:ind w:left="3949" w:hanging="360"/>
      </w:pPr>
      <w:rPr>
        <w:rFonts w:ascii="Courier New" w:hAnsi="Courier New" w:cs="Courier New" w:hint="default"/>
      </w:rPr>
    </w:lvl>
    <w:lvl w:ilvl="5" w:tplc="181A0005" w:tentative="1">
      <w:start w:val="1"/>
      <w:numFmt w:val="bullet"/>
      <w:lvlText w:val=""/>
      <w:lvlJc w:val="left"/>
      <w:pPr>
        <w:ind w:left="4669" w:hanging="360"/>
      </w:pPr>
      <w:rPr>
        <w:rFonts w:ascii="Wingdings" w:hAnsi="Wingdings" w:hint="default"/>
      </w:rPr>
    </w:lvl>
    <w:lvl w:ilvl="6" w:tplc="181A0001" w:tentative="1">
      <w:start w:val="1"/>
      <w:numFmt w:val="bullet"/>
      <w:lvlText w:val=""/>
      <w:lvlJc w:val="left"/>
      <w:pPr>
        <w:ind w:left="5389" w:hanging="360"/>
      </w:pPr>
      <w:rPr>
        <w:rFonts w:ascii="Symbol" w:hAnsi="Symbol" w:hint="default"/>
      </w:rPr>
    </w:lvl>
    <w:lvl w:ilvl="7" w:tplc="181A0003" w:tentative="1">
      <w:start w:val="1"/>
      <w:numFmt w:val="bullet"/>
      <w:lvlText w:val="o"/>
      <w:lvlJc w:val="left"/>
      <w:pPr>
        <w:ind w:left="6109" w:hanging="360"/>
      </w:pPr>
      <w:rPr>
        <w:rFonts w:ascii="Courier New" w:hAnsi="Courier New" w:cs="Courier New" w:hint="default"/>
      </w:rPr>
    </w:lvl>
    <w:lvl w:ilvl="8" w:tplc="181A0005" w:tentative="1">
      <w:start w:val="1"/>
      <w:numFmt w:val="bullet"/>
      <w:lvlText w:val=""/>
      <w:lvlJc w:val="left"/>
      <w:pPr>
        <w:ind w:left="6829" w:hanging="360"/>
      </w:pPr>
      <w:rPr>
        <w:rFonts w:ascii="Wingdings" w:hAnsi="Wingdings" w:hint="default"/>
      </w:rPr>
    </w:lvl>
  </w:abstractNum>
  <w:abstractNum w:abstractNumId="20" w15:restartNumberingAfterBreak="0">
    <w:nsid w:val="3CF13045"/>
    <w:multiLevelType w:val="hybridMultilevel"/>
    <w:tmpl w:val="16E82088"/>
    <w:lvl w:ilvl="0" w:tplc="AFC4A1F0">
      <w:start w:val="1"/>
      <w:numFmt w:val="bullet"/>
      <w:lvlText w:val="-"/>
      <w:lvlJc w:val="left"/>
      <w:pPr>
        <w:ind w:left="720" w:hanging="360"/>
      </w:pPr>
      <w:rPr>
        <w:rFonts w:ascii="Times New Roman" w:eastAsia="Times New Roman" w:hAnsi="Times New Roman" w:cs="Times New Roman" w:hint="default"/>
      </w:rPr>
    </w:lvl>
    <w:lvl w:ilvl="1" w:tplc="181A0003">
      <w:start w:val="1"/>
      <w:numFmt w:val="decimal"/>
      <w:lvlText w:val="%2."/>
      <w:lvlJc w:val="left"/>
      <w:pPr>
        <w:tabs>
          <w:tab w:val="num" w:pos="1440"/>
        </w:tabs>
        <w:ind w:left="1440" w:hanging="360"/>
      </w:pPr>
    </w:lvl>
    <w:lvl w:ilvl="2" w:tplc="181A0005">
      <w:start w:val="1"/>
      <w:numFmt w:val="decimal"/>
      <w:lvlText w:val="%3."/>
      <w:lvlJc w:val="left"/>
      <w:pPr>
        <w:tabs>
          <w:tab w:val="num" w:pos="2160"/>
        </w:tabs>
        <w:ind w:left="2160" w:hanging="360"/>
      </w:pPr>
    </w:lvl>
    <w:lvl w:ilvl="3" w:tplc="181A0001">
      <w:start w:val="1"/>
      <w:numFmt w:val="decimal"/>
      <w:lvlText w:val="%4."/>
      <w:lvlJc w:val="left"/>
      <w:pPr>
        <w:tabs>
          <w:tab w:val="num" w:pos="2880"/>
        </w:tabs>
        <w:ind w:left="2880" w:hanging="360"/>
      </w:pPr>
    </w:lvl>
    <w:lvl w:ilvl="4" w:tplc="181A0003">
      <w:start w:val="1"/>
      <w:numFmt w:val="decimal"/>
      <w:lvlText w:val="%5."/>
      <w:lvlJc w:val="left"/>
      <w:pPr>
        <w:tabs>
          <w:tab w:val="num" w:pos="3600"/>
        </w:tabs>
        <w:ind w:left="3600" w:hanging="360"/>
      </w:pPr>
    </w:lvl>
    <w:lvl w:ilvl="5" w:tplc="181A0005">
      <w:start w:val="1"/>
      <w:numFmt w:val="decimal"/>
      <w:lvlText w:val="%6."/>
      <w:lvlJc w:val="left"/>
      <w:pPr>
        <w:tabs>
          <w:tab w:val="num" w:pos="4320"/>
        </w:tabs>
        <w:ind w:left="4320" w:hanging="360"/>
      </w:pPr>
    </w:lvl>
    <w:lvl w:ilvl="6" w:tplc="181A0001">
      <w:start w:val="1"/>
      <w:numFmt w:val="decimal"/>
      <w:lvlText w:val="%7."/>
      <w:lvlJc w:val="left"/>
      <w:pPr>
        <w:tabs>
          <w:tab w:val="num" w:pos="5040"/>
        </w:tabs>
        <w:ind w:left="5040" w:hanging="360"/>
      </w:pPr>
    </w:lvl>
    <w:lvl w:ilvl="7" w:tplc="181A0003">
      <w:start w:val="1"/>
      <w:numFmt w:val="decimal"/>
      <w:lvlText w:val="%8."/>
      <w:lvlJc w:val="left"/>
      <w:pPr>
        <w:tabs>
          <w:tab w:val="num" w:pos="5760"/>
        </w:tabs>
        <w:ind w:left="5760" w:hanging="360"/>
      </w:pPr>
    </w:lvl>
    <w:lvl w:ilvl="8" w:tplc="181A0005">
      <w:start w:val="1"/>
      <w:numFmt w:val="decimal"/>
      <w:lvlText w:val="%9."/>
      <w:lvlJc w:val="left"/>
      <w:pPr>
        <w:tabs>
          <w:tab w:val="num" w:pos="6480"/>
        </w:tabs>
        <w:ind w:left="6480" w:hanging="360"/>
      </w:pPr>
    </w:lvl>
  </w:abstractNum>
  <w:abstractNum w:abstractNumId="21" w15:restartNumberingAfterBreak="0">
    <w:nsid w:val="3D390510"/>
    <w:multiLevelType w:val="hybridMultilevel"/>
    <w:tmpl w:val="E018AB8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2" w15:restartNumberingAfterBreak="0">
    <w:nsid w:val="43DC0B9D"/>
    <w:multiLevelType w:val="hybridMultilevel"/>
    <w:tmpl w:val="AD9CE160"/>
    <w:lvl w:ilvl="0" w:tplc="BD82D69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638246F"/>
    <w:multiLevelType w:val="hybridMultilevel"/>
    <w:tmpl w:val="E018AB8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4" w15:restartNumberingAfterBreak="0">
    <w:nsid w:val="46C52AFD"/>
    <w:multiLevelType w:val="hybridMultilevel"/>
    <w:tmpl w:val="E9ECC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39667C"/>
    <w:multiLevelType w:val="hybridMultilevel"/>
    <w:tmpl w:val="45D0B9DE"/>
    <w:lvl w:ilvl="0" w:tplc="05CEFF4C">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E764DC"/>
    <w:multiLevelType w:val="hybridMultilevel"/>
    <w:tmpl w:val="E018AB8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7" w15:restartNumberingAfterBreak="0">
    <w:nsid w:val="4F0F4701"/>
    <w:multiLevelType w:val="hybridMultilevel"/>
    <w:tmpl w:val="642A12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F900415"/>
    <w:multiLevelType w:val="hybridMultilevel"/>
    <w:tmpl w:val="520CE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AA67AB"/>
    <w:multiLevelType w:val="hybridMultilevel"/>
    <w:tmpl w:val="D4403282"/>
    <w:lvl w:ilvl="0" w:tplc="84EAAC0A">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0975C8E"/>
    <w:multiLevelType w:val="hybridMultilevel"/>
    <w:tmpl w:val="C05C1C70"/>
    <w:lvl w:ilvl="0" w:tplc="195C33A6">
      <w:start w:val="15"/>
      <w:numFmt w:val="bullet"/>
      <w:lvlText w:val="-"/>
      <w:lvlJc w:val="left"/>
      <w:pPr>
        <w:ind w:left="303" w:hanging="360"/>
      </w:pPr>
      <w:rPr>
        <w:rFonts w:ascii="Calibri" w:eastAsiaTheme="minorHAnsi" w:hAnsi="Calibri" w:cs="Calibri" w:hint="default"/>
      </w:rPr>
    </w:lvl>
    <w:lvl w:ilvl="1" w:tplc="08090003" w:tentative="1">
      <w:start w:val="1"/>
      <w:numFmt w:val="bullet"/>
      <w:lvlText w:val="o"/>
      <w:lvlJc w:val="left"/>
      <w:pPr>
        <w:ind w:left="1023" w:hanging="360"/>
      </w:pPr>
      <w:rPr>
        <w:rFonts w:ascii="Courier New" w:hAnsi="Courier New" w:cs="Courier New" w:hint="default"/>
      </w:rPr>
    </w:lvl>
    <w:lvl w:ilvl="2" w:tplc="08090005" w:tentative="1">
      <w:start w:val="1"/>
      <w:numFmt w:val="bullet"/>
      <w:lvlText w:val=""/>
      <w:lvlJc w:val="left"/>
      <w:pPr>
        <w:ind w:left="1743" w:hanging="360"/>
      </w:pPr>
      <w:rPr>
        <w:rFonts w:ascii="Wingdings" w:hAnsi="Wingdings" w:hint="default"/>
      </w:rPr>
    </w:lvl>
    <w:lvl w:ilvl="3" w:tplc="08090001" w:tentative="1">
      <w:start w:val="1"/>
      <w:numFmt w:val="bullet"/>
      <w:lvlText w:val=""/>
      <w:lvlJc w:val="left"/>
      <w:pPr>
        <w:ind w:left="2463" w:hanging="360"/>
      </w:pPr>
      <w:rPr>
        <w:rFonts w:ascii="Symbol" w:hAnsi="Symbol" w:hint="default"/>
      </w:rPr>
    </w:lvl>
    <w:lvl w:ilvl="4" w:tplc="08090003" w:tentative="1">
      <w:start w:val="1"/>
      <w:numFmt w:val="bullet"/>
      <w:lvlText w:val="o"/>
      <w:lvlJc w:val="left"/>
      <w:pPr>
        <w:ind w:left="3183" w:hanging="360"/>
      </w:pPr>
      <w:rPr>
        <w:rFonts w:ascii="Courier New" w:hAnsi="Courier New" w:cs="Courier New" w:hint="default"/>
      </w:rPr>
    </w:lvl>
    <w:lvl w:ilvl="5" w:tplc="08090005" w:tentative="1">
      <w:start w:val="1"/>
      <w:numFmt w:val="bullet"/>
      <w:lvlText w:val=""/>
      <w:lvlJc w:val="left"/>
      <w:pPr>
        <w:ind w:left="3903" w:hanging="360"/>
      </w:pPr>
      <w:rPr>
        <w:rFonts w:ascii="Wingdings" w:hAnsi="Wingdings" w:hint="default"/>
      </w:rPr>
    </w:lvl>
    <w:lvl w:ilvl="6" w:tplc="08090001" w:tentative="1">
      <w:start w:val="1"/>
      <w:numFmt w:val="bullet"/>
      <w:lvlText w:val=""/>
      <w:lvlJc w:val="left"/>
      <w:pPr>
        <w:ind w:left="4623" w:hanging="360"/>
      </w:pPr>
      <w:rPr>
        <w:rFonts w:ascii="Symbol" w:hAnsi="Symbol" w:hint="default"/>
      </w:rPr>
    </w:lvl>
    <w:lvl w:ilvl="7" w:tplc="08090003" w:tentative="1">
      <w:start w:val="1"/>
      <w:numFmt w:val="bullet"/>
      <w:lvlText w:val="o"/>
      <w:lvlJc w:val="left"/>
      <w:pPr>
        <w:ind w:left="5343" w:hanging="360"/>
      </w:pPr>
      <w:rPr>
        <w:rFonts w:ascii="Courier New" w:hAnsi="Courier New" w:cs="Courier New" w:hint="default"/>
      </w:rPr>
    </w:lvl>
    <w:lvl w:ilvl="8" w:tplc="08090005" w:tentative="1">
      <w:start w:val="1"/>
      <w:numFmt w:val="bullet"/>
      <w:lvlText w:val=""/>
      <w:lvlJc w:val="left"/>
      <w:pPr>
        <w:ind w:left="6063" w:hanging="360"/>
      </w:pPr>
      <w:rPr>
        <w:rFonts w:ascii="Wingdings" w:hAnsi="Wingdings" w:hint="default"/>
      </w:rPr>
    </w:lvl>
  </w:abstractNum>
  <w:abstractNum w:abstractNumId="31" w15:restartNumberingAfterBreak="0">
    <w:nsid w:val="63B00FF4"/>
    <w:multiLevelType w:val="hybridMultilevel"/>
    <w:tmpl w:val="8DA20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A40FB9"/>
    <w:multiLevelType w:val="hybridMultilevel"/>
    <w:tmpl w:val="CFAEE162"/>
    <w:lvl w:ilvl="0" w:tplc="195C33A6">
      <w:start w:val="15"/>
      <w:numFmt w:val="bullet"/>
      <w:lvlText w:val="-"/>
      <w:lvlJc w:val="left"/>
      <w:pPr>
        <w:ind w:left="1287" w:hanging="360"/>
      </w:pPr>
      <w:rPr>
        <w:rFonts w:ascii="Calibri" w:eastAsiaTheme="minorHAnsi" w:hAnsi="Calibri" w:cs="Calibri" w:hint="default"/>
      </w:rPr>
    </w:lvl>
    <w:lvl w:ilvl="1" w:tplc="141A0003" w:tentative="1">
      <w:start w:val="1"/>
      <w:numFmt w:val="bullet"/>
      <w:lvlText w:val="o"/>
      <w:lvlJc w:val="left"/>
      <w:pPr>
        <w:ind w:left="2007" w:hanging="360"/>
      </w:pPr>
      <w:rPr>
        <w:rFonts w:ascii="Courier New" w:hAnsi="Courier New" w:cs="Courier New" w:hint="default"/>
      </w:rPr>
    </w:lvl>
    <w:lvl w:ilvl="2" w:tplc="141A0005" w:tentative="1">
      <w:start w:val="1"/>
      <w:numFmt w:val="bullet"/>
      <w:lvlText w:val=""/>
      <w:lvlJc w:val="left"/>
      <w:pPr>
        <w:ind w:left="2727" w:hanging="360"/>
      </w:pPr>
      <w:rPr>
        <w:rFonts w:ascii="Wingdings" w:hAnsi="Wingdings" w:hint="default"/>
      </w:rPr>
    </w:lvl>
    <w:lvl w:ilvl="3" w:tplc="141A0001" w:tentative="1">
      <w:start w:val="1"/>
      <w:numFmt w:val="bullet"/>
      <w:lvlText w:val=""/>
      <w:lvlJc w:val="left"/>
      <w:pPr>
        <w:ind w:left="3447" w:hanging="360"/>
      </w:pPr>
      <w:rPr>
        <w:rFonts w:ascii="Symbol" w:hAnsi="Symbol" w:hint="default"/>
      </w:rPr>
    </w:lvl>
    <w:lvl w:ilvl="4" w:tplc="141A0003" w:tentative="1">
      <w:start w:val="1"/>
      <w:numFmt w:val="bullet"/>
      <w:lvlText w:val="o"/>
      <w:lvlJc w:val="left"/>
      <w:pPr>
        <w:ind w:left="4167" w:hanging="360"/>
      </w:pPr>
      <w:rPr>
        <w:rFonts w:ascii="Courier New" w:hAnsi="Courier New" w:cs="Courier New" w:hint="default"/>
      </w:rPr>
    </w:lvl>
    <w:lvl w:ilvl="5" w:tplc="141A0005" w:tentative="1">
      <w:start w:val="1"/>
      <w:numFmt w:val="bullet"/>
      <w:lvlText w:val=""/>
      <w:lvlJc w:val="left"/>
      <w:pPr>
        <w:ind w:left="4887" w:hanging="360"/>
      </w:pPr>
      <w:rPr>
        <w:rFonts w:ascii="Wingdings" w:hAnsi="Wingdings" w:hint="default"/>
      </w:rPr>
    </w:lvl>
    <w:lvl w:ilvl="6" w:tplc="141A0001" w:tentative="1">
      <w:start w:val="1"/>
      <w:numFmt w:val="bullet"/>
      <w:lvlText w:val=""/>
      <w:lvlJc w:val="left"/>
      <w:pPr>
        <w:ind w:left="5607" w:hanging="360"/>
      </w:pPr>
      <w:rPr>
        <w:rFonts w:ascii="Symbol" w:hAnsi="Symbol" w:hint="default"/>
      </w:rPr>
    </w:lvl>
    <w:lvl w:ilvl="7" w:tplc="141A0003" w:tentative="1">
      <w:start w:val="1"/>
      <w:numFmt w:val="bullet"/>
      <w:lvlText w:val="o"/>
      <w:lvlJc w:val="left"/>
      <w:pPr>
        <w:ind w:left="6327" w:hanging="360"/>
      </w:pPr>
      <w:rPr>
        <w:rFonts w:ascii="Courier New" w:hAnsi="Courier New" w:cs="Courier New" w:hint="default"/>
      </w:rPr>
    </w:lvl>
    <w:lvl w:ilvl="8" w:tplc="141A0005" w:tentative="1">
      <w:start w:val="1"/>
      <w:numFmt w:val="bullet"/>
      <w:lvlText w:val=""/>
      <w:lvlJc w:val="left"/>
      <w:pPr>
        <w:ind w:left="7047" w:hanging="360"/>
      </w:pPr>
      <w:rPr>
        <w:rFonts w:ascii="Wingdings" w:hAnsi="Wingdings" w:hint="default"/>
      </w:rPr>
    </w:lvl>
  </w:abstractNum>
  <w:abstractNum w:abstractNumId="33" w15:restartNumberingAfterBreak="0">
    <w:nsid w:val="6618047D"/>
    <w:multiLevelType w:val="hybridMultilevel"/>
    <w:tmpl w:val="9E3E53C2"/>
    <w:lvl w:ilvl="0" w:tplc="6D9A2D98">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2A70DD"/>
    <w:multiLevelType w:val="hybridMultilevel"/>
    <w:tmpl w:val="DB8C3332"/>
    <w:lvl w:ilvl="0" w:tplc="0972B6B6">
      <w:numFmt w:val="bullet"/>
      <w:lvlText w:val=""/>
      <w:lvlJc w:val="left"/>
      <w:pPr>
        <w:ind w:left="720" w:hanging="360"/>
      </w:pPr>
      <w:rPr>
        <w:rFonts w:ascii="Symbol" w:eastAsia="Times New Roman" w:hAnsi="Symbol" w:cs="Times New Roman" w:hint="default"/>
      </w:rPr>
    </w:lvl>
    <w:lvl w:ilvl="1" w:tplc="181A0003">
      <w:start w:val="1"/>
      <w:numFmt w:val="decimal"/>
      <w:lvlText w:val="%2."/>
      <w:lvlJc w:val="left"/>
      <w:pPr>
        <w:tabs>
          <w:tab w:val="num" w:pos="1440"/>
        </w:tabs>
        <w:ind w:left="1440" w:hanging="360"/>
      </w:pPr>
    </w:lvl>
    <w:lvl w:ilvl="2" w:tplc="181A0005">
      <w:start w:val="1"/>
      <w:numFmt w:val="decimal"/>
      <w:lvlText w:val="%3."/>
      <w:lvlJc w:val="left"/>
      <w:pPr>
        <w:tabs>
          <w:tab w:val="num" w:pos="2160"/>
        </w:tabs>
        <w:ind w:left="2160" w:hanging="360"/>
      </w:pPr>
    </w:lvl>
    <w:lvl w:ilvl="3" w:tplc="181A0001">
      <w:start w:val="1"/>
      <w:numFmt w:val="decimal"/>
      <w:lvlText w:val="%4."/>
      <w:lvlJc w:val="left"/>
      <w:pPr>
        <w:tabs>
          <w:tab w:val="num" w:pos="2880"/>
        </w:tabs>
        <w:ind w:left="2880" w:hanging="360"/>
      </w:pPr>
    </w:lvl>
    <w:lvl w:ilvl="4" w:tplc="181A0003">
      <w:start w:val="1"/>
      <w:numFmt w:val="decimal"/>
      <w:lvlText w:val="%5."/>
      <w:lvlJc w:val="left"/>
      <w:pPr>
        <w:tabs>
          <w:tab w:val="num" w:pos="3600"/>
        </w:tabs>
        <w:ind w:left="3600" w:hanging="360"/>
      </w:pPr>
    </w:lvl>
    <w:lvl w:ilvl="5" w:tplc="181A0005">
      <w:start w:val="1"/>
      <w:numFmt w:val="decimal"/>
      <w:lvlText w:val="%6."/>
      <w:lvlJc w:val="left"/>
      <w:pPr>
        <w:tabs>
          <w:tab w:val="num" w:pos="4320"/>
        </w:tabs>
        <w:ind w:left="4320" w:hanging="360"/>
      </w:pPr>
    </w:lvl>
    <w:lvl w:ilvl="6" w:tplc="181A0001">
      <w:start w:val="1"/>
      <w:numFmt w:val="decimal"/>
      <w:lvlText w:val="%7."/>
      <w:lvlJc w:val="left"/>
      <w:pPr>
        <w:tabs>
          <w:tab w:val="num" w:pos="5040"/>
        </w:tabs>
        <w:ind w:left="5040" w:hanging="360"/>
      </w:pPr>
    </w:lvl>
    <w:lvl w:ilvl="7" w:tplc="181A0003">
      <w:start w:val="1"/>
      <w:numFmt w:val="decimal"/>
      <w:lvlText w:val="%8."/>
      <w:lvlJc w:val="left"/>
      <w:pPr>
        <w:tabs>
          <w:tab w:val="num" w:pos="5760"/>
        </w:tabs>
        <w:ind w:left="5760" w:hanging="360"/>
      </w:pPr>
    </w:lvl>
    <w:lvl w:ilvl="8" w:tplc="181A0005">
      <w:start w:val="1"/>
      <w:numFmt w:val="decimal"/>
      <w:lvlText w:val="%9."/>
      <w:lvlJc w:val="left"/>
      <w:pPr>
        <w:tabs>
          <w:tab w:val="num" w:pos="6480"/>
        </w:tabs>
        <w:ind w:left="6480" w:hanging="360"/>
      </w:pPr>
    </w:lvl>
  </w:abstractNum>
  <w:abstractNum w:abstractNumId="35" w15:restartNumberingAfterBreak="0">
    <w:nsid w:val="694248FC"/>
    <w:multiLevelType w:val="hybridMultilevel"/>
    <w:tmpl w:val="4286599C"/>
    <w:lvl w:ilvl="0" w:tplc="EA0A2874">
      <w:start w:val="1"/>
      <w:numFmt w:val="bullet"/>
      <w:lvlText w:val="-"/>
      <w:lvlJc w:val="left"/>
      <w:pPr>
        <w:ind w:left="1080" w:hanging="360"/>
      </w:pPr>
      <w:rPr>
        <w:rFonts w:ascii="Agency FB" w:hAnsi="Agency FB"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36" w15:restartNumberingAfterBreak="0">
    <w:nsid w:val="6A9766B7"/>
    <w:multiLevelType w:val="hybridMultilevel"/>
    <w:tmpl w:val="8258D3F2"/>
    <w:lvl w:ilvl="0" w:tplc="0409000B">
      <w:start w:val="1"/>
      <w:numFmt w:val="bullet"/>
      <w:lvlText w:val=""/>
      <w:lvlJc w:val="left"/>
      <w:pPr>
        <w:ind w:left="785" w:hanging="360"/>
      </w:pPr>
      <w:rPr>
        <w:rFonts w:ascii="Wingdings" w:hAnsi="Wingdings" w:hint="default"/>
      </w:rPr>
    </w:lvl>
    <w:lvl w:ilvl="1" w:tplc="04090003">
      <w:start w:val="1"/>
      <w:numFmt w:val="bullet"/>
      <w:lvlText w:val="o"/>
      <w:lvlJc w:val="left"/>
      <w:pPr>
        <w:ind w:left="1505" w:hanging="360"/>
      </w:pPr>
      <w:rPr>
        <w:rFonts w:ascii="Courier New" w:hAnsi="Courier New" w:cs="Courier New" w:hint="default"/>
      </w:rPr>
    </w:lvl>
    <w:lvl w:ilvl="2" w:tplc="04090005">
      <w:start w:val="1"/>
      <w:numFmt w:val="bullet"/>
      <w:lvlText w:val=""/>
      <w:lvlJc w:val="left"/>
      <w:pPr>
        <w:ind w:left="2225" w:hanging="360"/>
      </w:pPr>
      <w:rPr>
        <w:rFonts w:ascii="Wingdings" w:hAnsi="Wingdings" w:hint="default"/>
      </w:rPr>
    </w:lvl>
    <w:lvl w:ilvl="3" w:tplc="04090001">
      <w:start w:val="1"/>
      <w:numFmt w:val="bullet"/>
      <w:lvlText w:val=""/>
      <w:lvlJc w:val="left"/>
      <w:pPr>
        <w:ind w:left="2945" w:hanging="360"/>
      </w:pPr>
      <w:rPr>
        <w:rFonts w:ascii="Symbol" w:hAnsi="Symbol" w:hint="default"/>
      </w:rPr>
    </w:lvl>
    <w:lvl w:ilvl="4" w:tplc="04090003">
      <w:start w:val="1"/>
      <w:numFmt w:val="bullet"/>
      <w:lvlText w:val="o"/>
      <w:lvlJc w:val="left"/>
      <w:pPr>
        <w:ind w:left="3665" w:hanging="360"/>
      </w:pPr>
      <w:rPr>
        <w:rFonts w:ascii="Courier New" w:hAnsi="Courier New" w:cs="Courier New" w:hint="default"/>
      </w:rPr>
    </w:lvl>
    <w:lvl w:ilvl="5" w:tplc="04090005">
      <w:start w:val="1"/>
      <w:numFmt w:val="bullet"/>
      <w:lvlText w:val=""/>
      <w:lvlJc w:val="left"/>
      <w:pPr>
        <w:ind w:left="4385" w:hanging="360"/>
      </w:pPr>
      <w:rPr>
        <w:rFonts w:ascii="Wingdings" w:hAnsi="Wingdings" w:hint="default"/>
      </w:rPr>
    </w:lvl>
    <w:lvl w:ilvl="6" w:tplc="04090001">
      <w:start w:val="1"/>
      <w:numFmt w:val="bullet"/>
      <w:lvlText w:val=""/>
      <w:lvlJc w:val="left"/>
      <w:pPr>
        <w:ind w:left="5105" w:hanging="360"/>
      </w:pPr>
      <w:rPr>
        <w:rFonts w:ascii="Symbol" w:hAnsi="Symbol" w:hint="default"/>
      </w:rPr>
    </w:lvl>
    <w:lvl w:ilvl="7" w:tplc="04090003">
      <w:start w:val="1"/>
      <w:numFmt w:val="bullet"/>
      <w:lvlText w:val="o"/>
      <w:lvlJc w:val="left"/>
      <w:pPr>
        <w:ind w:left="5825" w:hanging="360"/>
      </w:pPr>
      <w:rPr>
        <w:rFonts w:ascii="Courier New" w:hAnsi="Courier New" w:cs="Courier New" w:hint="default"/>
      </w:rPr>
    </w:lvl>
    <w:lvl w:ilvl="8" w:tplc="04090005">
      <w:start w:val="1"/>
      <w:numFmt w:val="bullet"/>
      <w:lvlText w:val=""/>
      <w:lvlJc w:val="left"/>
      <w:pPr>
        <w:ind w:left="6545" w:hanging="360"/>
      </w:pPr>
      <w:rPr>
        <w:rFonts w:ascii="Wingdings" w:hAnsi="Wingdings" w:hint="default"/>
      </w:rPr>
    </w:lvl>
  </w:abstractNum>
  <w:abstractNum w:abstractNumId="37" w15:restartNumberingAfterBreak="0">
    <w:nsid w:val="6C7E682E"/>
    <w:multiLevelType w:val="hybridMultilevel"/>
    <w:tmpl w:val="59F21B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D165B8"/>
    <w:multiLevelType w:val="hybridMultilevel"/>
    <w:tmpl w:val="4B6E337E"/>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9" w15:restartNumberingAfterBreak="0">
    <w:nsid w:val="771113A4"/>
    <w:multiLevelType w:val="hybridMultilevel"/>
    <w:tmpl w:val="6E5C3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BAD008D"/>
    <w:multiLevelType w:val="hybridMultilevel"/>
    <w:tmpl w:val="C14280CE"/>
    <w:lvl w:ilvl="0" w:tplc="84EAAC0A">
      <w:start w:val="1"/>
      <w:numFmt w:val="bullet"/>
      <w:lvlText w:val="-"/>
      <w:lvlJc w:val="left"/>
      <w:pPr>
        <w:ind w:left="1069" w:hanging="360"/>
      </w:pPr>
      <w:rPr>
        <w:rFonts w:ascii="Calibri" w:hAnsi="Calibri" w:hint="default"/>
      </w:rPr>
    </w:lvl>
    <w:lvl w:ilvl="1" w:tplc="181A0003" w:tentative="1">
      <w:start w:val="1"/>
      <w:numFmt w:val="bullet"/>
      <w:lvlText w:val="o"/>
      <w:lvlJc w:val="left"/>
      <w:pPr>
        <w:ind w:left="1789" w:hanging="360"/>
      </w:pPr>
      <w:rPr>
        <w:rFonts w:ascii="Courier New" w:hAnsi="Courier New" w:cs="Courier New" w:hint="default"/>
      </w:rPr>
    </w:lvl>
    <w:lvl w:ilvl="2" w:tplc="181A0005" w:tentative="1">
      <w:start w:val="1"/>
      <w:numFmt w:val="bullet"/>
      <w:lvlText w:val=""/>
      <w:lvlJc w:val="left"/>
      <w:pPr>
        <w:ind w:left="2509" w:hanging="360"/>
      </w:pPr>
      <w:rPr>
        <w:rFonts w:ascii="Wingdings" w:hAnsi="Wingdings" w:hint="default"/>
      </w:rPr>
    </w:lvl>
    <w:lvl w:ilvl="3" w:tplc="181A0001" w:tentative="1">
      <w:start w:val="1"/>
      <w:numFmt w:val="bullet"/>
      <w:lvlText w:val=""/>
      <w:lvlJc w:val="left"/>
      <w:pPr>
        <w:ind w:left="3229" w:hanging="360"/>
      </w:pPr>
      <w:rPr>
        <w:rFonts w:ascii="Symbol" w:hAnsi="Symbol" w:hint="default"/>
      </w:rPr>
    </w:lvl>
    <w:lvl w:ilvl="4" w:tplc="181A0003" w:tentative="1">
      <w:start w:val="1"/>
      <w:numFmt w:val="bullet"/>
      <w:lvlText w:val="o"/>
      <w:lvlJc w:val="left"/>
      <w:pPr>
        <w:ind w:left="3949" w:hanging="360"/>
      </w:pPr>
      <w:rPr>
        <w:rFonts w:ascii="Courier New" w:hAnsi="Courier New" w:cs="Courier New" w:hint="default"/>
      </w:rPr>
    </w:lvl>
    <w:lvl w:ilvl="5" w:tplc="181A0005" w:tentative="1">
      <w:start w:val="1"/>
      <w:numFmt w:val="bullet"/>
      <w:lvlText w:val=""/>
      <w:lvlJc w:val="left"/>
      <w:pPr>
        <w:ind w:left="4669" w:hanging="360"/>
      </w:pPr>
      <w:rPr>
        <w:rFonts w:ascii="Wingdings" w:hAnsi="Wingdings" w:hint="default"/>
      </w:rPr>
    </w:lvl>
    <w:lvl w:ilvl="6" w:tplc="181A0001" w:tentative="1">
      <w:start w:val="1"/>
      <w:numFmt w:val="bullet"/>
      <w:lvlText w:val=""/>
      <w:lvlJc w:val="left"/>
      <w:pPr>
        <w:ind w:left="5389" w:hanging="360"/>
      </w:pPr>
      <w:rPr>
        <w:rFonts w:ascii="Symbol" w:hAnsi="Symbol" w:hint="default"/>
      </w:rPr>
    </w:lvl>
    <w:lvl w:ilvl="7" w:tplc="181A0003" w:tentative="1">
      <w:start w:val="1"/>
      <w:numFmt w:val="bullet"/>
      <w:lvlText w:val="o"/>
      <w:lvlJc w:val="left"/>
      <w:pPr>
        <w:ind w:left="6109" w:hanging="360"/>
      </w:pPr>
      <w:rPr>
        <w:rFonts w:ascii="Courier New" w:hAnsi="Courier New" w:cs="Courier New" w:hint="default"/>
      </w:rPr>
    </w:lvl>
    <w:lvl w:ilvl="8" w:tplc="181A0005" w:tentative="1">
      <w:start w:val="1"/>
      <w:numFmt w:val="bullet"/>
      <w:lvlText w:val=""/>
      <w:lvlJc w:val="left"/>
      <w:pPr>
        <w:ind w:left="6829" w:hanging="360"/>
      </w:pPr>
      <w:rPr>
        <w:rFonts w:ascii="Wingdings" w:hAnsi="Wingdings" w:hint="default"/>
      </w:rPr>
    </w:lvl>
  </w:abstractNum>
  <w:num w:numId="1" w16cid:durableId="1263492375">
    <w:abstractNumId w:val="3"/>
  </w:num>
  <w:num w:numId="2" w16cid:durableId="1508523095">
    <w:abstractNumId w:val="40"/>
  </w:num>
  <w:num w:numId="3" w16cid:durableId="1050769165">
    <w:abstractNumId w:val="35"/>
  </w:num>
  <w:num w:numId="4" w16cid:durableId="1154370376">
    <w:abstractNumId w:val="18"/>
  </w:num>
  <w:num w:numId="5" w16cid:durableId="1451513857">
    <w:abstractNumId w:val="29"/>
  </w:num>
  <w:num w:numId="6" w16cid:durableId="1390226190">
    <w:abstractNumId w:val="9"/>
  </w:num>
  <w:num w:numId="7" w16cid:durableId="2014723421">
    <w:abstractNumId w:val="12"/>
  </w:num>
  <w:num w:numId="8" w16cid:durableId="1291286396">
    <w:abstractNumId w:val="5"/>
  </w:num>
  <w:num w:numId="9" w16cid:durableId="16325874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78709501">
    <w:abstractNumId w:val="37"/>
  </w:num>
  <w:num w:numId="11" w16cid:durableId="1813983195">
    <w:abstractNumId w:val="7"/>
  </w:num>
  <w:num w:numId="12" w16cid:durableId="17337755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76172270">
    <w:abstractNumId w:val="18"/>
  </w:num>
  <w:num w:numId="14" w16cid:durableId="1043990775">
    <w:abstractNumId w:val="18"/>
  </w:num>
  <w:num w:numId="15" w16cid:durableId="379401681">
    <w:abstractNumId w:val="18"/>
  </w:num>
  <w:num w:numId="16" w16cid:durableId="1801876849">
    <w:abstractNumId w:val="25"/>
  </w:num>
  <w:num w:numId="17" w16cid:durableId="1543246058">
    <w:abstractNumId w:val="38"/>
  </w:num>
  <w:num w:numId="18" w16cid:durableId="2011904384">
    <w:abstractNumId w:val="24"/>
  </w:num>
  <w:num w:numId="19" w16cid:durableId="1486164284">
    <w:abstractNumId w:val="14"/>
  </w:num>
  <w:num w:numId="20" w16cid:durableId="106221910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97979394">
    <w:abstractNumId w:val="10"/>
  </w:num>
  <w:num w:numId="22" w16cid:durableId="133137074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09042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1706794">
    <w:abstractNumId w:val="39"/>
  </w:num>
  <w:num w:numId="25" w16cid:durableId="282855590">
    <w:abstractNumId w:val="11"/>
  </w:num>
  <w:num w:numId="26" w16cid:durableId="1555971099">
    <w:abstractNumId w:val="8"/>
  </w:num>
  <w:num w:numId="27" w16cid:durableId="1683973601">
    <w:abstractNumId w:val="1"/>
  </w:num>
  <w:num w:numId="28" w16cid:durableId="1191525627">
    <w:abstractNumId w:val="18"/>
  </w:num>
  <w:num w:numId="29" w16cid:durableId="317659805">
    <w:abstractNumId w:val="26"/>
  </w:num>
  <w:num w:numId="30" w16cid:durableId="1771390384">
    <w:abstractNumId w:val="18"/>
  </w:num>
  <w:num w:numId="31" w16cid:durableId="465439377">
    <w:abstractNumId w:val="18"/>
  </w:num>
  <w:num w:numId="32" w16cid:durableId="1640038939">
    <w:abstractNumId w:val="18"/>
  </w:num>
  <w:num w:numId="33" w16cid:durableId="896476377">
    <w:abstractNumId w:val="31"/>
  </w:num>
  <w:num w:numId="34" w16cid:durableId="1437554445">
    <w:abstractNumId w:val="13"/>
  </w:num>
  <w:num w:numId="35" w16cid:durableId="1389378061">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16424904">
    <w:abstractNumId w:val="36"/>
  </w:num>
  <w:num w:numId="37" w16cid:durableId="713162987">
    <w:abstractNumId w:val="21"/>
  </w:num>
  <w:num w:numId="38" w16cid:durableId="69003053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36188420">
    <w:abstractNumId w:val="33"/>
  </w:num>
  <w:num w:numId="40" w16cid:durableId="1678577870">
    <w:abstractNumId w:val="2"/>
  </w:num>
  <w:num w:numId="41" w16cid:durableId="790511638">
    <w:abstractNumId w:val="0"/>
  </w:num>
  <w:num w:numId="42" w16cid:durableId="1545171783">
    <w:abstractNumId w:val="28"/>
  </w:num>
  <w:num w:numId="43" w16cid:durableId="923221623">
    <w:abstractNumId w:val="4"/>
  </w:num>
  <w:num w:numId="44" w16cid:durableId="1529834478">
    <w:abstractNumId w:val="22"/>
  </w:num>
  <w:num w:numId="45" w16cid:durableId="1634480862">
    <w:abstractNumId w:val="23"/>
  </w:num>
  <w:num w:numId="46" w16cid:durableId="224461468">
    <w:abstractNumId w:val="30"/>
  </w:num>
  <w:num w:numId="47" w16cid:durableId="29502992">
    <w:abstractNumId w:val="27"/>
  </w:num>
  <w:num w:numId="48" w16cid:durableId="944507346">
    <w:abstractNumId w:val="18"/>
  </w:num>
  <w:num w:numId="49" w16cid:durableId="907888477">
    <w:abstractNumId w:val="3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28CE"/>
    <w:rsid w:val="00000830"/>
    <w:rsid w:val="00003F34"/>
    <w:rsid w:val="000043A7"/>
    <w:rsid w:val="000114D8"/>
    <w:rsid w:val="00022543"/>
    <w:rsid w:val="00022D7E"/>
    <w:rsid w:val="000255CC"/>
    <w:rsid w:val="00031EFB"/>
    <w:rsid w:val="00032E84"/>
    <w:rsid w:val="00035442"/>
    <w:rsid w:val="0003599C"/>
    <w:rsid w:val="00035D60"/>
    <w:rsid w:val="0004039F"/>
    <w:rsid w:val="00044597"/>
    <w:rsid w:val="000453A3"/>
    <w:rsid w:val="00047093"/>
    <w:rsid w:val="00050922"/>
    <w:rsid w:val="000564FE"/>
    <w:rsid w:val="00056CE2"/>
    <w:rsid w:val="0007264B"/>
    <w:rsid w:val="0007307A"/>
    <w:rsid w:val="00073186"/>
    <w:rsid w:val="00074850"/>
    <w:rsid w:val="00080E2A"/>
    <w:rsid w:val="00081565"/>
    <w:rsid w:val="000862DE"/>
    <w:rsid w:val="000906C3"/>
    <w:rsid w:val="0009540C"/>
    <w:rsid w:val="0009541E"/>
    <w:rsid w:val="00095842"/>
    <w:rsid w:val="000A0529"/>
    <w:rsid w:val="000A10DE"/>
    <w:rsid w:val="000A3E23"/>
    <w:rsid w:val="000A6D1E"/>
    <w:rsid w:val="000B0DC6"/>
    <w:rsid w:val="000B11E5"/>
    <w:rsid w:val="000B12DD"/>
    <w:rsid w:val="000B1B2A"/>
    <w:rsid w:val="000B323F"/>
    <w:rsid w:val="000C3FE2"/>
    <w:rsid w:val="000D4978"/>
    <w:rsid w:val="000D4DF5"/>
    <w:rsid w:val="000D6A76"/>
    <w:rsid w:val="000D7500"/>
    <w:rsid w:val="000D77BB"/>
    <w:rsid w:val="000E5B8D"/>
    <w:rsid w:val="000E63D1"/>
    <w:rsid w:val="000F3825"/>
    <w:rsid w:val="000F3F68"/>
    <w:rsid w:val="000F5265"/>
    <w:rsid w:val="000F626A"/>
    <w:rsid w:val="001003A0"/>
    <w:rsid w:val="00100631"/>
    <w:rsid w:val="00100CB5"/>
    <w:rsid w:val="00110A5F"/>
    <w:rsid w:val="00112793"/>
    <w:rsid w:val="00115B36"/>
    <w:rsid w:val="001161B1"/>
    <w:rsid w:val="001172FE"/>
    <w:rsid w:val="001175D9"/>
    <w:rsid w:val="00126710"/>
    <w:rsid w:val="00126A64"/>
    <w:rsid w:val="00133E2F"/>
    <w:rsid w:val="0013596E"/>
    <w:rsid w:val="00136567"/>
    <w:rsid w:val="00145DBF"/>
    <w:rsid w:val="00145F1F"/>
    <w:rsid w:val="00146320"/>
    <w:rsid w:val="0014689B"/>
    <w:rsid w:val="00151EAC"/>
    <w:rsid w:val="00153947"/>
    <w:rsid w:val="00154C67"/>
    <w:rsid w:val="00156C90"/>
    <w:rsid w:val="00157077"/>
    <w:rsid w:val="001609B5"/>
    <w:rsid w:val="00162870"/>
    <w:rsid w:val="00170F28"/>
    <w:rsid w:val="00171D7C"/>
    <w:rsid w:val="00176C0F"/>
    <w:rsid w:val="00177E40"/>
    <w:rsid w:val="00186915"/>
    <w:rsid w:val="00190E7C"/>
    <w:rsid w:val="00192B7F"/>
    <w:rsid w:val="0019333E"/>
    <w:rsid w:val="00193DD6"/>
    <w:rsid w:val="001957E2"/>
    <w:rsid w:val="0019597A"/>
    <w:rsid w:val="001A496A"/>
    <w:rsid w:val="001B13F1"/>
    <w:rsid w:val="001B2D12"/>
    <w:rsid w:val="001B3F66"/>
    <w:rsid w:val="001B53A8"/>
    <w:rsid w:val="001B7215"/>
    <w:rsid w:val="001B7591"/>
    <w:rsid w:val="001C64D5"/>
    <w:rsid w:val="001C6A18"/>
    <w:rsid w:val="001D0272"/>
    <w:rsid w:val="001D1040"/>
    <w:rsid w:val="001D1496"/>
    <w:rsid w:val="001D4197"/>
    <w:rsid w:val="001D6262"/>
    <w:rsid w:val="001E125D"/>
    <w:rsid w:val="001E1291"/>
    <w:rsid w:val="001E56A4"/>
    <w:rsid w:val="001F0DD9"/>
    <w:rsid w:val="001F165A"/>
    <w:rsid w:val="001F342D"/>
    <w:rsid w:val="001F34CF"/>
    <w:rsid w:val="002006B3"/>
    <w:rsid w:val="002010FC"/>
    <w:rsid w:val="00204DC4"/>
    <w:rsid w:val="00205408"/>
    <w:rsid w:val="00207C56"/>
    <w:rsid w:val="00221B3B"/>
    <w:rsid w:val="00224AB9"/>
    <w:rsid w:val="00224F43"/>
    <w:rsid w:val="00227127"/>
    <w:rsid w:val="00231F4C"/>
    <w:rsid w:val="002329D9"/>
    <w:rsid w:val="00233ABD"/>
    <w:rsid w:val="00234CD7"/>
    <w:rsid w:val="00235F34"/>
    <w:rsid w:val="0024753F"/>
    <w:rsid w:val="00254A9F"/>
    <w:rsid w:val="00257BC9"/>
    <w:rsid w:val="00261734"/>
    <w:rsid w:val="002617C2"/>
    <w:rsid w:val="00261970"/>
    <w:rsid w:val="00267702"/>
    <w:rsid w:val="0027056D"/>
    <w:rsid w:val="0027707D"/>
    <w:rsid w:val="00277B78"/>
    <w:rsid w:val="0028045D"/>
    <w:rsid w:val="00281567"/>
    <w:rsid w:val="0028309E"/>
    <w:rsid w:val="00291F51"/>
    <w:rsid w:val="00295971"/>
    <w:rsid w:val="00295F4B"/>
    <w:rsid w:val="002A03BF"/>
    <w:rsid w:val="002A123A"/>
    <w:rsid w:val="002A34B0"/>
    <w:rsid w:val="002A448C"/>
    <w:rsid w:val="002A6399"/>
    <w:rsid w:val="002B3E55"/>
    <w:rsid w:val="002B781D"/>
    <w:rsid w:val="002C39B2"/>
    <w:rsid w:val="002C581F"/>
    <w:rsid w:val="002C5D98"/>
    <w:rsid w:val="002C66E2"/>
    <w:rsid w:val="002D0C0C"/>
    <w:rsid w:val="002D3E1C"/>
    <w:rsid w:val="002E4D61"/>
    <w:rsid w:val="002E55FE"/>
    <w:rsid w:val="002F1D12"/>
    <w:rsid w:val="002F3892"/>
    <w:rsid w:val="002F41CE"/>
    <w:rsid w:val="003033B1"/>
    <w:rsid w:val="003050CF"/>
    <w:rsid w:val="003055E3"/>
    <w:rsid w:val="003072E7"/>
    <w:rsid w:val="00311668"/>
    <w:rsid w:val="00315188"/>
    <w:rsid w:val="00315B99"/>
    <w:rsid w:val="00316BE7"/>
    <w:rsid w:val="00322730"/>
    <w:rsid w:val="00330E97"/>
    <w:rsid w:val="00331836"/>
    <w:rsid w:val="00333009"/>
    <w:rsid w:val="0034035E"/>
    <w:rsid w:val="003421E1"/>
    <w:rsid w:val="003425BB"/>
    <w:rsid w:val="003440AC"/>
    <w:rsid w:val="0034588E"/>
    <w:rsid w:val="00351F6F"/>
    <w:rsid w:val="0035204D"/>
    <w:rsid w:val="00357B9E"/>
    <w:rsid w:val="0036048B"/>
    <w:rsid w:val="00366869"/>
    <w:rsid w:val="003718EF"/>
    <w:rsid w:val="00376C8B"/>
    <w:rsid w:val="003772BF"/>
    <w:rsid w:val="00380094"/>
    <w:rsid w:val="00382436"/>
    <w:rsid w:val="0038617C"/>
    <w:rsid w:val="00386749"/>
    <w:rsid w:val="00387892"/>
    <w:rsid w:val="00393275"/>
    <w:rsid w:val="00397706"/>
    <w:rsid w:val="003A01EB"/>
    <w:rsid w:val="003A0252"/>
    <w:rsid w:val="003A1210"/>
    <w:rsid w:val="003A4531"/>
    <w:rsid w:val="003B0D4B"/>
    <w:rsid w:val="003B565C"/>
    <w:rsid w:val="003B5FF2"/>
    <w:rsid w:val="003C0B45"/>
    <w:rsid w:val="003D08FA"/>
    <w:rsid w:val="003D4CF2"/>
    <w:rsid w:val="003D586F"/>
    <w:rsid w:val="003E0284"/>
    <w:rsid w:val="003E06DA"/>
    <w:rsid w:val="003E1831"/>
    <w:rsid w:val="003E42F7"/>
    <w:rsid w:val="003E72B8"/>
    <w:rsid w:val="003F10A5"/>
    <w:rsid w:val="003F520A"/>
    <w:rsid w:val="0040244D"/>
    <w:rsid w:val="004026A1"/>
    <w:rsid w:val="0040480C"/>
    <w:rsid w:val="00405992"/>
    <w:rsid w:val="00405CBF"/>
    <w:rsid w:val="00405E80"/>
    <w:rsid w:val="004060D8"/>
    <w:rsid w:val="004073ED"/>
    <w:rsid w:val="00420166"/>
    <w:rsid w:val="004203B0"/>
    <w:rsid w:val="0042230F"/>
    <w:rsid w:val="00424F1A"/>
    <w:rsid w:val="0043234C"/>
    <w:rsid w:val="004339AA"/>
    <w:rsid w:val="00434025"/>
    <w:rsid w:val="004353DF"/>
    <w:rsid w:val="00436B49"/>
    <w:rsid w:val="004376F1"/>
    <w:rsid w:val="004411EF"/>
    <w:rsid w:val="004414AB"/>
    <w:rsid w:val="00443526"/>
    <w:rsid w:val="004442C9"/>
    <w:rsid w:val="00450F12"/>
    <w:rsid w:val="00452A83"/>
    <w:rsid w:val="004614A2"/>
    <w:rsid w:val="00466C8F"/>
    <w:rsid w:val="00470A0F"/>
    <w:rsid w:val="00472F6D"/>
    <w:rsid w:val="00477958"/>
    <w:rsid w:val="00482EB1"/>
    <w:rsid w:val="0048457A"/>
    <w:rsid w:val="004861A7"/>
    <w:rsid w:val="00491B68"/>
    <w:rsid w:val="004957BF"/>
    <w:rsid w:val="00495BFF"/>
    <w:rsid w:val="004960DC"/>
    <w:rsid w:val="00496C87"/>
    <w:rsid w:val="00497652"/>
    <w:rsid w:val="004979D7"/>
    <w:rsid w:val="004A0FC1"/>
    <w:rsid w:val="004A2895"/>
    <w:rsid w:val="004A2ED5"/>
    <w:rsid w:val="004B17B7"/>
    <w:rsid w:val="004B4826"/>
    <w:rsid w:val="004B60FE"/>
    <w:rsid w:val="004C0593"/>
    <w:rsid w:val="004C1197"/>
    <w:rsid w:val="004C689E"/>
    <w:rsid w:val="004D129B"/>
    <w:rsid w:val="004D2531"/>
    <w:rsid w:val="004D5CC0"/>
    <w:rsid w:val="004E0508"/>
    <w:rsid w:val="004E0730"/>
    <w:rsid w:val="004E39B0"/>
    <w:rsid w:val="004F4126"/>
    <w:rsid w:val="004F44B1"/>
    <w:rsid w:val="004F5522"/>
    <w:rsid w:val="004F7C5C"/>
    <w:rsid w:val="00506544"/>
    <w:rsid w:val="0051391C"/>
    <w:rsid w:val="00520631"/>
    <w:rsid w:val="005220A8"/>
    <w:rsid w:val="00523120"/>
    <w:rsid w:val="00524E40"/>
    <w:rsid w:val="0053265D"/>
    <w:rsid w:val="00536C46"/>
    <w:rsid w:val="005414F6"/>
    <w:rsid w:val="00544946"/>
    <w:rsid w:val="005512AC"/>
    <w:rsid w:val="0055266E"/>
    <w:rsid w:val="00552C7C"/>
    <w:rsid w:val="00560844"/>
    <w:rsid w:val="0056236A"/>
    <w:rsid w:val="0056392F"/>
    <w:rsid w:val="00566221"/>
    <w:rsid w:val="005677C6"/>
    <w:rsid w:val="00573B4E"/>
    <w:rsid w:val="005765DB"/>
    <w:rsid w:val="00580CFB"/>
    <w:rsid w:val="00585303"/>
    <w:rsid w:val="00586B80"/>
    <w:rsid w:val="00593CC1"/>
    <w:rsid w:val="005957AD"/>
    <w:rsid w:val="00596DD2"/>
    <w:rsid w:val="005A0F98"/>
    <w:rsid w:val="005A1261"/>
    <w:rsid w:val="005A30D8"/>
    <w:rsid w:val="005A78F0"/>
    <w:rsid w:val="005B1E90"/>
    <w:rsid w:val="005B21B1"/>
    <w:rsid w:val="005B275C"/>
    <w:rsid w:val="005C0928"/>
    <w:rsid w:val="005C3990"/>
    <w:rsid w:val="005C65E0"/>
    <w:rsid w:val="005C7735"/>
    <w:rsid w:val="005D75A5"/>
    <w:rsid w:val="005E1D59"/>
    <w:rsid w:val="005E4D28"/>
    <w:rsid w:val="005E5641"/>
    <w:rsid w:val="005E7013"/>
    <w:rsid w:val="005F00E1"/>
    <w:rsid w:val="005F32B8"/>
    <w:rsid w:val="005F377D"/>
    <w:rsid w:val="005F3C0E"/>
    <w:rsid w:val="005F5008"/>
    <w:rsid w:val="006032BF"/>
    <w:rsid w:val="0060565E"/>
    <w:rsid w:val="00623FBA"/>
    <w:rsid w:val="00632D06"/>
    <w:rsid w:val="00633D82"/>
    <w:rsid w:val="0063479F"/>
    <w:rsid w:val="00640079"/>
    <w:rsid w:val="00642106"/>
    <w:rsid w:val="006421E8"/>
    <w:rsid w:val="00643CDC"/>
    <w:rsid w:val="00646428"/>
    <w:rsid w:val="00647E2F"/>
    <w:rsid w:val="00651ABA"/>
    <w:rsid w:val="00652230"/>
    <w:rsid w:val="00652948"/>
    <w:rsid w:val="0066171A"/>
    <w:rsid w:val="00661D85"/>
    <w:rsid w:val="00663C94"/>
    <w:rsid w:val="00667A46"/>
    <w:rsid w:val="00670978"/>
    <w:rsid w:val="00672C50"/>
    <w:rsid w:val="006730DA"/>
    <w:rsid w:val="00673523"/>
    <w:rsid w:val="00675F30"/>
    <w:rsid w:val="006854CF"/>
    <w:rsid w:val="006910BA"/>
    <w:rsid w:val="00694BC7"/>
    <w:rsid w:val="006A7B25"/>
    <w:rsid w:val="006B2734"/>
    <w:rsid w:val="006B53E3"/>
    <w:rsid w:val="006B5B97"/>
    <w:rsid w:val="006B6E0C"/>
    <w:rsid w:val="006C0A13"/>
    <w:rsid w:val="006C5AE6"/>
    <w:rsid w:val="006D0458"/>
    <w:rsid w:val="006F137C"/>
    <w:rsid w:val="006F19FB"/>
    <w:rsid w:val="006F3D24"/>
    <w:rsid w:val="006F422B"/>
    <w:rsid w:val="006F4E8B"/>
    <w:rsid w:val="006F55F6"/>
    <w:rsid w:val="006F5C27"/>
    <w:rsid w:val="0070133F"/>
    <w:rsid w:val="00702DDD"/>
    <w:rsid w:val="0070335D"/>
    <w:rsid w:val="0070432C"/>
    <w:rsid w:val="00704D5B"/>
    <w:rsid w:val="00705880"/>
    <w:rsid w:val="0070648D"/>
    <w:rsid w:val="007163DC"/>
    <w:rsid w:val="00720112"/>
    <w:rsid w:val="00721BCA"/>
    <w:rsid w:val="007232BF"/>
    <w:rsid w:val="007233AB"/>
    <w:rsid w:val="0072415F"/>
    <w:rsid w:val="00730BD2"/>
    <w:rsid w:val="0073226D"/>
    <w:rsid w:val="0073483B"/>
    <w:rsid w:val="007461CF"/>
    <w:rsid w:val="0075373D"/>
    <w:rsid w:val="007540E7"/>
    <w:rsid w:val="00754BBD"/>
    <w:rsid w:val="0075526B"/>
    <w:rsid w:val="0075782C"/>
    <w:rsid w:val="007612BA"/>
    <w:rsid w:val="00762B8E"/>
    <w:rsid w:val="00772575"/>
    <w:rsid w:val="007765FE"/>
    <w:rsid w:val="00783EC2"/>
    <w:rsid w:val="00785B10"/>
    <w:rsid w:val="00790521"/>
    <w:rsid w:val="007951D7"/>
    <w:rsid w:val="00796380"/>
    <w:rsid w:val="00796E2E"/>
    <w:rsid w:val="007A0B78"/>
    <w:rsid w:val="007A16D6"/>
    <w:rsid w:val="007B15C8"/>
    <w:rsid w:val="007B4320"/>
    <w:rsid w:val="007C0F64"/>
    <w:rsid w:val="007C35E5"/>
    <w:rsid w:val="007C4669"/>
    <w:rsid w:val="007D1075"/>
    <w:rsid w:val="007D2CB3"/>
    <w:rsid w:val="007D2D6B"/>
    <w:rsid w:val="007D4FC0"/>
    <w:rsid w:val="007E2F40"/>
    <w:rsid w:val="007F6481"/>
    <w:rsid w:val="008022BA"/>
    <w:rsid w:val="0081191D"/>
    <w:rsid w:val="00813470"/>
    <w:rsid w:val="00814C34"/>
    <w:rsid w:val="00815F76"/>
    <w:rsid w:val="008302F2"/>
    <w:rsid w:val="00832BA8"/>
    <w:rsid w:val="008351AC"/>
    <w:rsid w:val="00840155"/>
    <w:rsid w:val="008416FF"/>
    <w:rsid w:val="008423A6"/>
    <w:rsid w:val="0084341E"/>
    <w:rsid w:val="008438C3"/>
    <w:rsid w:val="00843E5F"/>
    <w:rsid w:val="0084538F"/>
    <w:rsid w:val="00854204"/>
    <w:rsid w:val="00861C8B"/>
    <w:rsid w:val="008641AE"/>
    <w:rsid w:val="0086773C"/>
    <w:rsid w:val="00867B49"/>
    <w:rsid w:val="00871E88"/>
    <w:rsid w:val="00872AAC"/>
    <w:rsid w:val="00875596"/>
    <w:rsid w:val="00876F9E"/>
    <w:rsid w:val="00877217"/>
    <w:rsid w:val="0088335F"/>
    <w:rsid w:val="00891A65"/>
    <w:rsid w:val="00897D10"/>
    <w:rsid w:val="008A0055"/>
    <w:rsid w:val="008A1035"/>
    <w:rsid w:val="008A1361"/>
    <w:rsid w:val="008A17F3"/>
    <w:rsid w:val="008A1C5B"/>
    <w:rsid w:val="008A4294"/>
    <w:rsid w:val="008C03C1"/>
    <w:rsid w:val="008C351A"/>
    <w:rsid w:val="008C3ACA"/>
    <w:rsid w:val="008D017C"/>
    <w:rsid w:val="008D04D1"/>
    <w:rsid w:val="008D0FE5"/>
    <w:rsid w:val="008D249A"/>
    <w:rsid w:val="008D68B8"/>
    <w:rsid w:val="008E37B1"/>
    <w:rsid w:val="008E4144"/>
    <w:rsid w:val="008E7374"/>
    <w:rsid w:val="008F0597"/>
    <w:rsid w:val="008F1971"/>
    <w:rsid w:val="008F6836"/>
    <w:rsid w:val="008F7CB0"/>
    <w:rsid w:val="009035EE"/>
    <w:rsid w:val="0090523D"/>
    <w:rsid w:val="00906364"/>
    <w:rsid w:val="00906C9F"/>
    <w:rsid w:val="00906ECC"/>
    <w:rsid w:val="0091431E"/>
    <w:rsid w:val="00916812"/>
    <w:rsid w:val="0092337D"/>
    <w:rsid w:val="00923FF1"/>
    <w:rsid w:val="00925126"/>
    <w:rsid w:val="00927175"/>
    <w:rsid w:val="00927262"/>
    <w:rsid w:val="0093403F"/>
    <w:rsid w:val="00944EF0"/>
    <w:rsid w:val="00945E8E"/>
    <w:rsid w:val="009503C4"/>
    <w:rsid w:val="009545F0"/>
    <w:rsid w:val="009552DF"/>
    <w:rsid w:val="00957813"/>
    <w:rsid w:val="00960905"/>
    <w:rsid w:val="009628CE"/>
    <w:rsid w:val="00963D67"/>
    <w:rsid w:val="00964F39"/>
    <w:rsid w:val="00965E3A"/>
    <w:rsid w:val="00967004"/>
    <w:rsid w:val="009704D0"/>
    <w:rsid w:val="00972268"/>
    <w:rsid w:val="0097726E"/>
    <w:rsid w:val="0098089A"/>
    <w:rsid w:val="009810AD"/>
    <w:rsid w:val="009813BA"/>
    <w:rsid w:val="009817DA"/>
    <w:rsid w:val="009845F0"/>
    <w:rsid w:val="00986D3F"/>
    <w:rsid w:val="009926A9"/>
    <w:rsid w:val="0099548C"/>
    <w:rsid w:val="009961B6"/>
    <w:rsid w:val="009A2ADA"/>
    <w:rsid w:val="009A3C1C"/>
    <w:rsid w:val="009A7FC2"/>
    <w:rsid w:val="009B3011"/>
    <w:rsid w:val="009B313B"/>
    <w:rsid w:val="009C0BB3"/>
    <w:rsid w:val="009C73C2"/>
    <w:rsid w:val="009D65E1"/>
    <w:rsid w:val="009D721C"/>
    <w:rsid w:val="009E486E"/>
    <w:rsid w:val="009E595E"/>
    <w:rsid w:val="009F081F"/>
    <w:rsid w:val="00A018F1"/>
    <w:rsid w:val="00A04254"/>
    <w:rsid w:val="00A07227"/>
    <w:rsid w:val="00A0750D"/>
    <w:rsid w:val="00A07741"/>
    <w:rsid w:val="00A107DC"/>
    <w:rsid w:val="00A11663"/>
    <w:rsid w:val="00A11D13"/>
    <w:rsid w:val="00A1254C"/>
    <w:rsid w:val="00A14F1E"/>
    <w:rsid w:val="00A1510F"/>
    <w:rsid w:val="00A17E48"/>
    <w:rsid w:val="00A2023D"/>
    <w:rsid w:val="00A2091B"/>
    <w:rsid w:val="00A2243C"/>
    <w:rsid w:val="00A22CE4"/>
    <w:rsid w:val="00A277DE"/>
    <w:rsid w:val="00A27E74"/>
    <w:rsid w:val="00A30C90"/>
    <w:rsid w:val="00A3728F"/>
    <w:rsid w:val="00A40890"/>
    <w:rsid w:val="00A44387"/>
    <w:rsid w:val="00A4635E"/>
    <w:rsid w:val="00A47DF9"/>
    <w:rsid w:val="00A6323D"/>
    <w:rsid w:val="00A634F3"/>
    <w:rsid w:val="00A63AF7"/>
    <w:rsid w:val="00A64819"/>
    <w:rsid w:val="00A66216"/>
    <w:rsid w:val="00A66B98"/>
    <w:rsid w:val="00A71791"/>
    <w:rsid w:val="00A72AB0"/>
    <w:rsid w:val="00A763D6"/>
    <w:rsid w:val="00A815FE"/>
    <w:rsid w:val="00A839BD"/>
    <w:rsid w:val="00A85FE6"/>
    <w:rsid w:val="00A92F69"/>
    <w:rsid w:val="00A930F0"/>
    <w:rsid w:val="00A931B6"/>
    <w:rsid w:val="00A94227"/>
    <w:rsid w:val="00A95A28"/>
    <w:rsid w:val="00A95C69"/>
    <w:rsid w:val="00AA3D93"/>
    <w:rsid w:val="00AA43D9"/>
    <w:rsid w:val="00AB0D41"/>
    <w:rsid w:val="00AB10AC"/>
    <w:rsid w:val="00AB1F26"/>
    <w:rsid w:val="00AB2914"/>
    <w:rsid w:val="00AB32E9"/>
    <w:rsid w:val="00AB412C"/>
    <w:rsid w:val="00AC0264"/>
    <w:rsid w:val="00AC0E79"/>
    <w:rsid w:val="00AC1D6C"/>
    <w:rsid w:val="00AC3F0A"/>
    <w:rsid w:val="00AC5B9D"/>
    <w:rsid w:val="00AC5C50"/>
    <w:rsid w:val="00AD49B6"/>
    <w:rsid w:val="00AE1BDE"/>
    <w:rsid w:val="00AE35A2"/>
    <w:rsid w:val="00AE4105"/>
    <w:rsid w:val="00AE5D1A"/>
    <w:rsid w:val="00AE5DAA"/>
    <w:rsid w:val="00AE7570"/>
    <w:rsid w:val="00AF2D31"/>
    <w:rsid w:val="00AF50C0"/>
    <w:rsid w:val="00AF7B11"/>
    <w:rsid w:val="00B00EAA"/>
    <w:rsid w:val="00B02B1F"/>
    <w:rsid w:val="00B032A1"/>
    <w:rsid w:val="00B23AE7"/>
    <w:rsid w:val="00B31068"/>
    <w:rsid w:val="00B3246F"/>
    <w:rsid w:val="00B32CF6"/>
    <w:rsid w:val="00B34068"/>
    <w:rsid w:val="00B348EC"/>
    <w:rsid w:val="00B37B23"/>
    <w:rsid w:val="00B419E0"/>
    <w:rsid w:val="00B45844"/>
    <w:rsid w:val="00B47DBC"/>
    <w:rsid w:val="00B51745"/>
    <w:rsid w:val="00B51C44"/>
    <w:rsid w:val="00B54972"/>
    <w:rsid w:val="00B57992"/>
    <w:rsid w:val="00B60F0E"/>
    <w:rsid w:val="00B7556C"/>
    <w:rsid w:val="00B81AB5"/>
    <w:rsid w:val="00B82CCA"/>
    <w:rsid w:val="00B84A19"/>
    <w:rsid w:val="00B85F96"/>
    <w:rsid w:val="00B86612"/>
    <w:rsid w:val="00B90F55"/>
    <w:rsid w:val="00B92582"/>
    <w:rsid w:val="00B947C5"/>
    <w:rsid w:val="00B974AC"/>
    <w:rsid w:val="00BA300A"/>
    <w:rsid w:val="00BA4518"/>
    <w:rsid w:val="00BA50A0"/>
    <w:rsid w:val="00BA602E"/>
    <w:rsid w:val="00BB463D"/>
    <w:rsid w:val="00BC13EA"/>
    <w:rsid w:val="00BC3BA5"/>
    <w:rsid w:val="00BC597A"/>
    <w:rsid w:val="00BC6DCF"/>
    <w:rsid w:val="00BC6F8F"/>
    <w:rsid w:val="00BD318D"/>
    <w:rsid w:val="00BD66D9"/>
    <w:rsid w:val="00BD670C"/>
    <w:rsid w:val="00BD7BCD"/>
    <w:rsid w:val="00BE2B3D"/>
    <w:rsid w:val="00BE4232"/>
    <w:rsid w:val="00BE61EB"/>
    <w:rsid w:val="00BF311C"/>
    <w:rsid w:val="00BF5474"/>
    <w:rsid w:val="00BF6D48"/>
    <w:rsid w:val="00C00854"/>
    <w:rsid w:val="00C04E63"/>
    <w:rsid w:val="00C16276"/>
    <w:rsid w:val="00C21486"/>
    <w:rsid w:val="00C22201"/>
    <w:rsid w:val="00C25B18"/>
    <w:rsid w:val="00C344F6"/>
    <w:rsid w:val="00C34E2D"/>
    <w:rsid w:val="00C3571F"/>
    <w:rsid w:val="00C35AB4"/>
    <w:rsid w:val="00C37211"/>
    <w:rsid w:val="00C42994"/>
    <w:rsid w:val="00C4367A"/>
    <w:rsid w:val="00C44397"/>
    <w:rsid w:val="00C52DD7"/>
    <w:rsid w:val="00C547C0"/>
    <w:rsid w:val="00C56626"/>
    <w:rsid w:val="00C57F10"/>
    <w:rsid w:val="00C633E1"/>
    <w:rsid w:val="00C6446B"/>
    <w:rsid w:val="00C66D9B"/>
    <w:rsid w:val="00C67EAF"/>
    <w:rsid w:val="00C718E7"/>
    <w:rsid w:val="00C71D0A"/>
    <w:rsid w:val="00C760EF"/>
    <w:rsid w:val="00C764EC"/>
    <w:rsid w:val="00C77413"/>
    <w:rsid w:val="00C81C28"/>
    <w:rsid w:val="00C86142"/>
    <w:rsid w:val="00C92824"/>
    <w:rsid w:val="00C94481"/>
    <w:rsid w:val="00CA5648"/>
    <w:rsid w:val="00CB089E"/>
    <w:rsid w:val="00CB11B4"/>
    <w:rsid w:val="00CB13B3"/>
    <w:rsid w:val="00CB25D5"/>
    <w:rsid w:val="00CB3F52"/>
    <w:rsid w:val="00CC42DE"/>
    <w:rsid w:val="00CC564F"/>
    <w:rsid w:val="00CC5DBA"/>
    <w:rsid w:val="00CC6482"/>
    <w:rsid w:val="00CD184B"/>
    <w:rsid w:val="00CD38E4"/>
    <w:rsid w:val="00CD6308"/>
    <w:rsid w:val="00CE0F78"/>
    <w:rsid w:val="00CE5A53"/>
    <w:rsid w:val="00CF1C8F"/>
    <w:rsid w:val="00CF1DAB"/>
    <w:rsid w:val="00CF3DB6"/>
    <w:rsid w:val="00CF4EB7"/>
    <w:rsid w:val="00CF5514"/>
    <w:rsid w:val="00CF68F9"/>
    <w:rsid w:val="00CF6BE6"/>
    <w:rsid w:val="00CF7BAC"/>
    <w:rsid w:val="00D02363"/>
    <w:rsid w:val="00D02728"/>
    <w:rsid w:val="00D02783"/>
    <w:rsid w:val="00D033F3"/>
    <w:rsid w:val="00D034DA"/>
    <w:rsid w:val="00D04ABD"/>
    <w:rsid w:val="00D05D64"/>
    <w:rsid w:val="00D0706D"/>
    <w:rsid w:val="00D123C0"/>
    <w:rsid w:val="00D15E8F"/>
    <w:rsid w:val="00D239B3"/>
    <w:rsid w:val="00D26C00"/>
    <w:rsid w:val="00D27892"/>
    <w:rsid w:val="00D32B4D"/>
    <w:rsid w:val="00D32BE3"/>
    <w:rsid w:val="00D34785"/>
    <w:rsid w:val="00D3478F"/>
    <w:rsid w:val="00D347D0"/>
    <w:rsid w:val="00D36AD9"/>
    <w:rsid w:val="00D37139"/>
    <w:rsid w:val="00D3771E"/>
    <w:rsid w:val="00D4067D"/>
    <w:rsid w:val="00D40897"/>
    <w:rsid w:val="00D449E7"/>
    <w:rsid w:val="00D46B8D"/>
    <w:rsid w:val="00D47B2E"/>
    <w:rsid w:val="00D47B60"/>
    <w:rsid w:val="00D47CB6"/>
    <w:rsid w:val="00D50A02"/>
    <w:rsid w:val="00D525F2"/>
    <w:rsid w:val="00D554E1"/>
    <w:rsid w:val="00D644B2"/>
    <w:rsid w:val="00D64DA2"/>
    <w:rsid w:val="00D66F63"/>
    <w:rsid w:val="00D70432"/>
    <w:rsid w:val="00D7623C"/>
    <w:rsid w:val="00D815E3"/>
    <w:rsid w:val="00DA14B9"/>
    <w:rsid w:val="00DB1C57"/>
    <w:rsid w:val="00DB2B8A"/>
    <w:rsid w:val="00DB34E6"/>
    <w:rsid w:val="00DB5D29"/>
    <w:rsid w:val="00DB7B1C"/>
    <w:rsid w:val="00DC0030"/>
    <w:rsid w:val="00DC4371"/>
    <w:rsid w:val="00DE04C6"/>
    <w:rsid w:val="00DE0870"/>
    <w:rsid w:val="00DF241A"/>
    <w:rsid w:val="00DF38E3"/>
    <w:rsid w:val="00DF43DE"/>
    <w:rsid w:val="00DF51BC"/>
    <w:rsid w:val="00DF68B0"/>
    <w:rsid w:val="00DF6CBB"/>
    <w:rsid w:val="00E00890"/>
    <w:rsid w:val="00E058DB"/>
    <w:rsid w:val="00E069B9"/>
    <w:rsid w:val="00E072A1"/>
    <w:rsid w:val="00E14353"/>
    <w:rsid w:val="00E16D3E"/>
    <w:rsid w:val="00E1707F"/>
    <w:rsid w:val="00E20020"/>
    <w:rsid w:val="00E20331"/>
    <w:rsid w:val="00E2608B"/>
    <w:rsid w:val="00E2729B"/>
    <w:rsid w:val="00E32BDC"/>
    <w:rsid w:val="00E3342A"/>
    <w:rsid w:val="00E3542B"/>
    <w:rsid w:val="00E40CCC"/>
    <w:rsid w:val="00E46054"/>
    <w:rsid w:val="00E46789"/>
    <w:rsid w:val="00E51166"/>
    <w:rsid w:val="00E55C8C"/>
    <w:rsid w:val="00E564A8"/>
    <w:rsid w:val="00E565C0"/>
    <w:rsid w:val="00E7118C"/>
    <w:rsid w:val="00E72FB0"/>
    <w:rsid w:val="00E735DE"/>
    <w:rsid w:val="00E84A26"/>
    <w:rsid w:val="00E84C7C"/>
    <w:rsid w:val="00E865BB"/>
    <w:rsid w:val="00EA101F"/>
    <w:rsid w:val="00EA2C37"/>
    <w:rsid w:val="00EA7479"/>
    <w:rsid w:val="00EA7BE3"/>
    <w:rsid w:val="00EB0167"/>
    <w:rsid w:val="00EB33B4"/>
    <w:rsid w:val="00EB3838"/>
    <w:rsid w:val="00EB77D7"/>
    <w:rsid w:val="00EC0877"/>
    <w:rsid w:val="00EC2007"/>
    <w:rsid w:val="00EC2947"/>
    <w:rsid w:val="00EC330F"/>
    <w:rsid w:val="00EC4EFC"/>
    <w:rsid w:val="00EC6422"/>
    <w:rsid w:val="00ED30A7"/>
    <w:rsid w:val="00ED6BDC"/>
    <w:rsid w:val="00ED6CA6"/>
    <w:rsid w:val="00ED706F"/>
    <w:rsid w:val="00EE1C8C"/>
    <w:rsid w:val="00EE5DEE"/>
    <w:rsid w:val="00EE635F"/>
    <w:rsid w:val="00EF1648"/>
    <w:rsid w:val="00EF2179"/>
    <w:rsid w:val="00F026B0"/>
    <w:rsid w:val="00F03E16"/>
    <w:rsid w:val="00F0610F"/>
    <w:rsid w:val="00F206BF"/>
    <w:rsid w:val="00F2192D"/>
    <w:rsid w:val="00F2365C"/>
    <w:rsid w:val="00F248F4"/>
    <w:rsid w:val="00F24965"/>
    <w:rsid w:val="00F25F0A"/>
    <w:rsid w:val="00F40EB0"/>
    <w:rsid w:val="00F43304"/>
    <w:rsid w:val="00F441CC"/>
    <w:rsid w:val="00F44CD0"/>
    <w:rsid w:val="00F52437"/>
    <w:rsid w:val="00F575BE"/>
    <w:rsid w:val="00F57842"/>
    <w:rsid w:val="00F63D40"/>
    <w:rsid w:val="00F700E3"/>
    <w:rsid w:val="00F73AE6"/>
    <w:rsid w:val="00F73E92"/>
    <w:rsid w:val="00F76957"/>
    <w:rsid w:val="00F76CC7"/>
    <w:rsid w:val="00F774B4"/>
    <w:rsid w:val="00F8441F"/>
    <w:rsid w:val="00F85919"/>
    <w:rsid w:val="00F91AD3"/>
    <w:rsid w:val="00F97133"/>
    <w:rsid w:val="00FB03F8"/>
    <w:rsid w:val="00FB067C"/>
    <w:rsid w:val="00FB268D"/>
    <w:rsid w:val="00FB29D8"/>
    <w:rsid w:val="00FC2273"/>
    <w:rsid w:val="00FC466B"/>
    <w:rsid w:val="00FC63D2"/>
    <w:rsid w:val="00FD3C0C"/>
    <w:rsid w:val="00FD549B"/>
    <w:rsid w:val="00FE025C"/>
    <w:rsid w:val="00FE344B"/>
    <w:rsid w:val="00FF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C52C5"/>
  <w15:docId w15:val="{3F28ABFF-E0A6-41D1-B23B-6A790371D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before="120"/>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28CE"/>
    <w:pPr>
      <w:spacing w:after="120" w:line="264" w:lineRule="auto"/>
      <w:ind w:firstLine="709"/>
      <w:jc w:val="both"/>
    </w:pPr>
  </w:style>
  <w:style w:type="paragraph" w:styleId="Heading1">
    <w:name w:val="heading 1"/>
    <w:basedOn w:val="Normal"/>
    <w:next w:val="Normal"/>
    <w:link w:val="Heading1Char"/>
    <w:uiPriority w:val="9"/>
    <w:qFormat/>
    <w:rsid w:val="009628CE"/>
    <w:pPr>
      <w:keepNext/>
      <w:numPr>
        <w:numId w:val="4"/>
      </w:numPr>
      <w:shd w:val="clear" w:color="auto" w:fill="244061" w:themeFill="accent1" w:themeFillShade="80"/>
      <w:spacing w:before="600" w:after="60"/>
      <w:outlineLvl w:val="0"/>
    </w:pPr>
    <w:rPr>
      <w:rFonts w:asciiTheme="majorHAnsi" w:eastAsiaTheme="majorEastAsia" w:hAnsiTheme="majorHAnsi"/>
      <w:b/>
      <w:bCs/>
      <w:caps/>
      <w:color w:val="FFFFFF" w:themeColor="background1"/>
      <w:kern w:val="32"/>
      <w:sz w:val="28"/>
      <w:szCs w:val="32"/>
    </w:rPr>
  </w:style>
  <w:style w:type="paragraph" w:styleId="Heading2">
    <w:name w:val="heading 2"/>
    <w:basedOn w:val="Normal"/>
    <w:next w:val="Normal"/>
    <w:link w:val="Heading2Char"/>
    <w:uiPriority w:val="9"/>
    <w:unhideWhenUsed/>
    <w:qFormat/>
    <w:rsid w:val="009628CE"/>
    <w:pPr>
      <w:keepNext/>
      <w:numPr>
        <w:ilvl w:val="1"/>
        <w:numId w:val="4"/>
      </w:numPr>
      <w:spacing w:before="360" w:after="60"/>
      <w:outlineLvl w:val="1"/>
    </w:pPr>
    <w:rPr>
      <w:rFonts w:asciiTheme="majorHAnsi" w:eastAsiaTheme="majorEastAsia" w:hAnsiTheme="majorHAnsi"/>
      <w:b/>
      <w:bCs/>
      <w:iCs/>
      <w:color w:val="244061" w:themeColor="accent1" w:themeShade="80"/>
      <w:sz w:val="28"/>
      <w:szCs w:val="28"/>
    </w:rPr>
  </w:style>
  <w:style w:type="paragraph" w:styleId="Heading3">
    <w:name w:val="heading 3"/>
    <w:basedOn w:val="Normal"/>
    <w:next w:val="Normal"/>
    <w:link w:val="Heading3Char"/>
    <w:uiPriority w:val="9"/>
    <w:unhideWhenUsed/>
    <w:qFormat/>
    <w:rsid w:val="009628CE"/>
    <w:pPr>
      <w:keepNext/>
      <w:numPr>
        <w:ilvl w:val="2"/>
        <w:numId w:val="4"/>
      </w:numPr>
      <w:spacing w:before="240" w:after="60"/>
      <w:outlineLvl w:val="2"/>
    </w:pPr>
    <w:rPr>
      <w:rFonts w:asciiTheme="majorHAnsi" w:eastAsiaTheme="majorEastAsia" w:hAnsiTheme="majorHAnsi"/>
      <w:b/>
      <w:bCs/>
      <w:color w:val="365F91" w:themeColor="accent1" w:themeShade="BF"/>
      <w:szCs w:val="26"/>
    </w:rPr>
  </w:style>
  <w:style w:type="paragraph" w:styleId="Heading4">
    <w:name w:val="heading 4"/>
    <w:basedOn w:val="Normal"/>
    <w:next w:val="Normal"/>
    <w:link w:val="Heading4Char"/>
    <w:uiPriority w:val="9"/>
    <w:unhideWhenUsed/>
    <w:qFormat/>
    <w:rsid w:val="009628CE"/>
    <w:pPr>
      <w:keepNext/>
      <w:keepLines/>
      <w:numPr>
        <w:ilvl w:val="3"/>
        <w:numId w:val="4"/>
      </w:numPr>
      <w:spacing w:before="20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uiPriority w:val="9"/>
    <w:unhideWhenUsed/>
    <w:qFormat/>
    <w:rsid w:val="009628CE"/>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9628CE"/>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9628CE"/>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9628CE"/>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9628CE"/>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28CE"/>
    <w:rPr>
      <w:rFonts w:asciiTheme="majorHAnsi" w:eastAsiaTheme="majorEastAsia" w:hAnsiTheme="majorHAnsi"/>
      <w:b/>
      <w:bCs/>
      <w:caps/>
      <w:color w:val="FFFFFF" w:themeColor="background1"/>
      <w:kern w:val="32"/>
      <w:sz w:val="28"/>
      <w:szCs w:val="32"/>
      <w:shd w:val="clear" w:color="auto" w:fill="244061" w:themeFill="accent1" w:themeFillShade="80"/>
      <w:lang w:bidi="en-US"/>
    </w:rPr>
  </w:style>
  <w:style w:type="character" w:customStyle="1" w:styleId="Heading2Char">
    <w:name w:val="Heading 2 Char"/>
    <w:basedOn w:val="DefaultParagraphFont"/>
    <w:link w:val="Heading2"/>
    <w:uiPriority w:val="9"/>
    <w:rsid w:val="009628CE"/>
    <w:rPr>
      <w:rFonts w:asciiTheme="majorHAnsi" w:eastAsiaTheme="majorEastAsia" w:hAnsiTheme="majorHAnsi"/>
      <w:b/>
      <w:bCs/>
      <w:iCs/>
      <w:color w:val="244061" w:themeColor="accent1" w:themeShade="80"/>
      <w:sz w:val="28"/>
      <w:szCs w:val="28"/>
      <w:lang w:bidi="en-US"/>
    </w:rPr>
  </w:style>
  <w:style w:type="character" w:customStyle="1" w:styleId="Heading3Char">
    <w:name w:val="Heading 3 Char"/>
    <w:basedOn w:val="DefaultParagraphFont"/>
    <w:link w:val="Heading3"/>
    <w:uiPriority w:val="9"/>
    <w:rsid w:val="009628CE"/>
    <w:rPr>
      <w:rFonts w:asciiTheme="majorHAnsi" w:eastAsiaTheme="majorEastAsia" w:hAnsiTheme="majorHAnsi"/>
      <w:b/>
      <w:bCs/>
      <w:color w:val="365F91" w:themeColor="accent1" w:themeShade="BF"/>
      <w:szCs w:val="26"/>
      <w:lang w:bidi="en-US"/>
    </w:rPr>
  </w:style>
  <w:style w:type="character" w:customStyle="1" w:styleId="Heading4Char">
    <w:name w:val="Heading 4 Char"/>
    <w:basedOn w:val="DefaultParagraphFont"/>
    <w:link w:val="Heading4"/>
    <w:uiPriority w:val="9"/>
    <w:rsid w:val="009628CE"/>
    <w:rPr>
      <w:rFonts w:asciiTheme="majorHAnsi" w:eastAsiaTheme="majorEastAsia" w:hAnsiTheme="majorHAnsi" w:cstheme="majorBidi"/>
      <w:b/>
      <w:bCs/>
      <w:iCs/>
      <w:color w:val="365F91" w:themeColor="accent1" w:themeShade="BF"/>
      <w:szCs w:val="24"/>
      <w:lang w:bidi="en-US"/>
    </w:rPr>
  </w:style>
  <w:style w:type="character" w:customStyle="1" w:styleId="Heading5Char">
    <w:name w:val="Heading 5 Char"/>
    <w:basedOn w:val="DefaultParagraphFont"/>
    <w:link w:val="Heading5"/>
    <w:uiPriority w:val="9"/>
    <w:rsid w:val="009628CE"/>
    <w:rPr>
      <w:rFonts w:asciiTheme="majorHAnsi" w:eastAsiaTheme="majorEastAsia" w:hAnsiTheme="majorHAnsi" w:cstheme="majorBidi"/>
      <w:color w:val="243F60" w:themeColor="accent1" w:themeShade="7F"/>
      <w:szCs w:val="24"/>
      <w:lang w:bidi="en-US"/>
    </w:rPr>
  </w:style>
  <w:style w:type="character" w:customStyle="1" w:styleId="Heading6Char">
    <w:name w:val="Heading 6 Char"/>
    <w:basedOn w:val="DefaultParagraphFont"/>
    <w:link w:val="Heading6"/>
    <w:uiPriority w:val="9"/>
    <w:rsid w:val="009628CE"/>
    <w:rPr>
      <w:rFonts w:asciiTheme="majorHAnsi" w:eastAsiaTheme="majorEastAsia" w:hAnsiTheme="majorHAnsi" w:cstheme="majorBidi"/>
      <w:i/>
      <w:iCs/>
      <w:color w:val="243F60" w:themeColor="accent1" w:themeShade="7F"/>
      <w:szCs w:val="24"/>
      <w:lang w:bidi="en-US"/>
    </w:rPr>
  </w:style>
  <w:style w:type="character" w:customStyle="1" w:styleId="Heading7Char">
    <w:name w:val="Heading 7 Char"/>
    <w:basedOn w:val="DefaultParagraphFont"/>
    <w:link w:val="Heading7"/>
    <w:uiPriority w:val="9"/>
    <w:rsid w:val="009628CE"/>
    <w:rPr>
      <w:rFonts w:asciiTheme="majorHAnsi" w:eastAsiaTheme="majorEastAsia" w:hAnsiTheme="majorHAnsi" w:cstheme="majorBidi"/>
      <w:i/>
      <w:iCs/>
      <w:color w:val="404040" w:themeColor="text1" w:themeTint="BF"/>
      <w:szCs w:val="24"/>
      <w:lang w:bidi="en-US"/>
    </w:rPr>
  </w:style>
  <w:style w:type="character" w:customStyle="1" w:styleId="Heading8Char">
    <w:name w:val="Heading 8 Char"/>
    <w:basedOn w:val="DefaultParagraphFont"/>
    <w:link w:val="Heading8"/>
    <w:uiPriority w:val="9"/>
    <w:rsid w:val="009628CE"/>
    <w:rPr>
      <w:rFonts w:asciiTheme="majorHAnsi" w:eastAsiaTheme="majorEastAsia" w:hAnsiTheme="majorHAnsi" w:cstheme="majorBidi"/>
      <w:color w:val="404040" w:themeColor="text1" w:themeTint="BF"/>
      <w:sz w:val="20"/>
      <w:szCs w:val="20"/>
      <w:lang w:bidi="en-US"/>
    </w:rPr>
  </w:style>
  <w:style w:type="character" w:customStyle="1" w:styleId="Heading9Char">
    <w:name w:val="Heading 9 Char"/>
    <w:basedOn w:val="DefaultParagraphFont"/>
    <w:link w:val="Heading9"/>
    <w:uiPriority w:val="9"/>
    <w:rsid w:val="009628CE"/>
    <w:rPr>
      <w:rFonts w:asciiTheme="majorHAnsi" w:eastAsiaTheme="majorEastAsia" w:hAnsiTheme="majorHAnsi" w:cstheme="majorBidi"/>
      <w:i/>
      <w:iCs/>
      <w:color w:val="404040" w:themeColor="text1" w:themeTint="BF"/>
      <w:sz w:val="20"/>
      <w:szCs w:val="20"/>
      <w:lang w:bidi="en-US"/>
    </w:rPr>
  </w:style>
  <w:style w:type="character" w:styleId="Hyperlink">
    <w:name w:val="Hyperlink"/>
    <w:basedOn w:val="DefaultParagraphFont"/>
    <w:uiPriority w:val="99"/>
    <w:unhideWhenUsed/>
    <w:rsid w:val="009628CE"/>
    <w:rPr>
      <w:color w:val="0000FF" w:themeColor="hyperlink"/>
      <w:u w:val="single"/>
    </w:rPr>
  </w:style>
  <w:style w:type="paragraph" w:styleId="Caption">
    <w:name w:val="caption"/>
    <w:basedOn w:val="Normal"/>
    <w:next w:val="Normal"/>
    <w:qFormat/>
    <w:rsid w:val="009628CE"/>
    <w:pPr>
      <w:spacing w:after="240" w:line="240" w:lineRule="auto"/>
      <w:ind w:firstLine="0"/>
      <w:jc w:val="center"/>
    </w:pPr>
    <w:rPr>
      <w:rFonts w:ascii="Calibri" w:eastAsia="Times New Roman" w:hAnsi="Calibri"/>
      <w:b/>
      <w:bCs/>
      <w:sz w:val="18"/>
      <w:szCs w:val="20"/>
      <w:lang w:val="sr-Cyrl-CS" w:eastAsia="sr-Latn-CS"/>
    </w:rPr>
  </w:style>
  <w:style w:type="paragraph" w:styleId="FootnoteText">
    <w:name w:val="footnote text"/>
    <w:basedOn w:val="Normal"/>
    <w:link w:val="FootnoteTextChar"/>
    <w:rsid w:val="009628CE"/>
    <w:pPr>
      <w:spacing w:before="0" w:line="240" w:lineRule="auto"/>
      <w:jc w:val="left"/>
    </w:pPr>
    <w:rPr>
      <w:rFonts w:eastAsia="Times New Roman"/>
      <w:sz w:val="20"/>
      <w:szCs w:val="20"/>
      <w:lang w:val="sr-Cyrl-CS" w:eastAsia="sr-Latn-CS"/>
    </w:rPr>
  </w:style>
  <w:style w:type="character" w:customStyle="1" w:styleId="FootnoteTextChar">
    <w:name w:val="Footnote Text Char"/>
    <w:basedOn w:val="DefaultParagraphFont"/>
    <w:link w:val="FootnoteText"/>
    <w:rsid w:val="009628CE"/>
    <w:rPr>
      <w:rFonts w:eastAsia="Times New Roman"/>
      <w:sz w:val="20"/>
      <w:szCs w:val="20"/>
      <w:lang w:val="sr-Cyrl-CS" w:eastAsia="sr-Latn-CS"/>
    </w:rPr>
  </w:style>
  <w:style w:type="character" w:styleId="FootnoteReference">
    <w:name w:val="footnote reference"/>
    <w:basedOn w:val="DefaultParagraphFont"/>
    <w:uiPriority w:val="99"/>
    <w:rsid w:val="009628CE"/>
    <w:rPr>
      <w:vertAlign w:val="superscript"/>
    </w:rPr>
  </w:style>
  <w:style w:type="table" w:customStyle="1" w:styleId="MediumShading1-Accent14">
    <w:name w:val="Medium Shading 1 - Accent 14"/>
    <w:basedOn w:val="TableNormal"/>
    <w:uiPriority w:val="63"/>
    <w:rsid w:val="009628CE"/>
    <w:pPr>
      <w:spacing w:before="0"/>
      <w:ind w:firstLine="0"/>
    </w:pPr>
    <w:rPr>
      <w:rFonts w:ascii="Calibri" w:eastAsia="Calibri" w:hAnsi="Calibri" w:cstheme="minorBidi"/>
      <w:sz w:val="20"/>
      <w:szCs w:val="20"/>
      <w:lang w:val="sr-Latn-CS" w:eastAsia="sr-Latn-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BalloonText">
    <w:name w:val="Balloon Text"/>
    <w:basedOn w:val="Normal"/>
    <w:link w:val="BalloonTextChar"/>
    <w:uiPriority w:val="99"/>
    <w:unhideWhenUsed/>
    <w:rsid w:val="009628C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628CE"/>
    <w:rPr>
      <w:rFonts w:ascii="Tahoma" w:hAnsi="Tahoma" w:cs="Tahoma"/>
      <w:sz w:val="16"/>
      <w:szCs w:val="16"/>
      <w:lang w:bidi="en-US"/>
    </w:rPr>
  </w:style>
  <w:style w:type="paragraph" w:styleId="Title">
    <w:name w:val="Title"/>
    <w:basedOn w:val="Normal"/>
    <w:next w:val="Normal"/>
    <w:link w:val="TitleChar"/>
    <w:uiPriority w:val="10"/>
    <w:qFormat/>
    <w:rsid w:val="009628CE"/>
    <w:pPr>
      <w:shd w:val="clear" w:color="auto" w:fill="244061" w:themeFill="accent1" w:themeFillShade="80"/>
      <w:spacing w:before="240" w:after="60"/>
      <w:jc w:val="center"/>
      <w:outlineLvl w:val="0"/>
    </w:pPr>
    <w:rPr>
      <w:rFonts w:asciiTheme="majorHAnsi" w:eastAsiaTheme="majorEastAsia" w:hAnsiTheme="majorHAnsi"/>
      <w:b/>
      <w:bCs/>
      <w:color w:val="FFFFFF" w:themeColor="background1"/>
      <w:spacing w:val="40"/>
      <w:kern w:val="28"/>
      <w:sz w:val="32"/>
      <w:szCs w:val="32"/>
    </w:rPr>
  </w:style>
  <w:style w:type="character" w:customStyle="1" w:styleId="TitleChar">
    <w:name w:val="Title Char"/>
    <w:basedOn w:val="DefaultParagraphFont"/>
    <w:link w:val="Title"/>
    <w:uiPriority w:val="10"/>
    <w:rsid w:val="009628CE"/>
    <w:rPr>
      <w:rFonts w:asciiTheme="majorHAnsi" w:eastAsiaTheme="majorEastAsia" w:hAnsiTheme="majorHAnsi"/>
      <w:b/>
      <w:bCs/>
      <w:color w:val="FFFFFF" w:themeColor="background1"/>
      <w:spacing w:val="40"/>
      <w:kern w:val="28"/>
      <w:sz w:val="32"/>
      <w:szCs w:val="32"/>
      <w:shd w:val="clear" w:color="auto" w:fill="244061" w:themeFill="accent1" w:themeFillShade="80"/>
      <w:lang w:bidi="en-US"/>
    </w:rPr>
  </w:style>
  <w:style w:type="paragraph" w:styleId="NoSpacing">
    <w:name w:val="No Spacing"/>
    <w:basedOn w:val="Normal"/>
    <w:link w:val="NoSpacingChar"/>
    <w:uiPriority w:val="1"/>
    <w:qFormat/>
    <w:rsid w:val="009628CE"/>
    <w:pPr>
      <w:ind w:firstLine="0"/>
    </w:pPr>
    <w:rPr>
      <w:szCs w:val="32"/>
    </w:rPr>
  </w:style>
  <w:style w:type="character" w:customStyle="1" w:styleId="NoSpacingChar">
    <w:name w:val="No Spacing Char"/>
    <w:basedOn w:val="DefaultParagraphFont"/>
    <w:link w:val="NoSpacing"/>
    <w:uiPriority w:val="1"/>
    <w:rsid w:val="009628CE"/>
    <w:rPr>
      <w:rFonts w:ascii="Cambria" w:hAnsi="Cambria"/>
      <w:szCs w:val="32"/>
      <w:lang w:bidi="en-US"/>
    </w:rPr>
  </w:style>
  <w:style w:type="paragraph" w:styleId="ListParagraph">
    <w:name w:val="List Paragraph"/>
    <w:basedOn w:val="Normal"/>
    <w:uiPriority w:val="34"/>
    <w:qFormat/>
    <w:rsid w:val="009628CE"/>
    <w:pPr>
      <w:ind w:left="720"/>
      <w:contextualSpacing/>
    </w:pPr>
  </w:style>
  <w:style w:type="paragraph" w:styleId="TOCHeading">
    <w:name w:val="TOC Heading"/>
    <w:basedOn w:val="Heading1"/>
    <w:next w:val="Normal"/>
    <w:uiPriority w:val="39"/>
    <w:unhideWhenUsed/>
    <w:qFormat/>
    <w:rsid w:val="009628CE"/>
    <w:pPr>
      <w:outlineLvl w:val="9"/>
    </w:pPr>
  </w:style>
  <w:style w:type="paragraph" w:customStyle="1" w:styleId="Table">
    <w:name w:val="Table"/>
    <w:basedOn w:val="Normal"/>
    <w:link w:val="TableChar"/>
    <w:qFormat/>
    <w:rsid w:val="009628CE"/>
    <w:pPr>
      <w:spacing w:before="0" w:after="0" w:line="240" w:lineRule="auto"/>
      <w:ind w:firstLine="0"/>
    </w:pPr>
    <w:rPr>
      <w:sz w:val="20"/>
      <w:szCs w:val="20"/>
    </w:rPr>
  </w:style>
  <w:style w:type="character" w:customStyle="1" w:styleId="TableChar">
    <w:name w:val="Table Char"/>
    <w:basedOn w:val="DefaultParagraphFont"/>
    <w:link w:val="Table"/>
    <w:rsid w:val="009628CE"/>
    <w:rPr>
      <w:rFonts w:ascii="Cambria" w:hAnsi="Cambria"/>
      <w:sz w:val="20"/>
      <w:szCs w:val="20"/>
      <w:lang w:bidi="en-US"/>
    </w:rPr>
  </w:style>
  <w:style w:type="paragraph" w:customStyle="1" w:styleId="TableMain">
    <w:name w:val="Table Main"/>
    <w:basedOn w:val="Table"/>
    <w:link w:val="TableMainChar"/>
    <w:qFormat/>
    <w:rsid w:val="009628CE"/>
    <w:pPr>
      <w:spacing w:before="120"/>
      <w:jc w:val="center"/>
    </w:pPr>
    <w:rPr>
      <w:rFonts w:eastAsiaTheme="majorEastAsia" w:cstheme="majorBidi"/>
      <w:bCs/>
    </w:rPr>
  </w:style>
  <w:style w:type="character" w:customStyle="1" w:styleId="TableMainChar">
    <w:name w:val="Table Main Char"/>
    <w:basedOn w:val="TableChar"/>
    <w:link w:val="TableMain"/>
    <w:rsid w:val="009628CE"/>
    <w:rPr>
      <w:rFonts w:ascii="Cambria" w:eastAsiaTheme="majorEastAsia" w:hAnsi="Cambria" w:cstheme="majorBidi"/>
      <w:bCs/>
      <w:sz w:val="20"/>
      <w:szCs w:val="20"/>
      <w:lang w:bidi="en-US"/>
    </w:rPr>
  </w:style>
  <w:style w:type="paragraph" w:styleId="TOC1">
    <w:name w:val="toc 1"/>
    <w:basedOn w:val="Normal"/>
    <w:next w:val="Normal"/>
    <w:autoRedefine/>
    <w:uiPriority w:val="39"/>
    <w:unhideWhenUsed/>
    <w:rsid w:val="007D2D6B"/>
    <w:pPr>
      <w:tabs>
        <w:tab w:val="left" w:pos="567"/>
        <w:tab w:val="right" w:leader="dot" w:pos="9061"/>
      </w:tabs>
      <w:spacing w:after="0" w:line="240" w:lineRule="auto"/>
      <w:ind w:left="567" w:hanging="567"/>
      <w:jc w:val="left"/>
    </w:pPr>
    <w:rPr>
      <w:rFonts w:cstheme="minorHAnsi"/>
      <w:b/>
      <w:bCs/>
      <w:caps/>
      <w:noProof/>
      <w:color w:val="365F91" w:themeColor="accent1" w:themeShade="BF"/>
      <w:szCs w:val="20"/>
      <w:lang w:val="sr-Cyrl-BA"/>
    </w:rPr>
  </w:style>
  <w:style w:type="paragraph" w:styleId="TOC2">
    <w:name w:val="toc 2"/>
    <w:basedOn w:val="Normal"/>
    <w:next w:val="Normal"/>
    <w:autoRedefine/>
    <w:uiPriority w:val="39"/>
    <w:unhideWhenUsed/>
    <w:rsid w:val="007D2D6B"/>
    <w:pPr>
      <w:tabs>
        <w:tab w:val="left" w:pos="851"/>
        <w:tab w:val="right" w:leader="dot" w:pos="9061"/>
      </w:tabs>
      <w:spacing w:before="0" w:after="0" w:line="240" w:lineRule="auto"/>
      <w:ind w:left="851" w:hanging="284"/>
      <w:jc w:val="left"/>
    </w:pPr>
    <w:rPr>
      <w:rFonts w:cstheme="minorHAnsi"/>
      <w:noProof/>
      <w:szCs w:val="20"/>
      <w:lang w:val="sr-Cyrl-BA"/>
    </w:rPr>
  </w:style>
  <w:style w:type="paragraph" w:styleId="TOC3">
    <w:name w:val="toc 3"/>
    <w:basedOn w:val="Normal"/>
    <w:next w:val="Normal"/>
    <w:autoRedefine/>
    <w:uiPriority w:val="39"/>
    <w:unhideWhenUsed/>
    <w:rsid w:val="00D033F3"/>
    <w:pPr>
      <w:tabs>
        <w:tab w:val="left" w:pos="1418"/>
        <w:tab w:val="right" w:leader="dot" w:pos="9072"/>
      </w:tabs>
      <w:spacing w:before="0" w:after="0" w:line="240" w:lineRule="auto"/>
      <w:ind w:left="1418" w:hanging="567"/>
      <w:jc w:val="left"/>
    </w:pPr>
    <w:rPr>
      <w:iCs/>
      <w:noProof/>
      <w:szCs w:val="20"/>
      <w:lang w:val="sr-Cyrl-BA"/>
    </w:rPr>
  </w:style>
  <w:style w:type="paragraph" w:styleId="TOC4">
    <w:name w:val="toc 4"/>
    <w:basedOn w:val="Normal"/>
    <w:next w:val="Normal"/>
    <w:autoRedefine/>
    <w:uiPriority w:val="39"/>
    <w:unhideWhenUsed/>
    <w:rsid w:val="009628CE"/>
    <w:pPr>
      <w:spacing w:before="0" w:after="0"/>
      <w:ind w:left="658" w:firstLine="0"/>
      <w:jc w:val="left"/>
    </w:pPr>
    <w:rPr>
      <w:sz w:val="18"/>
      <w:szCs w:val="18"/>
    </w:rPr>
  </w:style>
  <w:style w:type="paragraph" w:styleId="TOC5">
    <w:name w:val="toc 5"/>
    <w:basedOn w:val="Normal"/>
    <w:next w:val="Normal"/>
    <w:autoRedefine/>
    <w:uiPriority w:val="39"/>
    <w:unhideWhenUsed/>
    <w:rsid w:val="009628CE"/>
    <w:pPr>
      <w:spacing w:before="0" w:after="0"/>
      <w:ind w:left="880"/>
      <w:jc w:val="left"/>
    </w:pPr>
    <w:rPr>
      <w:sz w:val="18"/>
      <w:szCs w:val="18"/>
    </w:rPr>
  </w:style>
  <w:style w:type="paragraph" w:styleId="TOC6">
    <w:name w:val="toc 6"/>
    <w:basedOn w:val="Normal"/>
    <w:next w:val="Normal"/>
    <w:autoRedefine/>
    <w:uiPriority w:val="39"/>
    <w:unhideWhenUsed/>
    <w:rsid w:val="009628CE"/>
    <w:pPr>
      <w:spacing w:before="0" w:after="0"/>
      <w:ind w:left="1100"/>
      <w:jc w:val="left"/>
    </w:pPr>
    <w:rPr>
      <w:sz w:val="18"/>
      <w:szCs w:val="18"/>
    </w:rPr>
  </w:style>
  <w:style w:type="paragraph" w:styleId="TOC7">
    <w:name w:val="toc 7"/>
    <w:basedOn w:val="Normal"/>
    <w:next w:val="Normal"/>
    <w:autoRedefine/>
    <w:uiPriority w:val="39"/>
    <w:unhideWhenUsed/>
    <w:rsid w:val="009628CE"/>
    <w:pPr>
      <w:spacing w:before="0" w:after="0"/>
      <w:ind w:left="1320"/>
      <w:jc w:val="left"/>
    </w:pPr>
    <w:rPr>
      <w:sz w:val="18"/>
      <w:szCs w:val="18"/>
    </w:rPr>
  </w:style>
  <w:style w:type="paragraph" w:styleId="TOC8">
    <w:name w:val="toc 8"/>
    <w:basedOn w:val="Normal"/>
    <w:next w:val="Normal"/>
    <w:autoRedefine/>
    <w:uiPriority w:val="39"/>
    <w:unhideWhenUsed/>
    <w:rsid w:val="009628CE"/>
    <w:pPr>
      <w:spacing w:before="0" w:after="0"/>
      <w:ind w:left="1540"/>
      <w:jc w:val="left"/>
    </w:pPr>
    <w:rPr>
      <w:sz w:val="18"/>
      <w:szCs w:val="18"/>
    </w:rPr>
  </w:style>
  <w:style w:type="paragraph" w:styleId="TOC9">
    <w:name w:val="toc 9"/>
    <w:basedOn w:val="Normal"/>
    <w:next w:val="Normal"/>
    <w:autoRedefine/>
    <w:uiPriority w:val="39"/>
    <w:unhideWhenUsed/>
    <w:rsid w:val="009628CE"/>
    <w:pPr>
      <w:spacing w:before="0" w:after="0"/>
      <w:ind w:left="1760"/>
      <w:jc w:val="left"/>
    </w:pPr>
    <w:rPr>
      <w:sz w:val="18"/>
      <w:szCs w:val="18"/>
    </w:rPr>
  </w:style>
  <w:style w:type="paragraph" w:styleId="DocumentMap">
    <w:name w:val="Document Map"/>
    <w:basedOn w:val="Normal"/>
    <w:link w:val="DocumentMapChar"/>
    <w:uiPriority w:val="99"/>
    <w:semiHidden/>
    <w:unhideWhenUsed/>
    <w:rsid w:val="009628CE"/>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628CE"/>
    <w:rPr>
      <w:rFonts w:ascii="Tahoma" w:hAnsi="Tahoma" w:cs="Tahoma"/>
      <w:sz w:val="16"/>
      <w:szCs w:val="16"/>
      <w:lang w:bidi="en-US"/>
    </w:rPr>
  </w:style>
  <w:style w:type="paragraph" w:styleId="BodyText2">
    <w:name w:val="Body Text 2"/>
    <w:basedOn w:val="Normal"/>
    <w:link w:val="BodyText2Char"/>
    <w:rsid w:val="009628CE"/>
    <w:pPr>
      <w:spacing w:before="0" w:line="240" w:lineRule="auto"/>
    </w:pPr>
    <w:rPr>
      <w:rFonts w:ascii="CTimesRoman" w:eastAsia="Times New Roman" w:hAnsi="CTimesRoman"/>
      <w:szCs w:val="20"/>
    </w:rPr>
  </w:style>
  <w:style w:type="character" w:customStyle="1" w:styleId="BodyText2Char">
    <w:name w:val="Body Text 2 Char"/>
    <w:basedOn w:val="DefaultParagraphFont"/>
    <w:link w:val="BodyText2"/>
    <w:rsid w:val="009628CE"/>
    <w:rPr>
      <w:rFonts w:ascii="CTimesRoman" w:eastAsia="Times New Roman" w:hAnsi="CTimesRoman"/>
      <w:szCs w:val="20"/>
    </w:rPr>
  </w:style>
  <w:style w:type="paragraph" w:styleId="BodyText">
    <w:name w:val="Body Text"/>
    <w:basedOn w:val="Normal"/>
    <w:link w:val="BodyTextChar"/>
    <w:rsid w:val="009628CE"/>
    <w:pPr>
      <w:spacing w:before="0" w:line="240" w:lineRule="auto"/>
      <w:jc w:val="left"/>
    </w:pPr>
    <w:rPr>
      <w:rFonts w:eastAsia="Times New Roman"/>
      <w:lang w:val="sr-Cyrl-CS" w:eastAsia="sr-Latn-CS"/>
    </w:rPr>
  </w:style>
  <w:style w:type="character" w:customStyle="1" w:styleId="BodyTextChar">
    <w:name w:val="Body Text Char"/>
    <w:basedOn w:val="DefaultParagraphFont"/>
    <w:link w:val="BodyText"/>
    <w:rsid w:val="009628CE"/>
    <w:rPr>
      <w:rFonts w:eastAsia="Times New Roman"/>
      <w:szCs w:val="24"/>
      <w:lang w:val="sr-Cyrl-CS" w:eastAsia="sr-Latn-CS"/>
    </w:rPr>
  </w:style>
  <w:style w:type="paragraph" w:styleId="BodyTextIndent2">
    <w:name w:val="Body Text Indent 2"/>
    <w:basedOn w:val="Normal"/>
    <w:link w:val="BodyTextIndent2Char"/>
    <w:rsid w:val="009628CE"/>
    <w:pPr>
      <w:spacing w:before="0" w:line="480" w:lineRule="auto"/>
      <w:ind w:left="283"/>
      <w:jc w:val="left"/>
    </w:pPr>
    <w:rPr>
      <w:rFonts w:eastAsia="Times New Roman"/>
      <w:lang w:val="sr-Cyrl-CS" w:eastAsia="sr-Latn-CS"/>
    </w:rPr>
  </w:style>
  <w:style w:type="character" w:customStyle="1" w:styleId="BodyTextIndent2Char">
    <w:name w:val="Body Text Indent 2 Char"/>
    <w:basedOn w:val="DefaultParagraphFont"/>
    <w:link w:val="BodyTextIndent2"/>
    <w:rsid w:val="009628CE"/>
    <w:rPr>
      <w:rFonts w:eastAsia="Times New Roman"/>
      <w:szCs w:val="24"/>
      <w:lang w:val="sr-Cyrl-CS" w:eastAsia="sr-Latn-CS"/>
    </w:rPr>
  </w:style>
  <w:style w:type="table" w:styleId="MediumGrid3-Accent1">
    <w:name w:val="Medium Grid 3 Accent 1"/>
    <w:basedOn w:val="TableNormal"/>
    <w:uiPriority w:val="69"/>
    <w:rsid w:val="009628CE"/>
    <w:pPr>
      <w:spacing w:before="0"/>
      <w:ind w:firstLine="0"/>
    </w:pPr>
    <w:rPr>
      <w:rFonts w:ascii="Cambria" w:hAnsi="Cambria" w:cstheme="minorBidi"/>
      <w:lang w:val="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Shading1-Accent11">
    <w:name w:val="Medium Shading 1 - Accent 11"/>
    <w:basedOn w:val="TableNormal"/>
    <w:uiPriority w:val="63"/>
    <w:rsid w:val="009628CE"/>
    <w:pPr>
      <w:spacing w:before="0"/>
      <w:ind w:firstLine="0"/>
    </w:pPr>
    <w:rPr>
      <w:rFonts w:ascii="Cambria" w:hAnsi="Cambria" w:cstheme="minorBidi"/>
      <w:lang w:val="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Footnote">
    <w:name w:val="Footnote"/>
    <w:basedOn w:val="Normal"/>
    <w:link w:val="FootnoteChar"/>
    <w:qFormat/>
    <w:rsid w:val="009628CE"/>
    <w:pPr>
      <w:spacing w:before="0" w:after="0" w:line="240" w:lineRule="auto"/>
      <w:ind w:firstLine="0"/>
    </w:pPr>
    <w:rPr>
      <w:sz w:val="16"/>
      <w:lang w:val="sr-Cyrl-BA"/>
    </w:rPr>
  </w:style>
  <w:style w:type="character" w:customStyle="1" w:styleId="FootnoteChar">
    <w:name w:val="Footnote Char"/>
    <w:basedOn w:val="DefaultParagraphFont"/>
    <w:link w:val="Footnote"/>
    <w:rsid w:val="009628CE"/>
    <w:rPr>
      <w:rFonts w:ascii="Cambria" w:hAnsi="Cambria" w:cstheme="minorBidi"/>
      <w:sz w:val="16"/>
      <w:szCs w:val="24"/>
      <w:lang w:val="sr-Cyrl-BA" w:bidi="en-US"/>
    </w:rPr>
  </w:style>
  <w:style w:type="paragraph" w:styleId="Header">
    <w:name w:val="header"/>
    <w:basedOn w:val="Normal"/>
    <w:link w:val="HeaderChar"/>
    <w:uiPriority w:val="99"/>
    <w:unhideWhenUsed/>
    <w:rsid w:val="009628CE"/>
    <w:pPr>
      <w:tabs>
        <w:tab w:val="center" w:pos="4535"/>
        <w:tab w:val="right" w:pos="9071"/>
      </w:tabs>
      <w:spacing w:before="0" w:line="240" w:lineRule="auto"/>
    </w:pPr>
  </w:style>
  <w:style w:type="character" w:customStyle="1" w:styleId="HeaderChar">
    <w:name w:val="Header Char"/>
    <w:basedOn w:val="DefaultParagraphFont"/>
    <w:link w:val="Header"/>
    <w:uiPriority w:val="99"/>
    <w:rsid w:val="009628CE"/>
    <w:rPr>
      <w:rFonts w:ascii="Cambria" w:hAnsi="Cambria" w:cstheme="minorBidi"/>
      <w:szCs w:val="24"/>
      <w:lang w:bidi="en-US"/>
    </w:rPr>
  </w:style>
  <w:style w:type="paragraph" w:styleId="Footer">
    <w:name w:val="footer"/>
    <w:basedOn w:val="Normal"/>
    <w:link w:val="FooterChar"/>
    <w:uiPriority w:val="99"/>
    <w:unhideWhenUsed/>
    <w:rsid w:val="009628CE"/>
    <w:pPr>
      <w:tabs>
        <w:tab w:val="center" w:pos="4535"/>
        <w:tab w:val="right" w:pos="9071"/>
      </w:tabs>
      <w:spacing w:before="0" w:line="240" w:lineRule="auto"/>
    </w:pPr>
  </w:style>
  <w:style w:type="character" w:customStyle="1" w:styleId="FooterChar">
    <w:name w:val="Footer Char"/>
    <w:basedOn w:val="DefaultParagraphFont"/>
    <w:link w:val="Footer"/>
    <w:uiPriority w:val="99"/>
    <w:rsid w:val="009628CE"/>
    <w:rPr>
      <w:rFonts w:ascii="Cambria" w:hAnsi="Cambria" w:cstheme="minorBidi"/>
      <w:szCs w:val="24"/>
      <w:lang w:bidi="en-US"/>
    </w:rPr>
  </w:style>
  <w:style w:type="paragraph" w:styleId="BodyTextIndent">
    <w:name w:val="Body Text Indent"/>
    <w:basedOn w:val="Normal"/>
    <w:link w:val="BodyTextIndentChar"/>
    <w:uiPriority w:val="99"/>
    <w:rsid w:val="009628CE"/>
    <w:pPr>
      <w:spacing w:before="0" w:line="240" w:lineRule="auto"/>
      <w:ind w:left="283" w:firstLine="0"/>
      <w:jc w:val="left"/>
    </w:pPr>
    <w:rPr>
      <w:rFonts w:eastAsia="Times New Roman"/>
    </w:rPr>
  </w:style>
  <w:style w:type="character" w:customStyle="1" w:styleId="BodyTextIndentChar">
    <w:name w:val="Body Text Indent Char"/>
    <w:basedOn w:val="DefaultParagraphFont"/>
    <w:link w:val="BodyTextIndent"/>
    <w:uiPriority w:val="99"/>
    <w:rsid w:val="009628CE"/>
    <w:rPr>
      <w:rFonts w:eastAsia="Times New Roman"/>
      <w:szCs w:val="24"/>
    </w:rPr>
  </w:style>
  <w:style w:type="character" w:customStyle="1" w:styleId="BodyTextIndent3Char">
    <w:name w:val="Body Text Indent 3 Char"/>
    <w:basedOn w:val="DefaultParagraphFont"/>
    <w:link w:val="BodyTextIndent3"/>
    <w:uiPriority w:val="99"/>
    <w:semiHidden/>
    <w:rsid w:val="009628CE"/>
    <w:rPr>
      <w:sz w:val="16"/>
      <w:szCs w:val="16"/>
      <w:lang w:bidi="en-US"/>
    </w:rPr>
  </w:style>
  <w:style w:type="paragraph" w:styleId="BodyTextIndent3">
    <w:name w:val="Body Text Indent 3"/>
    <w:basedOn w:val="Normal"/>
    <w:link w:val="BodyTextIndent3Char"/>
    <w:uiPriority w:val="99"/>
    <w:semiHidden/>
    <w:unhideWhenUsed/>
    <w:rsid w:val="009628CE"/>
    <w:pPr>
      <w:ind w:left="283"/>
    </w:pPr>
    <w:rPr>
      <w:sz w:val="16"/>
      <w:szCs w:val="16"/>
    </w:rPr>
  </w:style>
  <w:style w:type="character" w:customStyle="1" w:styleId="BodyTextIndent3Char1">
    <w:name w:val="Body Text Indent 3 Char1"/>
    <w:basedOn w:val="DefaultParagraphFont"/>
    <w:uiPriority w:val="99"/>
    <w:semiHidden/>
    <w:rsid w:val="009628CE"/>
    <w:rPr>
      <w:rFonts w:ascii="Cambria" w:hAnsi="Cambria" w:cstheme="minorBidi"/>
      <w:sz w:val="16"/>
      <w:szCs w:val="16"/>
      <w:lang w:bidi="en-US"/>
    </w:rPr>
  </w:style>
  <w:style w:type="paragraph" w:styleId="PlainText">
    <w:name w:val="Plain Text"/>
    <w:basedOn w:val="Normal"/>
    <w:link w:val="PlainTextChar"/>
    <w:rsid w:val="009628CE"/>
    <w:pPr>
      <w:spacing w:before="0" w:line="240" w:lineRule="auto"/>
      <w:ind w:firstLine="0"/>
      <w:jc w:val="left"/>
    </w:pPr>
    <w:rPr>
      <w:rFonts w:ascii="Courier New" w:eastAsia="Times New Roman" w:hAnsi="Courier New" w:cs="Courier New"/>
      <w:sz w:val="20"/>
      <w:szCs w:val="20"/>
      <w:lang w:val="sr-Latn-CS" w:eastAsia="sr-Latn-CS"/>
    </w:rPr>
  </w:style>
  <w:style w:type="character" w:customStyle="1" w:styleId="PlainTextChar">
    <w:name w:val="Plain Text Char"/>
    <w:basedOn w:val="DefaultParagraphFont"/>
    <w:link w:val="PlainText"/>
    <w:rsid w:val="009628CE"/>
    <w:rPr>
      <w:rFonts w:ascii="Courier New" w:eastAsia="Times New Roman" w:hAnsi="Courier New" w:cs="Courier New"/>
      <w:sz w:val="20"/>
      <w:szCs w:val="20"/>
      <w:lang w:val="sr-Latn-CS" w:eastAsia="sr-Latn-CS"/>
    </w:rPr>
  </w:style>
  <w:style w:type="table" w:customStyle="1" w:styleId="TabelaKomisija">
    <w:name w:val="Tabela Komisija"/>
    <w:basedOn w:val="TableNormal"/>
    <w:uiPriority w:val="99"/>
    <w:qFormat/>
    <w:rsid w:val="009628CE"/>
    <w:pPr>
      <w:spacing w:before="0"/>
      <w:ind w:firstLine="0"/>
    </w:pPr>
    <w:rPr>
      <w:rFonts w:ascii="Cambria" w:hAnsi="Cambria" w:cstheme="minorBidi"/>
      <w:lang w:val="en-AU"/>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rPr>
        <w:b/>
        <w:color w:val="FFFFFF" w:themeColor="background1"/>
      </w:rPr>
      <w:tblPr/>
      <w:tcPr>
        <w:shd w:val="clear" w:color="auto" w:fill="4F81BD" w:themeFill="accent1"/>
      </w:tcPr>
    </w:tblStylePr>
    <w:tblStylePr w:type="lastRow">
      <w:rPr>
        <w:b/>
        <w:color w:val="FFFFFF" w:themeColor="background1"/>
      </w:rPr>
      <w:tblPr/>
      <w:tcPr>
        <w:shd w:val="clear" w:color="auto" w:fill="4F81BD" w:themeFill="accent1"/>
      </w:tcPr>
    </w:tblStylePr>
    <w:tblStylePr w:type="firstCol">
      <w:rPr>
        <w:color w:val="FFFFFF" w:themeColor="background1"/>
      </w:rPr>
      <w:tblPr/>
      <w:tcPr>
        <w:shd w:val="clear" w:color="auto" w:fill="4F81BD" w:themeFill="accent1"/>
      </w:tcPr>
    </w:tblStylePr>
    <w:tblStylePr w:type="lastCol">
      <w:rPr>
        <w:b/>
      </w:rPr>
      <w:tblPr/>
      <w:tcPr>
        <w:shd w:val="clear" w:color="auto" w:fill="95B3D7" w:themeFill="accent1" w:themeFillTint="99"/>
      </w:tcPr>
    </w:tblStylePr>
    <w:tblStylePr w:type="band1Horz">
      <w:tblPr/>
      <w:tcPr>
        <w:shd w:val="clear" w:color="auto" w:fill="B8CCE4" w:themeFill="accent1" w:themeFillTint="66"/>
      </w:tcPr>
    </w:tblStylePr>
  </w:style>
  <w:style w:type="paragraph" w:customStyle="1" w:styleId="T-98-2">
    <w:name w:val="T-9/8-2"/>
    <w:basedOn w:val="Normal"/>
    <w:rsid w:val="009628CE"/>
    <w:pPr>
      <w:widowControl w:val="0"/>
      <w:tabs>
        <w:tab w:val="left" w:pos="2153"/>
      </w:tabs>
      <w:autoSpaceDE w:val="0"/>
      <w:autoSpaceDN w:val="0"/>
      <w:adjustRightInd w:val="0"/>
      <w:spacing w:before="0" w:after="43" w:line="240" w:lineRule="auto"/>
      <w:ind w:firstLine="342"/>
    </w:pPr>
    <w:rPr>
      <w:rFonts w:ascii="Times-NewRoman" w:eastAsia="MS Mincho" w:hAnsi="Times-NewRoman"/>
      <w:sz w:val="19"/>
      <w:szCs w:val="19"/>
      <w:lang w:val="sr-Cyrl-CS"/>
    </w:rPr>
  </w:style>
  <w:style w:type="paragraph" w:customStyle="1" w:styleId="Default">
    <w:name w:val="Default"/>
    <w:rsid w:val="009628CE"/>
    <w:pPr>
      <w:autoSpaceDE w:val="0"/>
      <w:autoSpaceDN w:val="0"/>
      <w:adjustRightInd w:val="0"/>
      <w:spacing w:before="0"/>
      <w:ind w:firstLine="0"/>
    </w:pPr>
    <w:rPr>
      <w:color w:val="000000"/>
      <w:lang w:val="sr-Latn-CS"/>
    </w:rPr>
  </w:style>
  <w:style w:type="character" w:customStyle="1" w:styleId="CommentTextChar">
    <w:name w:val="Comment Text Char"/>
    <w:basedOn w:val="DefaultParagraphFont"/>
    <w:link w:val="CommentText"/>
    <w:uiPriority w:val="99"/>
    <w:rsid w:val="009628CE"/>
    <w:rPr>
      <w:sz w:val="20"/>
      <w:szCs w:val="20"/>
      <w:lang w:bidi="en-US"/>
    </w:rPr>
  </w:style>
  <w:style w:type="paragraph" w:styleId="CommentText">
    <w:name w:val="annotation text"/>
    <w:basedOn w:val="Normal"/>
    <w:link w:val="CommentTextChar"/>
    <w:uiPriority w:val="99"/>
    <w:unhideWhenUsed/>
    <w:rsid w:val="009628CE"/>
    <w:pPr>
      <w:spacing w:line="240" w:lineRule="auto"/>
    </w:pPr>
    <w:rPr>
      <w:sz w:val="20"/>
      <w:szCs w:val="20"/>
    </w:rPr>
  </w:style>
  <w:style w:type="character" w:customStyle="1" w:styleId="CommentTextChar1">
    <w:name w:val="Comment Text Char1"/>
    <w:basedOn w:val="DefaultParagraphFont"/>
    <w:uiPriority w:val="99"/>
    <w:semiHidden/>
    <w:rsid w:val="009628CE"/>
    <w:rPr>
      <w:rFonts w:ascii="Cambria" w:hAnsi="Cambria" w:cstheme="minorBidi"/>
      <w:sz w:val="20"/>
      <w:szCs w:val="20"/>
      <w:lang w:bidi="en-US"/>
    </w:rPr>
  </w:style>
  <w:style w:type="character" w:customStyle="1" w:styleId="CommentSubjectChar">
    <w:name w:val="Comment Subject Char"/>
    <w:basedOn w:val="CommentTextChar"/>
    <w:link w:val="CommentSubject"/>
    <w:uiPriority w:val="99"/>
    <w:semiHidden/>
    <w:rsid w:val="009628CE"/>
    <w:rPr>
      <w:b/>
      <w:bCs/>
      <w:sz w:val="20"/>
      <w:szCs w:val="20"/>
      <w:lang w:bidi="en-US"/>
    </w:rPr>
  </w:style>
  <w:style w:type="paragraph" w:styleId="CommentSubject">
    <w:name w:val="annotation subject"/>
    <w:basedOn w:val="CommentText"/>
    <w:next w:val="CommentText"/>
    <w:link w:val="CommentSubjectChar"/>
    <w:uiPriority w:val="99"/>
    <w:semiHidden/>
    <w:unhideWhenUsed/>
    <w:rsid w:val="009628CE"/>
    <w:rPr>
      <w:b/>
      <w:bCs/>
    </w:rPr>
  </w:style>
  <w:style w:type="character" w:customStyle="1" w:styleId="CommentSubjectChar1">
    <w:name w:val="Comment Subject Char1"/>
    <w:basedOn w:val="CommentTextChar1"/>
    <w:uiPriority w:val="99"/>
    <w:semiHidden/>
    <w:rsid w:val="009628CE"/>
    <w:rPr>
      <w:rFonts w:ascii="Cambria" w:hAnsi="Cambria" w:cstheme="minorBidi"/>
      <w:b/>
      <w:bCs/>
      <w:sz w:val="20"/>
      <w:szCs w:val="20"/>
      <w:lang w:bidi="en-US"/>
    </w:rPr>
  </w:style>
  <w:style w:type="table" w:customStyle="1" w:styleId="LightShading1">
    <w:name w:val="Light Shading1"/>
    <w:basedOn w:val="TableNormal"/>
    <w:uiPriority w:val="60"/>
    <w:rsid w:val="009628CE"/>
    <w:pPr>
      <w:spacing w:before="0"/>
      <w:ind w:firstLine="0"/>
    </w:pPr>
    <w:rPr>
      <w:rFonts w:ascii="Cambria" w:hAnsi="Cambria" w:cstheme="minorBidi"/>
      <w:color w:val="000000" w:themeColor="text1" w:themeShade="BF"/>
      <w:lang w:val="en-A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List-Accent11">
    <w:name w:val="Light List - Accent 11"/>
    <w:basedOn w:val="TableNormal"/>
    <w:uiPriority w:val="61"/>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2">
    <w:name w:val="Medium Grid 3 Accent 2"/>
    <w:basedOn w:val="TableNormal"/>
    <w:uiPriority w:val="69"/>
    <w:rsid w:val="009628CE"/>
    <w:pPr>
      <w:spacing w:before="0"/>
      <w:ind w:firstLine="0"/>
    </w:pPr>
    <w:rPr>
      <w:rFonts w:ascii="Cambria" w:hAnsi="Cambria" w:cstheme="minorBidi"/>
      <w:lang w:val="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DarkList-Accent1">
    <w:name w:val="Dark List Accent 1"/>
    <w:basedOn w:val="TableNormal"/>
    <w:uiPriority w:val="70"/>
    <w:rsid w:val="009628CE"/>
    <w:pPr>
      <w:spacing w:before="0"/>
      <w:ind w:firstLine="0"/>
    </w:pPr>
    <w:rPr>
      <w:rFonts w:ascii="Cambria" w:hAnsi="Cambria" w:cstheme="minorBidi"/>
      <w:color w:val="FFFFFF" w:themeColor="background1"/>
      <w:lang w:val="en-AU"/>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Shading1-Accent2">
    <w:name w:val="Medium Shading 1 Accent 2"/>
    <w:basedOn w:val="TableNormal"/>
    <w:uiPriority w:val="63"/>
    <w:rsid w:val="009628CE"/>
    <w:pPr>
      <w:spacing w:before="0"/>
      <w:ind w:firstLine="0"/>
    </w:pPr>
    <w:rPr>
      <w:rFonts w:ascii="Calibri" w:eastAsia="Calibri" w:hAnsi="Calibri" w:cstheme="minorBidi"/>
      <w:sz w:val="20"/>
      <w:szCs w:val="20"/>
      <w:lang w:val="sr-Latn-CS" w:eastAsia="sr-Latn-C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character" w:customStyle="1" w:styleId="EndnoteTextChar">
    <w:name w:val="Endnote Text Char"/>
    <w:basedOn w:val="DefaultParagraphFont"/>
    <w:link w:val="EndnoteText"/>
    <w:uiPriority w:val="99"/>
    <w:semiHidden/>
    <w:rsid w:val="009628CE"/>
    <w:rPr>
      <w:rFonts w:ascii="CTimesRoman" w:eastAsia="Times New Roman" w:hAnsi="CTimesRoman"/>
      <w:sz w:val="20"/>
      <w:szCs w:val="20"/>
    </w:rPr>
  </w:style>
  <w:style w:type="paragraph" w:styleId="EndnoteText">
    <w:name w:val="endnote text"/>
    <w:basedOn w:val="Normal"/>
    <w:link w:val="EndnoteTextChar"/>
    <w:uiPriority w:val="99"/>
    <w:semiHidden/>
    <w:unhideWhenUsed/>
    <w:rsid w:val="009628CE"/>
    <w:pPr>
      <w:spacing w:after="0" w:line="240" w:lineRule="auto"/>
      <w:ind w:firstLine="0"/>
      <w:jc w:val="left"/>
    </w:pPr>
    <w:rPr>
      <w:rFonts w:ascii="CTimesRoman" w:eastAsia="Times New Roman" w:hAnsi="CTimesRoman"/>
      <w:sz w:val="20"/>
      <w:szCs w:val="20"/>
    </w:rPr>
  </w:style>
  <w:style w:type="character" w:customStyle="1" w:styleId="EndnoteTextChar1">
    <w:name w:val="Endnote Text Char1"/>
    <w:basedOn w:val="DefaultParagraphFont"/>
    <w:uiPriority w:val="99"/>
    <w:semiHidden/>
    <w:rsid w:val="009628CE"/>
    <w:rPr>
      <w:rFonts w:ascii="Cambria" w:hAnsi="Cambria" w:cstheme="minorBidi"/>
      <w:sz w:val="20"/>
      <w:szCs w:val="20"/>
      <w:lang w:bidi="en-US"/>
    </w:rPr>
  </w:style>
  <w:style w:type="paragraph" w:customStyle="1" w:styleId="style1">
    <w:name w:val="style1"/>
    <w:basedOn w:val="Normal"/>
    <w:uiPriority w:val="99"/>
    <w:rsid w:val="009628CE"/>
    <w:pPr>
      <w:spacing w:before="100" w:beforeAutospacing="1" w:after="100" w:afterAutospacing="1" w:line="240" w:lineRule="auto"/>
      <w:ind w:firstLine="0"/>
      <w:jc w:val="left"/>
    </w:pPr>
    <w:rPr>
      <w:rFonts w:eastAsia="Times New Roman"/>
      <w:lang w:val="sr-Latn-CS" w:eastAsia="sr-Latn-CS"/>
    </w:rPr>
  </w:style>
  <w:style w:type="character" w:customStyle="1" w:styleId="pch">
    <w:name w:val="pch"/>
    <w:basedOn w:val="DefaultParagraphFont"/>
    <w:rsid w:val="009628CE"/>
  </w:style>
  <w:style w:type="table" w:customStyle="1" w:styleId="LightList-Accent12">
    <w:name w:val="Light List - Accent 12"/>
    <w:basedOn w:val="TableNormal"/>
    <w:uiPriority w:val="61"/>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unhideWhenUsed/>
    <w:rsid w:val="009628CE"/>
    <w:pPr>
      <w:spacing w:before="100" w:beforeAutospacing="1" w:after="100" w:afterAutospacing="1" w:line="240" w:lineRule="auto"/>
      <w:ind w:firstLine="0"/>
      <w:jc w:val="left"/>
    </w:pPr>
    <w:rPr>
      <w:rFonts w:eastAsia="Times New Roman"/>
      <w:lang w:val="sr-Latn-CS" w:eastAsia="sr-Latn-CS"/>
    </w:rPr>
  </w:style>
  <w:style w:type="table" w:customStyle="1" w:styleId="LightGrid-Accent11">
    <w:name w:val="Light Grid - Accent 11"/>
    <w:basedOn w:val="TableNormal"/>
    <w:uiPriority w:val="62"/>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2">
    <w:name w:val="Light Grid - Accent 12"/>
    <w:basedOn w:val="TableNormal"/>
    <w:uiPriority w:val="62"/>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apple-style-span">
    <w:name w:val="apple-style-span"/>
    <w:basedOn w:val="DefaultParagraphFont"/>
    <w:rsid w:val="009628CE"/>
  </w:style>
  <w:style w:type="character" w:customStyle="1" w:styleId="podnaslov">
    <w:name w:val="podnaslov"/>
    <w:basedOn w:val="DefaultParagraphFont"/>
    <w:rsid w:val="009628CE"/>
  </w:style>
  <w:style w:type="character" w:customStyle="1" w:styleId="headgrau">
    <w:name w:val="headgrau"/>
    <w:basedOn w:val="DefaultParagraphFont"/>
    <w:rsid w:val="009628CE"/>
  </w:style>
  <w:style w:type="character" w:customStyle="1" w:styleId="headgrau2">
    <w:name w:val="headgrau2"/>
    <w:basedOn w:val="DefaultParagraphFont"/>
    <w:rsid w:val="009628CE"/>
  </w:style>
  <w:style w:type="character" w:customStyle="1" w:styleId="txtbold">
    <w:name w:val="txtbold"/>
    <w:basedOn w:val="DefaultParagraphFont"/>
    <w:rsid w:val="009628CE"/>
  </w:style>
  <w:style w:type="character" w:customStyle="1" w:styleId="txtpetit">
    <w:name w:val="txtpetit"/>
    <w:basedOn w:val="DefaultParagraphFont"/>
    <w:rsid w:val="009628CE"/>
  </w:style>
  <w:style w:type="table" w:customStyle="1" w:styleId="LightList-Accent14">
    <w:name w:val="Light List - Accent 14"/>
    <w:basedOn w:val="TableNormal"/>
    <w:uiPriority w:val="61"/>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shorttext">
    <w:name w:val="short_text"/>
    <w:basedOn w:val="DefaultParagraphFont"/>
    <w:rsid w:val="009628CE"/>
  </w:style>
  <w:style w:type="table" w:customStyle="1" w:styleId="LightList-Accent13">
    <w:name w:val="Light List - Accent 13"/>
    <w:basedOn w:val="TableNormal"/>
    <w:uiPriority w:val="61"/>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a13">
    <w:name w:val="Pa13"/>
    <w:basedOn w:val="Default"/>
    <w:next w:val="Default"/>
    <w:uiPriority w:val="99"/>
    <w:rsid w:val="009628CE"/>
    <w:pPr>
      <w:spacing w:line="201" w:lineRule="atLeast"/>
    </w:pPr>
    <w:rPr>
      <w:rFonts w:ascii="Minion Pro" w:hAnsi="Minion Pro" w:cstheme="minorBidi"/>
      <w:color w:val="auto"/>
      <w:lang w:eastAsia="hr-HR"/>
    </w:rPr>
  </w:style>
  <w:style w:type="paragraph" w:customStyle="1" w:styleId="Pa19">
    <w:name w:val="Pa19"/>
    <w:basedOn w:val="Default"/>
    <w:next w:val="Default"/>
    <w:uiPriority w:val="99"/>
    <w:rsid w:val="009628CE"/>
    <w:pPr>
      <w:spacing w:line="201" w:lineRule="atLeast"/>
    </w:pPr>
    <w:rPr>
      <w:rFonts w:ascii="Minion Pro" w:hAnsi="Minion Pro" w:cstheme="minorBidi"/>
      <w:color w:val="auto"/>
      <w:lang w:eastAsia="hr-HR"/>
    </w:rPr>
  </w:style>
  <w:style w:type="paragraph" w:customStyle="1" w:styleId="Pa6">
    <w:name w:val="Pa6"/>
    <w:basedOn w:val="Default"/>
    <w:next w:val="Default"/>
    <w:uiPriority w:val="99"/>
    <w:rsid w:val="009628CE"/>
    <w:pPr>
      <w:spacing w:line="201" w:lineRule="atLeast"/>
    </w:pPr>
    <w:rPr>
      <w:rFonts w:ascii="Minion Pro" w:hAnsi="Minion Pro" w:cstheme="minorBidi"/>
      <w:color w:val="auto"/>
      <w:lang w:eastAsia="hr-HR"/>
    </w:rPr>
  </w:style>
  <w:style w:type="paragraph" w:customStyle="1" w:styleId="Style15">
    <w:name w:val="Style15"/>
    <w:basedOn w:val="Normal"/>
    <w:uiPriority w:val="99"/>
    <w:rsid w:val="009628CE"/>
    <w:pPr>
      <w:widowControl w:val="0"/>
      <w:autoSpaceDE w:val="0"/>
      <w:autoSpaceDN w:val="0"/>
      <w:adjustRightInd w:val="0"/>
      <w:spacing w:before="0" w:after="0" w:line="296" w:lineRule="exact"/>
      <w:ind w:firstLine="691"/>
    </w:pPr>
    <w:rPr>
      <w:rFonts w:ascii="Palatino Linotype" w:eastAsiaTheme="minorEastAsia" w:hAnsi="Palatino Linotype"/>
      <w:lang w:val="sr-Latn-BA" w:eastAsia="sr-Latn-BA"/>
    </w:rPr>
  </w:style>
  <w:style w:type="character" w:customStyle="1" w:styleId="FontStyle151">
    <w:name w:val="Font Style151"/>
    <w:basedOn w:val="DefaultParagraphFont"/>
    <w:uiPriority w:val="99"/>
    <w:rsid w:val="009628CE"/>
    <w:rPr>
      <w:rFonts w:ascii="Calibri" w:hAnsi="Calibri" w:cs="Calibri"/>
      <w:color w:val="000000"/>
      <w:sz w:val="16"/>
      <w:szCs w:val="16"/>
    </w:rPr>
  </w:style>
  <w:style w:type="paragraph" w:customStyle="1" w:styleId="Style54">
    <w:name w:val="Style54"/>
    <w:basedOn w:val="Normal"/>
    <w:uiPriority w:val="99"/>
    <w:rsid w:val="009628CE"/>
    <w:pPr>
      <w:widowControl w:val="0"/>
      <w:autoSpaceDE w:val="0"/>
      <w:autoSpaceDN w:val="0"/>
      <w:adjustRightInd w:val="0"/>
      <w:spacing w:before="0" w:after="0" w:line="293" w:lineRule="exact"/>
      <w:ind w:hanging="336"/>
    </w:pPr>
    <w:rPr>
      <w:rFonts w:ascii="Palatino Linotype" w:eastAsiaTheme="minorEastAsia" w:hAnsi="Palatino Linotype"/>
      <w:lang w:val="sr-Latn-BA" w:eastAsia="sr-Latn-BA"/>
    </w:rPr>
  </w:style>
  <w:style w:type="paragraph" w:customStyle="1" w:styleId="Style59">
    <w:name w:val="Style59"/>
    <w:basedOn w:val="Normal"/>
    <w:uiPriority w:val="99"/>
    <w:rsid w:val="009628CE"/>
    <w:pPr>
      <w:widowControl w:val="0"/>
      <w:autoSpaceDE w:val="0"/>
      <w:autoSpaceDN w:val="0"/>
      <w:adjustRightInd w:val="0"/>
      <w:spacing w:before="0" w:after="0" w:line="269" w:lineRule="exact"/>
      <w:ind w:firstLine="566"/>
    </w:pPr>
    <w:rPr>
      <w:rFonts w:ascii="Palatino Linotype" w:eastAsiaTheme="minorEastAsia" w:hAnsi="Palatino Linotype"/>
      <w:lang w:val="sr-Latn-BA" w:eastAsia="sr-Latn-BA"/>
    </w:rPr>
  </w:style>
  <w:style w:type="paragraph" w:customStyle="1" w:styleId="Style83">
    <w:name w:val="Style83"/>
    <w:basedOn w:val="Normal"/>
    <w:uiPriority w:val="99"/>
    <w:rsid w:val="009628CE"/>
    <w:pPr>
      <w:widowControl w:val="0"/>
      <w:autoSpaceDE w:val="0"/>
      <w:autoSpaceDN w:val="0"/>
      <w:adjustRightInd w:val="0"/>
      <w:spacing w:before="0" w:after="0" w:line="240" w:lineRule="auto"/>
      <w:ind w:firstLine="0"/>
      <w:jc w:val="left"/>
    </w:pPr>
    <w:rPr>
      <w:rFonts w:ascii="Palatino Linotype" w:eastAsiaTheme="minorEastAsia" w:hAnsi="Palatino Linotype"/>
      <w:lang w:val="sr-Latn-BA" w:eastAsia="sr-Latn-BA"/>
    </w:rPr>
  </w:style>
  <w:style w:type="character" w:styleId="Strong">
    <w:name w:val="Strong"/>
    <w:basedOn w:val="DefaultParagraphFont"/>
    <w:uiPriority w:val="22"/>
    <w:qFormat/>
    <w:rsid w:val="009628CE"/>
    <w:rPr>
      <w:b/>
      <w:bCs/>
    </w:rPr>
  </w:style>
  <w:style w:type="character" w:styleId="Emphasis">
    <w:name w:val="Emphasis"/>
    <w:basedOn w:val="DefaultParagraphFont"/>
    <w:uiPriority w:val="20"/>
    <w:qFormat/>
    <w:rsid w:val="009628CE"/>
    <w:rPr>
      <w:i/>
      <w:iCs/>
    </w:rPr>
  </w:style>
  <w:style w:type="table" w:styleId="TableGrid">
    <w:name w:val="Table Grid"/>
    <w:basedOn w:val="TableNormal"/>
    <w:uiPriority w:val="59"/>
    <w:rsid w:val="009628CE"/>
    <w:pPr>
      <w:spacing w:before="0"/>
      <w:ind w:firstLine="0"/>
    </w:pPr>
    <w:rPr>
      <w:rFonts w:asciiTheme="minorHAnsi" w:hAnsiTheme="minorHAnsi" w:cstheme="minorBidi"/>
      <w:sz w:val="22"/>
      <w:lang w:val="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uiPriority w:val="60"/>
    <w:rsid w:val="009628CE"/>
    <w:pPr>
      <w:spacing w:before="0"/>
      <w:jc w:val="both"/>
    </w:pPr>
    <w:rPr>
      <w:rFonts w:ascii="Cambria" w:hAnsi="Cambria" w:cstheme="minorBidi"/>
      <w:color w:val="365F91" w:themeColor="accent1" w:themeShade="BF"/>
      <w:lang w:val="sr-Latn-B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9628CE"/>
    <w:pPr>
      <w:spacing w:before="0"/>
      <w:jc w:val="both"/>
    </w:pPr>
    <w:rPr>
      <w:rFonts w:ascii="Cambria" w:hAnsi="Cambria" w:cstheme="minorBidi"/>
      <w:color w:val="943634" w:themeColor="accent2" w:themeShade="BF"/>
      <w:lang w:val="sr-Latn-BA"/>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ColorfulList-Accent6">
    <w:name w:val="Colorful List Accent 6"/>
    <w:basedOn w:val="TableNormal"/>
    <w:uiPriority w:val="72"/>
    <w:rsid w:val="009628CE"/>
    <w:pPr>
      <w:spacing w:before="0"/>
      <w:jc w:val="both"/>
    </w:pPr>
    <w:rPr>
      <w:rFonts w:ascii="Cambria" w:hAnsi="Cambria" w:cstheme="minorBidi"/>
      <w:color w:val="000000" w:themeColor="text1"/>
      <w:lang w:val="sr-Latn-BA"/>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MediumList1-Accent11">
    <w:name w:val="Medium List 1 - Accent 11"/>
    <w:basedOn w:val="TableNormal"/>
    <w:uiPriority w:val="65"/>
    <w:rsid w:val="009628CE"/>
    <w:pPr>
      <w:spacing w:before="0"/>
      <w:jc w:val="both"/>
    </w:pPr>
    <w:rPr>
      <w:rFonts w:ascii="Cambria" w:hAnsi="Cambria" w:cstheme="minorBidi"/>
      <w:color w:val="000000" w:themeColor="text1"/>
      <w:lang w:val="sr-Latn-BA"/>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2-Accent1">
    <w:name w:val="Medium List 2 Accent 1"/>
    <w:basedOn w:val="TableNormal"/>
    <w:uiPriority w:val="66"/>
    <w:rsid w:val="009628CE"/>
    <w:pPr>
      <w:spacing w:before="0"/>
      <w:jc w:val="both"/>
    </w:pPr>
    <w:rPr>
      <w:rFonts w:asciiTheme="majorHAnsi" w:eastAsiaTheme="majorEastAsia" w:hAnsiTheme="majorHAnsi" w:cstheme="majorBidi"/>
      <w:color w:val="000000" w:themeColor="text1"/>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unhideWhenUsed/>
    <w:rsid w:val="009628CE"/>
    <w:rPr>
      <w:sz w:val="16"/>
      <w:szCs w:val="16"/>
    </w:rPr>
  </w:style>
  <w:style w:type="table" w:customStyle="1" w:styleId="LightGrid-Accent13">
    <w:name w:val="Light Grid - Accent 13"/>
    <w:basedOn w:val="TableNormal"/>
    <w:uiPriority w:val="62"/>
    <w:rsid w:val="009628CE"/>
    <w:pPr>
      <w:spacing w:before="0"/>
      <w:ind w:firstLine="0"/>
    </w:pPr>
    <w:rPr>
      <w:rFonts w:asciiTheme="minorHAnsi" w:hAnsiTheme="minorHAnsi" w:cstheme="minorBidi"/>
      <w:sz w:val="22"/>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4">
    <w:name w:val="Light Grid - Accent 14"/>
    <w:basedOn w:val="TableNormal"/>
    <w:uiPriority w:val="62"/>
    <w:rsid w:val="009628CE"/>
    <w:pPr>
      <w:spacing w:before="0"/>
      <w:ind w:firstLine="0"/>
    </w:pPr>
    <w:rPr>
      <w:rFonts w:asciiTheme="minorHAnsi" w:hAnsiTheme="minorHAnsi" w:cstheme="minorBidi"/>
      <w:sz w:val="22"/>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apple-converted-space">
    <w:name w:val="apple-converted-space"/>
    <w:basedOn w:val="DefaultParagraphFont"/>
    <w:rsid w:val="009628CE"/>
  </w:style>
  <w:style w:type="table" w:customStyle="1" w:styleId="Style10">
    <w:name w:val="Style1"/>
    <w:basedOn w:val="TableNormal"/>
    <w:uiPriority w:val="99"/>
    <w:rsid w:val="009628CE"/>
    <w:pPr>
      <w:spacing w:before="0"/>
      <w:ind w:firstLine="0"/>
    </w:pPr>
    <w:rPr>
      <w:rFonts w:asciiTheme="minorHAnsi" w:eastAsiaTheme="minorEastAsia" w:hAnsiTheme="minorHAnsi" w:cstheme="minorBidi"/>
      <w:sz w:val="22"/>
      <w:lang w:val="sr-Latn-BA" w:bidi="en-US"/>
    </w:rPr>
    <w:tblPr/>
  </w:style>
  <w:style w:type="table" w:styleId="LightGrid-Accent2">
    <w:name w:val="Light Grid Accent 2"/>
    <w:basedOn w:val="TableNormal"/>
    <w:uiPriority w:val="62"/>
    <w:rsid w:val="009628CE"/>
    <w:pPr>
      <w:spacing w:before="0"/>
      <w:jc w:val="both"/>
    </w:pPr>
    <w:rPr>
      <w:rFonts w:ascii="Cambria" w:hAnsi="Cambria" w:cstheme="minorBidi"/>
      <w:lang w:val="sr-Latn-BA"/>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LightGrid-Accent15">
    <w:name w:val="Light Grid - Accent 15"/>
    <w:basedOn w:val="TableNormal"/>
    <w:uiPriority w:val="62"/>
    <w:rsid w:val="009628CE"/>
    <w:pPr>
      <w:spacing w:before="0"/>
      <w:jc w:val="both"/>
    </w:pPr>
    <w:rPr>
      <w:rFonts w:ascii="Cambria" w:hAnsi="Cambria" w:cstheme="minorBidi"/>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6">
    <w:name w:val="Light Grid - Accent 16"/>
    <w:basedOn w:val="TableNormal"/>
    <w:uiPriority w:val="62"/>
    <w:rsid w:val="009628CE"/>
    <w:pPr>
      <w:spacing w:before="0"/>
      <w:ind w:firstLine="0"/>
    </w:pPr>
    <w:rPr>
      <w:rFonts w:ascii="Cambria" w:eastAsia="Times New Roman" w:hAnsi="Cambria" w:cstheme="minorBidi"/>
      <w:sz w:val="22"/>
      <w:lang w:val="bs-Latn-B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7">
    <w:name w:val="Light Grid - Accent 17"/>
    <w:basedOn w:val="TableNormal"/>
    <w:uiPriority w:val="62"/>
    <w:rsid w:val="009628CE"/>
    <w:pPr>
      <w:spacing w:before="0"/>
      <w:ind w:firstLine="0"/>
    </w:pPr>
    <w:rPr>
      <w:rFonts w:asciiTheme="minorHAnsi" w:hAnsiTheme="minorHAnsi" w:cstheme="minorBidi"/>
      <w:sz w:val="22"/>
      <w:lang w:val="sr-Latn-C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FontStyle22">
    <w:name w:val="Font Style22"/>
    <w:basedOn w:val="DefaultParagraphFont"/>
    <w:uiPriority w:val="99"/>
    <w:rsid w:val="009628CE"/>
    <w:rPr>
      <w:rFonts w:ascii="MS Reference Sans Serif" w:hAnsi="MS Reference Sans Serif" w:cs="MS Reference Sans Serif" w:hint="default"/>
      <w:color w:val="000000"/>
      <w:sz w:val="18"/>
      <w:szCs w:val="18"/>
    </w:rPr>
  </w:style>
  <w:style w:type="table" w:customStyle="1" w:styleId="LightGrid-Accent18">
    <w:name w:val="Light Grid - Accent 18"/>
    <w:basedOn w:val="TableNormal"/>
    <w:uiPriority w:val="62"/>
    <w:rsid w:val="009628CE"/>
    <w:pPr>
      <w:spacing w:before="0"/>
      <w:ind w:firstLine="0"/>
    </w:pPr>
    <w:rPr>
      <w:rFonts w:asciiTheme="minorHAnsi" w:hAnsiTheme="minorHAnsi" w:cstheme="minorBidi"/>
      <w:sz w:val="22"/>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FollowedHyperlink">
    <w:name w:val="FollowedHyperlink"/>
    <w:basedOn w:val="DefaultParagraphFont"/>
    <w:uiPriority w:val="99"/>
    <w:semiHidden/>
    <w:unhideWhenUsed/>
    <w:rsid w:val="00DF43DE"/>
    <w:rPr>
      <w:color w:val="800080" w:themeColor="followedHyperlink"/>
      <w:u w:val="single"/>
    </w:rPr>
  </w:style>
  <w:style w:type="paragraph" w:customStyle="1" w:styleId="bodytext0">
    <w:name w:val="bodytext"/>
    <w:basedOn w:val="Normal"/>
    <w:rsid w:val="0090523D"/>
    <w:pPr>
      <w:spacing w:before="100" w:beforeAutospacing="1" w:after="100" w:afterAutospacing="1" w:line="240" w:lineRule="auto"/>
      <w:ind w:firstLine="0"/>
      <w:jc w:val="left"/>
    </w:pPr>
    <w:rPr>
      <w:rFonts w:eastAsia="Times New Roman"/>
    </w:rPr>
  </w:style>
  <w:style w:type="table" w:customStyle="1" w:styleId="LightGrid-Accent111">
    <w:name w:val="Light Grid - Accent 111"/>
    <w:basedOn w:val="TableNormal"/>
    <w:uiPriority w:val="62"/>
    <w:rsid w:val="004060D8"/>
    <w:pPr>
      <w:ind w:firstLine="0"/>
      <w:jc w:val="both"/>
    </w:pPr>
    <w:rPr>
      <w:rFonts w:asciiTheme="minorHAnsi" w:eastAsiaTheme="minorEastAsia" w:hAnsiTheme="minorHAnsi" w:cstheme="minorBidi"/>
      <w:sz w:val="22"/>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12">
    <w:name w:val="Light Grid - Accent 112"/>
    <w:basedOn w:val="TableNormal"/>
    <w:uiPriority w:val="62"/>
    <w:rsid w:val="004060D8"/>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13">
    <w:name w:val="Light Grid - Accent 113"/>
    <w:basedOn w:val="TableNormal"/>
    <w:uiPriority w:val="62"/>
    <w:rsid w:val="00E16D3E"/>
    <w:pPr>
      <w:spacing w:before="0" w:after="120"/>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21">
    <w:name w:val="Light Grid - Accent 121"/>
    <w:basedOn w:val="TableNormal"/>
    <w:uiPriority w:val="62"/>
    <w:rsid w:val="00AC0E79"/>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22">
    <w:name w:val="Light Grid - Accent 122"/>
    <w:basedOn w:val="TableNormal"/>
    <w:uiPriority w:val="62"/>
    <w:rsid w:val="005E5641"/>
    <w:pPr>
      <w:spacing w:before="0" w:after="120"/>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numbering" w:customStyle="1" w:styleId="NoList1">
    <w:name w:val="No List1"/>
    <w:next w:val="NoList"/>
    <w:uiPriority w:val="99"/>
    <w:semiHidden/>
    <w:unhideWhenUsed/>
    <w:rsid w:val="008A0055"/>
  </w:style>
  <w:style w:type="table" w:customStyle="1" w:styleId="LightGrid-Accent114">
    <w:name w:val="Light Grid - Accent 114"/>
    <w:basedOn w:val="TableNormal"/>
    <w:uiPriority w:val="62"/>
    <w:rsid w:val="008A0055"/>
    <w:pPr>
      <w:spacing w:before="0"/>
      <w:ind w:firstLine="0"/>
    </w:pPr>
    <w:rPr>
      <w:rFonts w:asciiTheme="minorHAnsi" w:hAnsiTheme="minorHAnsi" w:cstheme="minorBidi"/>
      <w:sz w:val="22"/>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23">
    <w:name w:val="Light Grid - Accent 123"/>
    <w:basedOn w:val="TableNormal"/>
    <w:uiPriority w:val="62"/>
    <w:rsid w:val="00156C90"/>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31">
    <w:name w:val="Light Grid - Accent 131"/>
    <w:basedOn w:val="TableNormal"/>
    <w:uiPriority w:val="62"/>
    <w:rsid w:val="000043A7"/>
    <w:pPr>
      <w:spacing w:before="0"/>
      <w:ind w:firstLine="0"/>
      <w:jc w:val="both"/>
    </w:pPr>
    <w:rPr>
      <w:rFonts w:ascii="Cambria" w:eastAsia="Calibri" w:hAnsi="Cambria"/>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dTable6Colorful-Accent11">
    <w:name w:val="Grid Table 6 Colorful - Accent 11"/>
    <w:basedOn w:val="TableNormal"/>
    <w:uiPriority w:val="51"/>
    <w:rsid w:val="00927175"/>
    <w:pPr>
      <w:ind w:firstLine="0"/>
      <w:jc w:val="both"/>
    </w:pPr>
    <w:rPr>
      <w:rFonts w:asciiTheme="minorHAnsi" w:eastAsiaTheme="minorEastAsia" w:hAnsiTheme="minorHAnsi" w:cstheme="minorBidi"/>
      <w:color w:val="365F91" w:themeColor="accent1" w:themeShade="BF"/>
      <w:sz w:val="22"/>
      <w:lang w:bidi="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EndnoteReference">
    <w:name w:val="endnote reference"/>
    <w:basedOn w:val="DefaultParagraphFont"/>
    <w:uiPriority w:val="99"/>
    <w:semiHidden/>
    <w:unhideWhenUsed/>
    <w:rsid w:val="00BA4518"/>
    <w:rPr>
      <w:vertAlign w:val="superscript"/>
    </w:rPr>
  </w:style>
  <w:style w:type="paragraph" w:customStyle="1" w:styleId="Article">
    <w:name w:val="Article"/>
    <w:basedOn w:val="NoSpacing"/>
    <w:autoRedefine/>
    <w:qFormat/>
    <w:rsid w:val="00C94481"/>
    <w:pPr>
      <w:keepNext/>
      <w:tabs>
        <w:tab w:val="left" w:pos="180"/>
      </w:tabs>
      <w:spacing w:before="240" w:after="0" w:line="240" w:lineRule="auto"/>
      <w:jc w:val="center"/>
    </w:pPr>
    <w:rPr>
      <w:rFonts w:eastAsia="Times New Roman"/>
      <w:b/>
      <w:noProof/>
      <w:szCs w:val="24"/>
      <w:lang w:val="sr-Cyrl-BA"/>
    </w:rPr>
  </w:style>
  <w:style w:type="paragraph" w:styleId="Revision">
    <w:name w:val="Revision"/>
    <w:hidden/>
    <w:uiPriority w:val="99"/>
    <w:semiHidden/>
    <w:rsid w:val="002E4D61"/>
    <w:pPr>
      <w:spacing w:before="0"/>
      <w:ind w:firstLine="0"/>
    </w:pPr>
    <w:rPr>
      <w:rFonts w:ascii="Cambria" w:hAnsi="Cambria"/>
    </w:rPr>
  </w:style>
  <w:style w:type="character" w:styleId="UnresolvedMention">
    <w:name w:val="Unresolved Mention"/>
    <w:basedOn w:val="DefaultParagraphFont"/>
    <w:uiPriority w:val="99"/>
    <w:semiHidden/>
    <w:unhideWhenUsed/>
    <w:rsid w:val="00ED706F"/>
    <w:rPr>
      <w:color w:val="605E5C"/>
      <w:shd w:val="clear" w:color="auto" w:fill="E1DFDD"/>
    </w:rPr>
  </w:style>
  <w:style w:type="table" w:customStyle="1" w:styleId="LightGrid-Accent1211">
    <w:name w:val="Light Grid - Accent 1211"/>
    <w:basedOn w:val="TableNormal"/>
    <w:uiPriority w:val="62"/>
    <w:rsid w:val="000F3F68"/>
    <w:pPr>
      <w:spacing w:before="0"/>
      <w:ind w:firstLine="0"/>
    </w:pPr>
    <w:rPr>
      <w:rFonts w:ascii="Cambria" w:hAnsi="Cambria"/>
      <w:lang w:val="en-A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115">
    <w:name w:val="Light Grid - Accent 115"/>
    <w:basedOn w:val="TableNormal"/>
    <w:uiPriority w:val="62"/>
    <w:rsid w:val="00F0610F"/>
    <w:pPr>
      <w:ind w:firstLine="0"/>
      <w:jc w:val="both"/>
    </w:pPr>
    <w:rPr>
      <w:rFonts w:asciiTheme="minorHAnsi" w:eastAsiaTheme="minorEastAsia" w:hAnsiTheme="minorHAnsi" w:cstheme="minorBidi"/>
      <w:sz w:val="22"/>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numbering" w:customStyle="1" w:styleId="NoList2">
    <w:name w:val="No List2"/>
    <w:next w:val="NoList"/>
    <w:uiPriority w:val="99"/>
    <w:semiHidden/>
    <w:unhideWhenUsed/>
    <w:rsid w:val="00E1707F"/>
  </w:style>
  <w:style w:type="table" w:customStyle="1" w:styleId="TableGrid1">
    <w:name w:val="Table Grid1"/>
    <w:basedOn w:val="TableNormal"/>
    <w:next w:val="TableGrid"/>
    <w:uiPriority w:val="59"/>
    <w:rsid w:val="00E1707F"/>
    <w:pPr>
      <w:spacing w:before="0"/>
      <w:ind w:firstLine="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2">
    <w:name w:val="Light Shading - Accent 12"/>
    <w:basedOn w:val="TableNormal"/>
    <w:next w:val="LightShading-Accent1"/>
    <w:uiPriority w:val="60"/>
    <w:rsid w:val="00E1707F"/>
    <w:pPr>
      <w:spacing w:before="0"/>
      <w:ind w:firstLine="0"/>
    </w:pPr>
    <w:rPr>
      <w:rFonts w:ascii="Calibri"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51">
    <w:name w:val="Light Shading - Accent 51"/>
    <w:basedOn w:val="TableNormal"/>
    <w:next w:val="LightShading-Accent5"/>
    <w:uiPriority w:val="60"/>
    <w:rsid w:val="00E1707F"/>
    <w:pPr>
      <w:spacing w:before="0"/>
      <w:ind w:firstLine="0"/>
    </w:pPr>
    <w:rPr>
      <w:rFonts w:ascii="Calibri" w:hAnsi="Calibri"/>
      <w:color w:val="31849B"/>
      <w:sz w:val="22"/>
      <w:szCs w:val="22"/>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41">
    <w:name w:val="Light Shading - Accent 41"/>
    <w:basedOn w:val="TableNormal"/>
    <w:next w:val="LightShading-Accent4"/>
    <w:uiPriority w:val="60"/>
    <w:rsid w:val="00E1707F"/>
    <w:pPr>
      <w:spacing w:before="0"/>
      <w:ind w:firstLine="0"/>
    </w:pPr>
    <w:rPr>
      <w:rFonts w:ascii="Calibri" w:hAnsi="Calibri"/>
      <w:color w:val="5F497A"/>
      <w:sz w:val="22"/>
      <w:szCs w:val="22"/>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List-Accent51">
    <w:name w:val="Light List - Accent 51"/>
    <w:basedOn w:val="TableNormal"/>
    <w:next w:val="LightList-Accent5"/>
    <w:uiPriority w:val="61"/>
    <w:rsid w:val="00E1707F"/>
    <w:pPr>
      <w:spacing w:before="0"/>
      <w:ind w:firstLine="0"/>
    </w:pPr>
    <w:rPr>
      <w:rFonts w:ascii="Calibri" w:hAnsi="Calibri"/>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Grid-Accent19">
    <w:name w:val="Light Grid - Accent 19"/>
    <w:basedOn w:val="TableNormal"/>
    <w:next w:val="LightGrid-Accent1"/>
    <w:uiPriority w:val="62"/>
    <w:rsid w:val="00E1707F"/>
    <w:pPr>
      <w:spacing w:before="0"/>
      <w:ind w:firstLine="0"/>
    </w:pPr>
    <w:rPr>
      <w:rFonts w:ascii="Calibri" w:hAnsi="Calibri"/>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Shading-Accent1">
    <w:name w:val="Light Shading Accent 1"/>
    <w:basedOn w:val="TableNormal"/>
    <w:uiPriority w:val="60"/>
    <w:semiHidden/>
    <w:unhideWhenUsed/>
    <w:rsid w:val="00E1707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semiHidden/>
    <w:unhideWhenUsed/>
    <w:rsid w:val="00E1707F"/>
    <w:pPr>
      <w:spacing w:before="0"/>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4">
    <w:name w:val="Light Shading Accent 4"/>
    <w:basedOn w:val="TableNormal"/>
    <w:uiPriority w:val="60"/>
    <w:semiHidden/>
    <w:unhideWhenUsed/>
    <w:rsid w:val="00E1707F"/>
    <w:pPr>
      <w:spacing w:before="0"/>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List-Accent5">
    <w:name w:val="Light List Accent 5"/>
    <w:basedOn w:val="TableNormal"/>
    <w:uiPriority w:val="61"/>
    <w:semiHidden/>
    <w:unhideWhenUsed/>
    <w:rsid w:val="00E1707F"/>
    <w:pPr>
      <w:spacing w:before="0"/>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1">
    <w:name w:val="Light Grid Accent 1"/>
    <w:basedOn w:val="TableNormal"/>
    <w:uiPriority w:val="62"/>
    <w:unhideWhenUsed/>
    <w:rsid w:val="00E1707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BookTitle">
    <w:name w:val="Book Title"/>
    <w:basedOn w:val="DefaultParagraphFont"/>
    <w:uiPriority w:val="33"/>
    <w:qFormat/>
    <w:rsid w:val="00875596"/>
    <w:rPr>
      <w:b/>
      <w:bCs/>
      <w:i/>
      <w:iCs/>
      <w:spacing w:val="5"/>
    </w:rPr>
  </w:style>
  <w:style w:type="paragraph" w:customStyle="1" w:styleId="Style8">
    <w:name w:val="Style8"/>
    <w:basedOn w:val="Normal"/>
    <w:uiPriority w:val="99"/>
    <w:rsid w:val="00BF6D48"/>
    <w:pPr>
      <w:widowControl w:val="0"/>
      <w:autoSpaceDE w:val="0"/>
      <w:autoSpaceDN w:val="0"/>
      <w:adjustRightInd w:val="0"/>
      <w:spacing w:before="0" w:after="0" w:line="280" w:lineRule="exact"/>
      <w:ind w:hanging="356"/>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92110">
      <w:bodyDiv w:val="1"/>
      <w:marLeft w:val="0"/>
      <w:marRight w:val="0"/>
      <w:marTop w:val="0"/>
      <w:marBottom w:val="0"/>
      <w:divBdr>
        <w:top w:val="none" w:sz="0" w:space="0" w:color="auto"/>
        <w:left w:val="none" w:sz="0" w:space="0" w:color="auto"/>
        <w:bottom w:val="none" w:sz="0" w:space="0" w:color="auto"/>
        <w:right w:val="none" w:sz="0" w:space="0" w:color="auto"/>
      </w:divBdr>
    </w:div>
    <w:div w:id="237442939">
      <w:bodyDiv w:val="1"/>
      <w:marLeft w:val="0"/>
      <w:marRight w:val="0"/>
      <w:marTop w:val="0"/>
      <w:marBottom w:val="0"/>
      <w:divBdr>
        <w:top w:val="none" w:sz="0" w:space="0" w:color="auto"/>
        <w:left w:val="none" w:sz="0" w:space="0" w:color="auto"/>
        <w:bottom w:val="none" w:sz="0" w:space="0" w:color="auto"/>
        <w:right w:val="none" w:sz="0" w:space="0" w:color="auto"/>
      </w:divBdr>
    </w:div>
    <w:div w:id="367489006">
      <w:bodyDiv w:val="1"/>
      <w:marLeft w:val="0"/>
      <w:marRight w:val="0"/>
      <w:marTop w:val="0"/>
      <w:marBottom w:val="0"/>
      <w:divBdr>
        <w:top w:val="none" w:sz="0" w:space="0" w:color="auto"/>
        <w:left w:val="none" w:sz="0" w:space="0" w:color="auto"/>
        <w:bottom w:val="none" w:sz="0" w:space="0" w:color="auto"/>
        <w:right w:val="none" w:sz="0" w:space="0" w:color="auto"/>
      </w:divBdr>
    </w:div>
    <w:div w:id="380440600">
      <w:bodyDiv w:val="1"/>
      <w:marLeft w:val="0"/>
      <w:marRight w:val="0"/>
      <w:marTop w:val="0"/>
      <w:marBottom w:val="0"/>
      <w:divBdr>
        <w:top w:val="none" w:sz="0" w:space="0" w:color="auto"/>
        <w:left w:val="none" w:sz="0" w:space="0" w:color="auto"/>
        <w:bottom w:val="none" w:sz="0" w:space="0" w:color="auto"/>
        <w:right w:val="none" w:sz="0" w:space="0" w:color="auto"/>
      </w:divBdr>
    </w:div>
    <w:div w:id="514618546">
      <w:bodyDiv w:val="1"/>
      <w:marLeft w:val="0"/>
      <w:marRight w:val="0"/>
      <w:marTop w:val="0"/>
      <w:marBottom w:val="0"/>
      <w:divBdr>
        <w:top w:val="none" w:sz="0" w:space="0" w:color="auto"/>
        <w:left w:val="none" w:sz="0" w:space="0" w:color="auto"/>
        <w:bottom w:val="none" w:sz="0" w:space="0" w:color="auto"/>
        <w:right w:val="none" w:sz="0" w:space="0" w:color="auto"/>
      </w:divBdr>
    </w:div>
    <w:div w:id="703020115">
      <w:bodyDiv w:val="1"/>
      <w:marLeft w:val="0"/>
      <w:marRight w:val="0"/>
      <w:marTop w:val="0"/>
      <w:marBottom w:val="0"/>
      <w:divBdr>
        <w:top w:val="none" w:sz="0" w:space="0" w:color="auto"/>
        <w:left w:val="none" w:sz="0" w:space="0" w:color="auto"/>
        <w:bottom w:val="none" w:sz="0" w:space="0" w:color="auto"/>
        <w:right w:val="none" w:sz="0" w:space="0" w:color="auto"/>
      </w:divBdr>
    </w:div>
    <w:div w:id="842281748">
      <w:bodyDiv w:val="1"/>
      <w:marLeft w:val="0"/>
      <w:marRight w:val="0"/>
      <w:marTop w:val="0"/>
      <w:marBottom w:val="0"/>
      <w:divBdr>
        <w:top w:val="none" w:sz="0" w:space="0" w:color="auto"/>
        <w:left w:val="none" w:sz="0" w:space="0" w:color="auto"/>
        <w:bottom w:val="none" w:sz="0" w:space="0" w:color="auto"/>
        <w:right w:val="none" w:sz="0" w:space="0" w:color="auto"/>
      </w:divBdr>
    </w:div>
    <w:div w:id="1116214349">
      <w:bodyDiv w:val="1"/>
      <w:marLeft w:val="0"/>
      <w:marRight w:val="0"/>
      <w:marTop w:val="0"/>
      <w:marBottom w:val="0"/>
      <w:divBdr>
        <w:top w:val="none" w:sz="0" w:space="0" w:color="auto"/>
        <w:left w:val="none" w:sz="0" w:space="0" w:color="auto"/>
        <w:bottom w:val="none" w:sz="0" w:space="0" w:color="auto"/>
        <w:right w:val="none" w:sz="0" w:space="0" w:color="auto"/>
      </w:divBdr>
    </w:div>
    <w:div w:id="1141918386">
      <w:bodyDiv w:val="1"/>
      <w:marLeft w:val="0"/>
      <w:marRight w:val="0"/>
      <w:marTop w:val="0"/>
      <w:marBottom w:val="0"/>
      <w:divBdr>
        <w:top w:val="none" w:sz="0" w:space="0" w:color="auto"/>
        <w:left w:val="none" w:sz="0" w:space="0" w:color="auto"/>
        <w:bottom w:val="none" w:sz="0" w:space="0" w:color="auto"/>
        <w:right w:val="none" w:sz="0" w:space="0" w:color="auto"/>
      </w:divBdr>
    </w:div>
    <w:div w:id="1227377439">
      <w:bodyDiv w:val="1"/>
      <w:marLeft w:val="0"/>
      <w:marRight w:val="0"/>
      <w:marTop w:val="0"/>
      <w:marBottom w:val="0"/>
      <w:divBdr>
        <w:top w:val="none" w:sz="0" w:space="0" w:color="auto"/>
        <w:left w:val="none" w:sz="0" w:space="0" w:color="auto"/>
        <w:bottom w:val="none" w:sz="0" w:space="0" w:color="auto"/>
        <w:right w:val="none" w:sz="0" w:space="0" w:color="auto"/>
      </w:divBdr>
    </w:div>
    <w:div w:id="1319766171">
      <w:bodyDiv w:val="1"/>
      <w:marLeft w:val="0"/>
      <w:marRight w:val="0"/>
      <w:marTop w:val="0"/>
      <w:marBottom w:val="0"/>
      <w:divBdr>
        <w:top w:val="none" w:sz="0" w:space="0" w:color="auto"/>
        <w:left w:val="none" w:sz="0" w:space="0" w:color="auto"/>
        <w:bottom w:val="none" w:sz="0" w:space="0" w:color="auto"/>
        <w:right w:val="none" w:sz="0" w:space="0" w:color="auto"/>
      </w:divBdr>
    </w:div>
    <w:div w:id="1507095865">
      <w:bodyDiv w:val="1"/>
      <w:marLeft w:val="0"/>
      <w:marRight w:val="0"/>
      <w:marTop w:val="0"/>
      <w:marBottom w:val="0"/>
      <w:divBdr>
        <w:top w:val="none" w:sz="0" w:space="0" w:color="auto"/>
        <w:left w:val="none" w:sz="0" w:space="0" w:color="auto"/>
        <w:bottom w:val="none" w:sz="0" w:space="0" w:color="auto"/>
        <w:right w:val="none" w:sz="0" w:space="0" w:color="auto"/>
      </w:divBdr>
    </w:div>
    <w:div w:id="1678078386">
      <w:bodyDiv w:val="1"/>
      <w:marLeft w:val="0"/>
      <w:marRight w:val="0"/>
      <w:marTop w:val="0"/>
      <w:marBottom w:val="0"/>
      <w:divBdr>
        <w:top w:val="none" w:sz="0" w:space="0" w:color="auto"/>
        <w:left w:val="none" w:sz="0" w:space="0" w:color="auto"/>
        <w:bottom w:val="none" w:sz="0" w:space="0" w:color="auto"/>
        <w:right w:val="none" w:sz="0" w:space="0" w:color="auto"/>
      </w:divBdr>
    </w:div>
    <w:div w:id="1737823474">
      <w:bodyDiv w:val="1"/>
      <w:marLeft w:val="0"/>
      <w:marRight w:val="0"/>
      <w:marTop w:val="0"/>
      <w:marBottom w:val="0"/>
      <w:divBdr>
        <w:top w:val="none" w:sz="0" w:space="0" w:color="auto"/>
        <w:left w:val="none" w:sz="0" w:space="0" w:color="auto"/>
        <w:bottom w:val="none" w:sz="0" w:space="0" w:color="auto"/>
        <w:right w:val="none" w:sz="0" w:space="0" w:color="auto"/>
      </w:divBdr>
    </w:div>
    <w:div w:id="1764841968">
      <w:bodyDiv w:val="1"/>
      <w:marLeft w:val="0"/>
      <w:marRight w:val="0"/>
      <w:marTop w:val="0"/>
      <w:marBottom w:val="0"/>
      <w:divBdr>
        <w:top w:val="none" w:sz="0" w:space="0" w:color="auto"/>
        <w:left w:val="none" w:sz="0" w:space="0" w:color="auto"/>
        <w:bottom w:val="none" w:sz="0" w:space="0" w:color="auto"/>
        <w:right w:val="none" w:sz="0" w:space="0" w:color="auto"/>
      </w:divBdr>
    </w:div>
    <w:div w:id="1782410857">
      <w:bodyDiv w:val="1"/>
      <w:marLeft w:val="0"/>
      <w:marRight w:val="0"/>
      <w:marTop w:val="0"/>
      <w:marBottom w:val="0"/>
      <w:divBdr>
        <w:top w:val="none" w:sz="0" w:space="0" w:color="auto"/>
        <w:left w:val="none" w:sz="0" w:space="0" w:color="auto"/>
        <w:bottom w:val="none" w:sz="0" w:space="0" w:color="auto"/>
        <w:right w:val="none" w:sz="0" w:space="0" w:color="auto"/>
      </w:divBdr>
    </w:div>
    <w:div w:id="1869680698">
      <w:bodyDiv w:val="1"/>
      <w:marLeft w:val="0"/>
      <w:marRight w:val="0"/>
      <w:marTop w:val="0"/>
      <w:marBottom w:val="0"/>
      <w:divBdr>
        <w:top w:val="none" w:sz="0" w:space="0" w:color="auto"/>
        <w:left w:val="none" w:sz="0" w:space="0" w:color="auto"/>
        <w:bottom w:val="none" w:sz="0" w:space="0" w:color="auto"/>
        <w:right w:val="none" w:sz="0" w:space="0" w:color="auto"/>
      </w:divBdr>
    </w:div>
    <w:div w:id="2071687986">
      <w:bodyDiv w:val="1"/>
      <w:marLeft w:val="0"/>
      <w:marRight w:val="0"/>
      <w:marTop w:val="0"/>
      <w:marBottom w:val="0"/>
      <w:divBdr>
        <w:top w:val="none" w:sz="0" w:space="0" w:color="auto"/>
        <w:left w:val="none" w:sz="0" w:space="0" w:color="auto"/>
        <w:bottom w:val="none" w:sz="0" w:space="0" w:color="auto"/>
        <w:right w:val="none" w:sz="0" w:space="0" w:color="auto"/>
      </w:divBdr>
    </w:div>
    <w:div w:id="2111311817">
      <w:bodyDiv w:val="1"/>
      <w:marLeft w:val="0"/>
      <w:marRight w:val="0"/>
      <w:marTop w:val="0"/>
      <w:marBottom w:val="0"/>
      <w:divBdr>
        <w:top w:val="none" w:sz="0" w:space="0" w:color="auto"/>
        <w:left w:val="none" w:sz="0" w:space="0" w:color="auto"/>
        <w:bottom w:val="none" w:sz="0" w:space="0" w:color="auto"/>
        <w:right w:val="none" w:sz="0" w:space="0" w:color="auto"/>
      </w:divBdr>
    </w:div>
    <w:div w:id="2121561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Data" Target="diagrams/data1.xml"/><Relationship Id="rId18" Type="http://schemas.openxmlformats.org/officeDocument/2006/relationships/hyperlink" Target="http://10.0.0.209/Ucesnici/KastodiFull.aspx?id=d8a30101-29ba-43c9-a438-17df3f451177" TargetMode="Externa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hyperlink" Target="http://www.secrs.gov.ba/Izvjestaji/Izvjestaj%20o%20radu%202023.pdf" TargetMode="External"/><Relationship Id="rId17" Type="http://schemas.microsoft.com/office/2007/relationships/diagramDrawing" Target="diagrams/drawing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hyperlink" Target="http://10.0.0.209/Ucesnici/KastodiFull.aspx?id=28587fa0-7091-4bef-8434-d675ea03a9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crs.gov.b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footer" Target="footer1.xml"/><Relationship Id="rId10" Type="http://schemas.openxmlformats.org/officeDocument/2006/relationships/hyperlink" Target="mailto:kontakt@secrs.gov.ba" TargetMode="External"/><Relationship Id="rId19" Type="http://schemas.openxmlformats.org/officeDocument/2006/relationships/hyperlink" Target="http://10.0.0.209/Ucesnici/KastodiFull.aspx?id=5c611be4-09f2-40b0-bb41-7020c33da71b"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diagramLayout" Target="diagrams/layout1.xml"/><Relationship Id="rId22"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file:///G:\My%20Drive\KHOV\Periodi&#269;no\KHOV%20-%20Izvjestaji%20o%20radu\IR%202023\GI%202023%20lat\Radna%20sveska%20lat.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G:\My%20Drive\KHOV\Periodi&#269;no\KHOV%20-%20Izvjestaji%20o%20radu\IR%202023\GI%202023%20lat\Radna%20sveska%20lat.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675700446837737"/>
          <c:y val="0.10588393370568375"/>
          <c:w val="0.81830265351109222"/>
          <c:h val="0.7969089221764849"/>
        </c:manualLayout>
      </c:layout>
      <c:pie3DChart>
        <c:varyColors val="1"/>
        <c:ser>
          <c:idx val="0"/>
          <c:order val="0"/>
          <c:tx>
            <c:strRef>
              <c:f>Sheet3!$B$1</c:f>
              <c:strCache>
                <c:ptCount val="1"/>
                <c:pt idx="0">
                  <c:v>Broj nadzora</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AA79-411F-9502-1DCECBE998C6}"/>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AA79-411F-9502-1DCECBE998C6}"/>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AA79-411F-9502-1DCECBE998C6}"/>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AA79-411F-9502-1DCECBE998C6}"/>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AA79-411F-9502-1DCECBE998C6}"/>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AA79-411F-9502-1DCECBE998C6}"/>
              </c:ext>
            </c:extLst>
          </c:dPt>
          <c:dPt>
            <c:idx val="6"/>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AA79-411F-9502-1DCECBE998C6}"/>
              </c:ext>
            </c:extLst>
          </c:dPt>
          <c:dPt>
            <c:idx val="7"/>
            <c:bubble3D val="0"/>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AA79-411F-9502-1DCECBE998C6}"/>
              </c:ext>
            </c:extLst>
          </c:dPt>
          <c:dLbls>
            <c:dLbl>
              <c:idx val="0"/>
              <c:layout>
                <c:manualLayout>
                  <c:x val="-1.3393301585785122E-2"/>
                  <c:y val="-2.5374485456129262E-3"/>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AA79-411F-9502-1DCECBE998C6}"/>
                </c:ext>
              </c:extLst>
            </c:dLbl>
            <c:dLbl>
              <c:idx val="1"/>
              <c:layout>
                <c:manualLayout>
                  <c:x val="-0.1641218836180369"/>
                  <c:y val="-0.15261298309371249"/>
                </c:manualLayout>
              </c:layout>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AA79-411F-9502-1DCECBE998C6}"/>
                </c:ext>
              </c:extLst>
            </c:dLbl>
            <c:dLbl>
              <c:idx val="2"/>
              <c:layout>
                <c:manualLayout>
                  <c:x val="8.338753809772749E-2"/>
                  <c:y val="9.0934349041510806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AA79-411F-9502-1DCECBE998C6}"/>
                </c:ext>
              </c:extLst>
            </c:dLbl>
            <c:dLbl>
              <c:idx val="4"/>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1"/>
              <c:showSerName val="0"/>
              <c:showPercent val="1"/>
              <c:showBubbleSize val="0"/>
              <c:extLst>
                <c:ext xmlns:c16="http://schemas.microsoft.com/office/drawing/2014/chart" uri="{C3380CC4-5D6E-409C-BE32-E72D297353CC}">
                  <c16:uniqueId val="{00000009-AA79-411F-9502-1DCECBE998C6}"/>
                </c:ext>
              </c:extLst>
            </c:dLbl>
            <c:dLbl>
              <c:idx val="5"/>
              <c:layout>
                <c:manualLayout>
                  <c:x val="7.9376311126567718E-4"/>
                  <c:y val="-4.8637846516473945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AA79-411F-9502-1DCECBE998C6}"/>
                </c:ext>
              </c:extLst>
            </c:dLbl>
            <c:dLbl>
              <c:idx val="6"/>
              <c:layout>
                <c:manualLayout>
                  <c:x val="-2.8365795923117183E-2"/>
                  <c:y val="-7.8173774915879554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AA79-411F-9502-1DCECBE998C6}"/>
                </c:ext>
              </c:extLst>
            </c:dLbl>
            <c:dLbl>
              <c:idx val="7"/>
              <c:layout>
                <c:manualLayout>
                  <c:x val="-1.0799955177831062E-2"/>
                  <c:y val="-6.0330560632198632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F-AA79-411F-9502-1DCECBE998C6}"/>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Sheet3!$A$2:$A$9</c:f>
              <c:strCache>
                <c:ptCount val="8"/>
                <c:pt idx="0">
                  <c:v>Trgovanje hartijama od vrijednosti emitenata </c:v>
                </c:pt>
                <c:pt idx="1">
                  <c:v>Analiza mjesečnog trgovanja i stanja na Banjalučkoj berzi</c:v>
                </c:pt>
                <c:pt idx="2">
                  <c:v>Društva za upravlјanje</c:v>
                </c:pt>
                <c:pt idx="3">
                  <c:v>Poslovanje ovlašćenih učesnika na tržištu hartija od vrijednosti</c:v>
                </c:pt>
                <c:pt idx="4">
                  <c:v>Kastodi banke </c:v>
                </c:pt>
                <c:pt idx="5">
                  <c:v>Banke depozitari (uklјučujući Centralni registar kao depozitara)</c:v>
                </c:pt>
                <c:pt idx="6">
                  <c:v>Centralni registar hartija od vrijednosti</c:v>
                </c:pt>
                <c:pt idx="7">
                  <c:v>Društva za faktoring</c:v>
                </c:pt>
              </c:strCache>
            </c:strRef>
          </c:cat>
          <c:val>
            <c:numRef>
              <c:f>Sheet3!$B$2:$B$9</c:f>
              <c:numCache>
                <c:formatCode>General</c:formatCode>
                <c:ptCount val="8"/>
                <c:pt idx="0">
                  <c:v>1</c:v>
                </c:pt>
                <c:pt idx="1">
                  <c:v>12</c:v>
                </c:pt>
                <c:pt idx="2">
                  <c:v>1</c:v>
                </c:pt>
                <c:pt idx="3">
                  <c:v>1</c:v>
                </c:pt>
                <c:pt idx="4">
                  <c:v>3</c:v>
                </c:pt>
                <c:pt idx="5">
                  <c:v>1</c:v>
                </c:pt>
                <c:pt idx="6">
                  <c:v>2</c:v>
                </c:pt>
                <c:pt idx="7">
                  <c:v>2</c:v>
                </c:pt>
              </c:numCache>
            </c:numRef>
          </c:val>
          <c:extLst>
            <c:ext xmlns:c16="http://schemas.microsoft.com/office/drawing/2014/chart" uri="{C3380CC4-5D6E-409C-BE32-E72D297353CC}">
              <c16:uniqueId val="{00000010-AA79-411F-9502-1DCECBE998C6}"/>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0277777777777776E-2"/>
          <c:y val="0.17322653007474412"/>
          <c:w val="0.81388888888888888"/>
          <c:h val="0.77350080374901231"/>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1CEA-4217-A2AC-459A7775F975}"/>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1CEA-4217-A2AC-459A7775F975}"/>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1CEA-4217-A2AC-459A7775F975}"/>
              </c:ext>
            </c:extLst>
          </c:dPt>
          <c:dLbls>
            <c:dLbl>
              <c:idx val="0"/>
              <c:layout>
                <c:manualLayout>
                  <c:x val="-0.19759711286089249"/>
                  <c:y val="-0.16031132786602367"/>
                </c:manualLayout>
              </c:layout>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1CEA-4217-A2AC-459A7775F975}"/>
                </c:ext>
              </c:extLst>
            </c:dLbl>
            <c:dLbl>
              <c:idx val="1"/>
              <c:layout>
                <c:manualLayout>
                  <c:x val="0.20036800087489065"/>
                  <c:y val="7.124721866514086E-2"/>
                </c:manualLayout>
              </c:layout>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CEA-4217-A2AC-459A7775F975}"/>
                </c:ext>
              </c:extLst>
            </c:dLbl>
            <c:dLbl>
              <c:idx val="2"/>
              <c:layout>
                <c:manualLayout>
                  <c:x val="6.0964457567804026E-2"/>
                  <c:y val="-2.9084271040514399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CEA-4217-A2AC-459A7775F975}"/>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1"/>
            <c:showSerName val="0"/>
            <c:showPercent val="1"/>
            <c:showBubbleSize val="0"/>
            <c:showLeaderLines val="0"/>
            <c:extLst>
              <c:ext xmlns:c15="http://schemas.microsoft.com/office/drawing/2012/chart" uri="{CE6537A1-D6FC-4f65-9D91-7224C49458BB}"/>
            </c:extLst>
          </c:dLbls>
          <c:cat>
            <c:strRef>
              <c:f>Sheet3!$A$29:$A$31</c:f>
              <c:strCache>
                <c:ptCount val="3"/>
                <c:pt idx="0">
                  <c:v>Kontinuirani nadzor</c:v>
                </c:pt>
                <c:pt idx="1">
                  <c:v>Redovni nadzor</c:v>
                </c:pt>
                <c:pt idx="2">
                  <c:v>Vanredni nadzor</c:v>
                </c:pt>
              </c:strCache>
            </c:strRef>
          </c:cat>
          <c:val>
            <c:numRef>
              <c:f>Sheet3!$B$29:$B$31</c:f>
              <c:numCache>
                <c:formatCode>General</c:formatCode>
                <c:ptCount val="3"/>
                <c:pt idx="0">
                  <c:v>14</c:v>
                </c:pt>
                <c:pt idx="1">
                  <c:v>8</c:v>
                </c:pt>
                <c:pt idx="2">
                  <c:v>1</c:v>
                </c:pt>
              </c:numCache>
            </c:numRef>
          </c:val>
          <c:extLst>
            <c:ext xmlns:c16="http://schemas.microsoft.com/office/drawing/2014/chart" uri="{C3380CC4-5D6E-409C-BE32-E72D297353CC}">
              <c16:uniqueId val="{00000006-1CEA-4217-A2AC-459A7775F975}"/>
            </c:ext>
          </c:extLst>
        </c:ser>
        <c:dLbls>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8EFF0E6-96B8-4444-AEFE-5A1808C8C7CE}" type="doc">
      <dgm:prSet loTypeId="urn:microsoft.com/office/officeart/2005/8/layout/orgChart1" loCatId="hierarchy" qsTypeId="urn:microsoft.com/office/officeart/2005/8/quickstyle/3d1" qsCatId="3D" csTypeId="urn:microsoft.com/office/officeart/2005/8/colors/accent1_4" csCatId="accent1" phldr="1"/>
      <dgm:spPr/>
      <dgm:t>
        <a:bodyPr/>
        <a:lstStyle/>
        <a:p>
          <a:endParaRPr lang="sr-Latn-CS"/>
        </a:p>
      </dgm:t>
    </dgm:pt>
    <dgm:pt modelId="{A098CB35-69FC-4F39-AEA1-22681B79C9CF}">
      <dgm:prSet phldrT="[Text]" custT="1"/>
      <dgm:spPr/>
      <dgm:t>
        <a:bodyPr/>
        <a:lstStyle/>
        <a:p>
          <a:pPr algn="ctr"/>
          <a:r>
            <a:rPr lang="sr-Latn-BA" sz="900" b="1">
              <a:latin typeface="Times New Roman" panose="02020603050405020304" pitchFamily="18" charset="0"/>
              <a:cs typeface="Times New Roman" panose="02020603050405020304" pitchFamily="18" charset="0"/>
            </a:rPr>
            <a:t>Predsjednik</a:t>
          </a:r>
          <a:endParaRPr lang="sr-Latn-CS" sz="900" b="1">
            <a:latin typeface="Times New Roman" panose="02020603050405020304" pitchFamily="18" charset="0"/>
            <a:cs typeface="Times New Roman" panose="02020603050405020304" pitchFamily="18" charset="0"/>
          </a:endParaRPr>
        </a:p>
      </dgm:t>
    </dgm:pt>
    <dgm:pt modelId="{7A9D4DF5-B258-4E34-9F2B-ACD874D04EDC}" type="parTrans" cxnId="{7C955806-A136-4C93-939B-1A9C04AE871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0780D0DC-A175-448F-AA58-D26020D4ABE4}" type="sibTrans" cxnId="{7C955806-A136-4C93-939B-1A9C04AE871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8B356998-4568-4F8C-ABD1-73B699A7CB31}">
      <dgm:prSet phldrT="[Text]" custT="1"/>
      <dgm:spPr/>
      <dgm:t>
        <a:bodyPr/>
        <a:lstStyle/>
        <a:p>
          <a:pPr algn="ctr"/>
          <a:r>
            <a:rPr lang="sr-Cyrl-CS" sz="900">
              <a:latin typeface="Times New Roman" panose="02020603050405020304" pitchFamily="18" charset="0"/>
              <a:cs typeface="Times New Roman" panose="02020603050405020304" pitchFamily="18" charset="0"/>
            </a:rPr>
            <a:t>Sektor za emisiju hartija od vrijednosti</a:t>
          </a:r>
          <a:endParaRPr lang="sr-Latn-CS" sz="900">
            <a:latin typeface="Times New Roman" panose="02020603050405020304" pitchFamily="18" charset="0"/>
            <a:cs typeface="Times New Roman" panose="02020603050405020304" pitchFamily="18" charset="0"/>
          </a:endParaRPr>
        </a:p>
      </dgm:t>
    </dgm:pt>
    <dgm:pt modelId="{E7C5D07E-6B4B-4759-976F-DA10DB15F1B4}" type="sibTrans" cxnId="{A260FB75-B78E-4EF0-BCF1-C70EBC565B5E}">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AE65178F-7EE9-4DDE-A68A-0DA5312A4160}" type="parTrans" cxnId="{A260FB75-B78E-4EF0-BCF1-C70EBC565B5E}">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FC8A186B-CC00-4CB4-9788-0D608B961A46}" type="asst">
      <dgm:prSet phldrT="[Text]" custT="1"/>
      <dgm:spPr/>
      <dgm:t>
        <a:bodyPr/>
        <a:lstStyle/>
        <a:p>
          <a:pPr algn="ctr"/>
          <a:r>
            <a:rPr lang="sr-Latn-BA" sz="900">
              <a:latin typeface="Times New Roman" panose="02020603050405020304" pitchFamily="18" charset="0"/>
              <a:cs typeface="Times New Roman" panose="02020603050405020304" pitchFamily="18" charset="0"/>
            </a:rPr>
            <a:t>Članovi Komisije</a:t>
          </a:r>
          <a:endParaRPr lang="sr-Cyrl-CS" sz="900">
            <a:latin typeface="Times New Roman" panose="02020603050405020304" pitchFamily="18" charset="0"/>
            <a:cs typeface="Times New Roman" panose="02020603050405020304" pitchFamily="18" charset="0"/>
          </a:endParaRPr>
        </a:p>
      </dgm:t>
    </dgm:pt>
    <dgm:pt modelId="{FF981F79-7BFB-4961-AAC5-3D3723DE291D}" type="sibTrans" cxnId="{DC66DC90-BCE4-46D5-A438-28356720BD1B}">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7EFC92D4-B6B3-4632-A1F5-BB691FEE5970}" type="parTrans" cxnId="{DC66DC90-BCE4-46D5-A438-28356720BD1B}">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8BD07DC7-9305-44CF-B846-64506FF5CE97}" type="asst">
      <dgm:prSet phldrT="[Text]" custT="1"/>
      <dgm:spPr/>
      <dgm:t>
        <a:bodyPr/>
        <a:lstStyle/>
        <a:p>
          <a:pPr algn="ctr"/>
          <a:r>
            <a:rPr lang="sr-Latn-BA" sz="900">
              <a:latin typeface="Times New Roman" panose="02020603050405020304" pitchFamily="18" charset="0"/>
              <a:cs typeface="Times New Roman" panose="02020603050405020304" pitchFamily="18" charset="0"/>
            </a:rPr>
            <a:t>Interni revizor</a:t>
          </a:r>
          <a:endParaRPr lang="sr-Cyrl-CS" sz="900">
            <a:latin typeface="Times New Roman" panose="02020603050405020304" pitchFamily="18" charset="0"/>
            <a:cs typeface="Times New Roman" panose="02020603050405020304" pitchFamily="18" charset="0"/>
          </a:endParaRPr>
        </a:p>
      </dgm:t>
    </dgm:pt>
    <dgm:pt modelId="{3477717A-08E9-4E63-ADAB-065C43B3B8E0}" type="sibTrans" cxnId="{68287451-E1F4-4C06-98D3-94DB71DDA623}">
      <dgm:prSet/>
      <dgm:spPr/>
      <dgm:t>
        <a:bodyPr/>
        <a:lstStyle/>
        <a:p>
          <a:endParaRPr lang="sr-Latn-BA"/>
        </a:p>
      </dgm:t>
    </dgm:pt>
    <dgm:pt modelId="{1D32BB17-B50E-4321-A6B2-1ECF88B1EA59}" type="parTrans" cxnId="{68287451-E1F4-4C06-98D3-94DB71DDA623}">
      <dgm:prSet/>
      <dgm:spPr/>
      <dgm:t>
        <a:bodyPr/>
        <a:lstStyle/>
        <a:p>
          <a:endParaRPr lang="sr-Latn-BA"/>
        </a:p>
      </dgm:t>
    </dgm:pt>
    <dgm:pt modelId="{31275758-EECE-48E7-87BC-4045B3B82264}" type="asst">
      <dgm:prSet phldrT="[Text]" custT="1"/>
      <dgm:spPr/>
      <dgm:t>
        <a:bodyPr/>
        <a:lstStyle/>
        <a:p>
          <a:pPr algn="ctr"/>
          <a:r>
            <a:rPr lang="sr-Latn-BA" sz="900">
              <a:latin typeface="Times New Roman" panose="02020603050405020304" pitchFamily="18" charset="0"/>
              <a:cs typeface="Times New Roman" panose="02020603050405020304" pitchFamily="18" charset="0"/>
            </a:rPr>
            <a:t>Sekretarijat Komisije</a:t>
          </a:r>
          <a:endParaRPr lang="sr-Cyrl-CS" sz="900">
            <a:latin typeface="Times New Roman" panose="02020603050405020304" pitchFamily="18" charset="0"/>
            <a:cs typeface="Times New Roman" panose="02020603050405020304" pitchFamily="18" charset="0"/>
          </a:endParaRPr>
        </a:p>
      </dgm:t>
    </dgm:pt>
    <dgm:pt modelId="{2A619F3F-2709-4E4D-B337-314E94CE3550}" type="sibTrans" cxnId="{1EE140A5-F86D-4C10-B11A-956B882F548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0D4A7437-917E-4471-A41D-CBC15F80CFF6}" type="parTrans" cxnId="{1EE140A5-F86D-4C10-B11A-956B882F548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41737FBF-946E-4427-8570-DBFC03849BCE}" type="asst">
      <dgm:prSet phldrT="[Text]" custT="1"/>
      <dgm:spPr/>
      <dgm:t>
        <a:bodyPr/>
        <a:lstStyle/>
        <a:p>
          <a:pPr algn="ctr"/>
          <a:r>
            <a:rPr lang="sr-Latn-BA" sz="900">
              <a:latin typeface="Times New Roman" panose="02020603050405020304" pitchFamily="18" charset="0"/>
              <a:cs typeface="Times New Roman" panose="02020603050405020304" pitchFamily="18" charset="0"/>
            </a:rPr>
            <a:t>Zamjenik predsjednika</a:t>
          </a:r>
          <a:endParaRPr lang="sr-Cyrl-CS" sz="900">
            <a:latin typeface="Times New Roman" panose="02020603050405020304" pitchFamily="18" charset="0"/>
            <a:cs typeface="Times New Roman" panose="02020603050405020304" pitchFamily="18" charset="0"/>
          </a:endParaRPr>
        </a:p>
      </dgm:t>
    </dgm:pt>
    <dgm:pt modelId="{EC5FF9AB-9803-48D3-9929-AA63EBDE3789}" type="sibTrans" cxnId="{24CF140F-F38C-411B-BF01-2489BD0EB2E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5D9AA314-3F72-4D56-8A77-CF377CD08A13}" type="parTrans" cxnId="{24CF140F-F38C-411B-BF01-2489BD0EB2E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198CB177-18C5-4CEF-A5D7-70ED36FBF54C}">
      <dgm:prSet/>
      <dgm:spPr/>
      <dgm:t>
        <a:bodyPr/>
        <a:lstStyle/>
        <a:p>
          <a:r>
            <a:rPr lang="sr-Cyrl-CS">
              <a:latin typeface="Times New Roman" panose="02020603050405020304" pitchFamily="18" charset="0"/>
              <a:cs typeface="Times New Roman" panose="02020603050405020304" pitchFamily="18" charset="0"/>
            </a:rPr>
            <a:t>Sektor za razvoj i međunarodnu saradnju</a:t>
          </a:r>
          <a:endParaRPr lang="sr-Latn-BA">
            <a:latin typeface="Times New Roman" panose="02020603050405020304" pitchFamily="18" charset="0"/>
            <a:cs typeface="Times New Roman" panose="02020603050405020304" pitchFamily="18" charset="0"/>
          </a:endParaRPr>
        </a:p>
      </dgm:t>
    </dgm:pt>
    <dgm:pt modelId="{FBB4AB65-44CC-4CED-A831-0CA247E744A6}" type="parTrans" cxnId="{1DFBBBA8-250D-47AD-BB23-0FB10F067DD6}">
      <dgm:prSet/>
      <dgm:spPr/>
      <dgm:t>
        <a:bodyPr/>
        <a:lstStyle/>
        <a:p>
          <a:endParaRPr lang="sr-Latn-BA"/>
        </a:p>
      </dgm:t>
    </dgm:pt>
    <dgm:pt modelId="{B3FF4C92-FD7B-49BD-A182-B2DEC541068B}" type="sibTrans" cxnId="{1DFBBBA8-250D-47AD-BB23-0FB10F067DD6}">
      <dgm:prSet/>
      <dgm:spPr/>
      <dgm:t>
        <a:bodyPr/>
        <a:lstStyle/>
        <a:p>
          <a:endParaRPr lang="sr-Latn-BA"/>
        </a:p>
      </dgm:t>
    </dgm:pt>
    <dgm:pt modelId="{5C96DCB3-677C-4368-BB7F-9FC59AFE2EFE}">
      <dgm:prSet/>
      <dgm:spPr/>
      <dgm:t>
        <a:bodyPr/>
        <a:lstStyle/>
        <a:p>
          <a:r>
            <a:rPr lang="sr-Cyrl-CS">
              <a:latin typeface="Times New Roman" panose="02020603050405020304" pitchFamily="18" charset="0"/>
              <a:cs typeface="Times New Roman" panose="02020603050405020304" pitchFamily="18" charset="0"/>
            </a:rPr>
            <a:t>Sektor za izdavanje dozvola i slaglasnosti učesnicima na tržištu</a:t>
          </a:r>
          <a:endParaRPr lang="sr-Latn-BA">
            <a:latin typeface="Times New Roman" panose="02020603050405020304" pitchFamily="18" charset="0"/>
            <a:cs typeface="Times New Roman" panose="02020603050405020304" pitchFamily="18" charset="0"/>
          </a:endParaRPr>
        </a:p>
      </dgm:t>
    </dgm:pt>
    <dgm:pt modelId="{9114E4BF-1465-45F1-A74F-C207E6CC2D26}" type="parTrans" cxnId="{40068B73-BC8C-419F-BED2-3C539B6D90AB}">
      <dgm:prSet/>
      <dgm:spPr/>
      <dgm:t>
        <a:bodyPr/>
        <a:lstStyle/>
        <a:p>
          <a:endParaRPr lang="sr-Latn-BA"/>
        </a:p>
      </dgm:t>
    </dgm:pt>
    <dgm:pt modelId="{3E19B804-4EF8-4F21-BCE9-B32C99035751}" type="sibTrans" cxnId="{40068B73-BC8C-419F-BED2-3C539B6D90AB}">
      <dgm:prSet/>
      <dgm:spPr/>
      <dgm:t>
        <a:bodyPr/>
        <a:lstStyle/>
        <a:p>
          <a:endParaRPr lang="sr-Latn-BA"/>
        </a:p>
      </dgm:t>
    </dgm:pt>
    <dgm:pt modelId="{4C802E41-959D-4F16-8937-7C2423BA8994}">
      <dgm:prSet/>
      <dgm:spPr/>
      <dgm:t>
        <a:bodyPr/>
        <a:lstStyle/>
        <a:p>
          <a:r>
            <a:rPr lang="sr-Cyrl-CS">
              <a:latin typeface="Times New Roman" panose="02020603050405020304" pitchFamily="18" charset="0"/>
              <a:cs typeface="Times New Roman" panose="02020603050405020304" pitchFamily="18" charset="0"/>
            </a:rPr>
            <a:t>Sektor za nadzor</a:t>
          </a:r>
          <a:endParaRPr lang="sr-Latn-BA">
            <a:latin typeface="Times New Roman" panose="02020603050405020304" pitchFamily="18" charset="0"/>
            <a:cs typeface="Times New Roman" panose="02020603050405020304" pitchFamily="18" charset="0"/>
          </a:endParaRPr>
        </a:p>
      </dgm:t>
    </dgm:pt>
    <dgm:pt modelId="{2DB277AA-201A-421B-A2E1-5856F7F71FBF}" type="parTrans" cxnId="{BA9845B8-5B0D-4BA4-8F09-84FD81B02815}">
      <dgm:prSet/>
      <dgm:spPr/>
      <dgm:t>
        <a:bodyPr/>
        <a:lstStyle/>
        <a:p>
          <a:endParaRPr lang="sr-Latn-BA"/>
        </a:p>
      </dgm:t>
    </dgm:pt>
    <dgm:pt modelId="{ABC2710E-DB33-4209-9B99-8DC6AFFB5331}" type="sibTrans" cxnId="{BA9845B8-5B0D-4BA4-8F09-84FD81B02815}">
      <dgm:prSet/>
      <dgm:spPr/>
      <dgm:t>
        <a:bodyPr/>
        <a:lstStyle/>
        <a:p>
          <a:endParaRPr lang="sr-Latn-BA"/>
        </a:p>
      </dgm:t>
    </dgm:pt>
    <dgm:pt modelId="{36E86C13-D45F-4193-B09F-126E089C1AE2}" type="pres">
      <dgm:prSet presAssocID="{C8EFF0E6-96B8-4444-AEFE-5A1808C8C7CE}" presName="hierChild1" presStyleCnt="0">
        <dgm:presLayoutVars>
          <dgm:orgChart val="1"/>
          <dgm:chPref val="1"/>
          <dgm:dir/>
          <dgm:animOne val="branch"/>
          <dgm:animLvl val="lvl"/>
          <dgm:resizeHandles/>
        </dgm:presLayoutVars>
      </dgm:prSet>
      <dgm:spPr/>
    </dgm:pt>
    <dgm:pt modelId="{A1D25391-ACEB-43E8-BC60-E36295AF52C0}" type="pres">
      <dgm:prSet presAssocID="{A098CB35-69FC-4F39-AEA1-22681B79C9CF}" presName="hierRoot1" presStyleCnt="0">
        <dgm:presLayoutVars>
          <dgm:hierBranch val="init"/>
        </dgm:presLayoutVars>
      </dgm:prSet>
      <dgm:spPr/>
    </dgm:pt>
    <dgm:pt modelId="{E2B360FC-D6E4-4D6E-BC5C-2E2A8CCEBFD3}" type="pres">
      <dgm:prSet presAssocID="{A098CB35-69FC-4F39-AEA1-22681B79C9CF}" presName="rootComposite1" presStyleCnt="0"/>
      <dgm:spPr/>
    </dgm:pt>
    <dgm:pt modelId="{F7D6D2B7-4BCD-45F4-81EB-06EF7902C393}" type="pres">
      <dgm:prSet presAssocID="{A098CB35-69FC-4F39-AEA1-22681B79C9CF}" presName="rootText1" presStyleLbl="node0" presStyleIdx="0" presStyleCnt="1">
        <dgm:presLayoutVars>
          <dgm:chPref val="3"/>
        </dgm:presLayoutVars>
      </dgm:prSet>
      <dgm:spPr/>
    </dgm:pt>
    <dgm:pt modelId="{3C33A457-07F2-42FE-9ECD-BCE1FC82ADB0}" type="pres">
      <dgm:prSet presAssocID="{A098CB35-69FC-4F39-AEA1-22681B79C9CF}" presName="rootConnector1" presStyleLbl="node1" presStyleIdx="0" presStyleCnt="0"/>
      <dgm:spPr/>
    </dgm:pt>
    <dgm:pt modelId="{78938F40-4519-4577-B577-F7C59F0BC597}" type="pres">
      <dgm:prSet presAssocID="{A098CB35-69FC-4F39-AEA1-22681B79C9CF}" presName="hierChild2" presStyleCnt="0"/>
      <dgm:spPr/>
    </dgm:pt>
    <dgm:pt modelId="{0F58C1E9-1BCC-4C35-B1DA-CE251FB15A67}" type="pres">
      <dgm:prSet presAssocID="{AE65178F-7EE9-4DDE-A68A-0DA5312A4160}" presName="Name37" presStyleLbl="parChTrans1D2" presStyleIdx="0" presStyleCnt="8"/>
      <dgm:spPr/>
    </dgm:pt>
    <dgm:pt modelId="{2AE8C5B1-73D8-4A19-8D05-2B3205F0024C}" type="pres">
      <dgm:prSet presAssocID="{8B356998-4568-4F8C-ABD1-73B699A7CB31}" presName="hierRoot2" presStyleCnt="0">
        <dgm:presLayoutVars>
          <dgm:hierBranch val="init"/>
        </dgm:presLayoutVars>
      </dgm:prSet>
      <dgm:spPr/>
    </dgm:pt>
    <dgm:pt modelId="{0EA2BB67-597F-4B80-A9E9-C209594C41EE}" type="pres">
      <dgm:prSet presAssocID="{8B356998-4568-4F8C-ABD1-73B699A7CB31}" presName="rootComposite" presStyleCnt="0"/>
      <dgm:spPr/>
    </dgm:pt>
    <dgm:pt modelId="{AE64585F-A53C-4130-89A1-BF3C8DA02F79}" type="pres">
      <dgm:prSet presAssocID="{8B356998-4568-4F8C-ABD1-73B699A7CB31}" presName="rootText" presStyleLbl="node2" presStyleIdx="0" presStyleCnt="4" custScaleX="114574" custLinFactNeighborX="-14582" custLinFactNeighborY="387">
        <dgm:presLayoutVars>
          <dgm:chPref val="3"/>
        </dgm:presLayoutVars>
      </dgm:prSet>
      <dgm:spPr/>
    </dgm:pt>
    <dgm:pt modelId="{21A8B4C4-C963-4BCC-90E7-8B927501AF64}" type="pres">
      <dgm:prSet presAssocID="{8B356998-4568-4F8C-ABD1-73B699A7CB31}" presName="rootConnector" presStyleLbl="node2" presStyleIdx="0" presStyleCnt="4"/>
      <dgm:spPr/>
    </dgm:pt>
    <dgm:pt modelId="{F24C621D-CEF7-4C5B-86C1-AD8AC762A0BD}" type="pres">
      <dgm:prSet presAssocID="{8B356998-4568-4F8C-ABD1-73B699A7CB31}" presName="hierChild4" presStyleCnt="0"/>
      <dgm:spPr/>
    </dgm:pt>
    <dgm:pt modelId="{46A8D7EC-7C2A-4A66-B7DA-137D8DABE40C}" type="pres">
      <dgm:prSet presAssocID="{8B356998-4568-4F8C-ABD1-73B699A7CB31}" presName="hierChild5" presStyleCnt="0"/>
      <dgm:spPr/>
    </dgm:pt>
    <dgm:pt modelId="{BFF7FF2E-EA13-4C28-9C0F-6DF712719C44}" type="pres">
      <dgm:prSet presAssocID="{FBB4AB65-44CC-4CED-A831-0CA247E744A6}" presName="Name37" presStyleLbl="parChTrans1D2" presStyleIdx="1" presStyleCnt="8"/>
      <dgm:spPr/>
    </dgm:pt>
    <dgm:pt modelId="{19E139DA-450B-4061-ADF8-811B498F8515}" type="pres">
      <dgm:prSet presAssocID="{198CB177-18C5-4CEF-A5D7-70ED36FBF54C}" presName="hierRoot2" presStyleCnt="0">
        <dgm:presLayoutVars>
          <dgm:hierBranch val="init"/>
        </dgm:presLayoutVars>
      </dgm:prSet>
      <dgm:spPr/>
    </dgm:pt>
    <dgm:pt modelId="{DAF1CD1C-E6C3-40CC-8167-4674B4E8719A}" type="pres">
      <dgm:prSet presAssocID="{198CB177-18C5-4CEF-A5D7-70ED36FBF54C}" presName="rootComposite" presStyleCnt="0"/>
      <dgm:spPr/>
    </dgm:pt>
    <dgm:pt modelId="{93BBDB85-2CED-44B6-A107-3F123440F853}" type="pres">
      <dgm:prSet presAssocID="{198CB177-18C5-4CEF-A5D7-70ED36FBF54C}" presName="rootText" presStyleLbl="node2" presStyleIdx="1" presStyleCnt="4">
        <dgm:presLayoutVars>
          <dgm:chPref val="3"/>
        </dgm:presLayoutVars>
      </dgm:prSet>
      <dgm:spPr/>
    </dgm:pt>
    <dgm:pt modelId="{1DF29C82-3BF2-49C5-9CD4-B70FA503CBF4}" type="pres">
      <dgm:prSet presAssocID="{198CB177-18C5-4CEF-A5D7-70ED36FBF54C}" presName="rootConnector" presStyleLbl="node2" presStyleIdx="1" presStyleCnt="4"/>
      <dgm:spPr/>
    </dgm:pt>
    <dgm:pt modelId="{908A34CA-DE36-4792-8041-92A2F25AB9B1}" type="pres">
      <dgm:prSet presAssocID="{198CB177-18C5-4CEF-A5D7-70ED36FBF54C}" presName="hierChild4" presStyleCnt="0"/>
      <dgm:spPr/>
    </dgm:pt>
    <dgm:pt modelId="{528DFEAE-D5C3-425C-95D0-DCE3EFEBAC04}" type="pres">
      <dgm:prSet presAssocID="{198CB177-18C5-4CEF-A5D7-70ED36FBF54C}" presName="hierChild5" presStyleCnt="0"/>
      <dgm:spPr/>
    </dgm:pt>
    <dgm:pt modelId="{FFDFCA74-309A-4F7E-AAB1-AF90859192B1}" type="pres">
      <dgm:prSet presAssocID="{9114E4BF-1465-45F1-A74F-C207E6CC2D26}" presName="Name37" presStyleLbl="parChTrans1D2" presStyleIdx="2" presStyleCnt="8"/>
      <dgm:spPr/>
    </dgm:pt>
    <dgm:pt modelId="{C5B1EEFB-29C9-4C31-93F7-F7E0F895630B}" type="pres">
      <dgm:prSet presAssocID="{5C96DCB3-677C-4368-BB7F-9FC59AFE2EFE}" presName="hierRoot2" presStyleCnt="0">
        <dgm:presLayoutVars>
          <dgm:hierBranch val="init"/>
        </dgm:presLayoutVars>
      </dgm:prSet>
      <dgm:spPr/>
    </dgm:pt>
    <dgm:pt modelId="{38C73271-78CE-476D-A549-BB6F7F06896E}" type="pres">
      <dgm:prSet presAssocID="{5C96DCB3-677C-4368-BB7F-9FC59AFE2EFE}" presName="rootComposite" presStyleCnt="0"/>
      <dgm:spPr/>
    </dgm:pt>
    <dgm:pt modelId="{0CBD4E50-F474-450E-9C34-DF62294B7548}" type="pres">
      <dgm:prSet presAssocID="{5C96DCB3-677C-4368-BB7F-9FC59AFE2EFE}" presName="rootText" presStyleLbl="node2" presStyleIdx="2" presStyleCnt="4">
        <dgm:presLayoutVars>
          <dgm:chPref val="3"/>
        </dgm:presLayoutVars>
      </dgm:prSet>
      <dgm:spPr/>
    </dgm:pt>
    <dgm:pt modelId="{B53EDD99-D2FF-4717-B592-0672625CCC25}" type="pres">
      <dgm:prSet presAssocID="{5C96DCB3-677C-4368-BB7F-9FC59AFE2EFE}" presName="rootConnector" presStyleLbl="node2" presStyleIdx="2" presStyleCnt="4"/>
      <dgm:spPr/>
    </dgm:pt>
    <dgm:pt modelId="{625415B9-D0AD-4017-A6C8-6521E12E2BBF}" type="pres">
      <dgm:prSet presAssocID="{5C96DCB3-677C-4368-BB7F-9FC59AFE2EFE}" presName="hierChild4" presStyleCnt="0"/>
      <dgm:spPr/>
    </dgm:pt>
    <dgm:pt modelId="{72FF8032-2D5E-4EEA-A7CA-5E4A464376FB}" type="pres">
      <dgm:prSet presAssocID="{5C96DCB3-677C-4368-BB7F-9FC59AFE2EFE}" presName="hierChild5" presStyleCnt="0"/>
      <dgm:spPr/>
    </dgm:pt>
    <dgm:pt modelId="{EA18D183-1CE0-4E38-AF2B-408A38F5E0D9}" type="pres">
      <dgm:prSet presAssocID="{2DB277AA-201A-421B-A2E1-5856F7F71FBF}" presName="Name37" presStyleLbl="parChTrans1D2" presStyleIdx="3" presStyleCnt="8"/>
      <dgm:spPr/>
    </dgm:pt>
    <dgm:pt modelId="{D8768663-F511-4A29-9BDC-136B92A3DF37}" type="pres">
      <dgm:prSet presAssocID="{4C802E41-959D-4F16-8937-7C2423BA8994}" presName="hierRoot2" presStyleCnt="0">
        <dgm:presLayoutVars>
          <dgm:hierBranch val="init"/>
        </dgm:presLayoutVars>
      </dgm:prSet>
      <dgm:spPr/>
    </dgm:pt>
    <dgm:pt modelId="{7DFE5AD3-196F-43FF-8889-E4C508B06C82}" type="pres">
      <dgm:prSet presAssocID="{4C802E41-959D-4F16-8937-7C2423BA8994}" presName="rootComposite" presStyleCnt="0"/>
      <dgm:spPr/>
    </dgm:pt>
    <dgm:pt modelId="{7A9947B1-E6A4-4FE8-9694-5EFD16C457E0}" type="pres">
      <dgm:prSet presAssocID="{4C802E41-959D-4F16-8937-7C2423BA8994}" presName="rootText" presStyleLbl="node2" presStyleIdx="3" presStyleCnt="4">
        <dgm:presLayoutVars>
          <dgm:chPref val="3"/>
        </dgm:presLayoutVars>
      </dgm:prSet>
      <dgm:spPr/>
    </dgm:pt>
    <dgm:pt modelId="{FE10E2BD-66D8-4BB7-BD19-4EE58B466445}" type="pres">
      <dgm:prSet presAssocID="{4C802E41-959D-4F16-8937-7C2423BA8994}" presName="rootConnector" presStyleLbl="node2" presStyleIdx="3" presStyleCnt="4"/>
      <dgm:spPr/>
    </dgm:pt>
    <dgm:pt modelId="{9C2B2742-AD13-48BB-9BE5-C1E588895FD8}" type="pres">
      <dgm:prSet presAssocID="{4C802E41-959D-4F16-8937-7C2423BA8994}" presName="hierChild4" presStyleCnt="0"/>
      <dgm:spPr/>
    </dgm:pt>
    <dgm:pt modelId="{D6F8A35C-4D95-4C23-9A89-80B2E7350269}" type="pres">
      <dgm:prSet presAssocID="{4C802E41-959D-4F16-8937-7C2423BA8994}" presName="hierChild5" presStyleCnt="0"/>
      <dgm:spPr/>
    </dgm:pt>
    <dgm:pt modelId="{3E1DD641-13A1-466D-B971-8C65BB6507B7}" type="pres">
      <dgm:prSet presAssocID="{A098CB35-69FC-4F39-AEA1-22681B79C9CF}" presName="hierChild3" presStyleCnt="0"/>
      <dgm:spPr/>
    </dgm:pt>
    <dgm:pt modelId="{53FAB72A-6A6E-470B-91E3-3626A2BFA659}" type="pres">
      <dgm:prSet presAssocID="{5D9AA314-3F72-4D56-8A77-CF377CD08A13}" presName="Name111" presStyleLbl="parChTrans1D2" presStyleIdx="4" presStyleCnt="8"/>
      <dgm:spPr/>
    </dgm:pt>
    <dgm:pt modelId="{33501C1D-34BA-45F0-96B1-073A5DDB1049}" type="pres">
      <dgm:prSet presAssocID="{41737FBF-946E-4427-8570-DBFC03849BCE}" presName="hierRoot3" presStyleCnt="0">
        <dgm:presLayoutVars>
          <dgm:hierBranch val="init"/>
        </dgm:presLayoutVars>
      </dgm:prSet>
      <dgm:spPr/>
    </dgm:pt>
    <dgm:pt modelId="{856C023D-4D2E-4493-A78B-CD7F6CDE8262}" type="pres">
      <dgm:prSet presAssocID="{41737FBF-946E-4427-8570-DBFC03849BCE}" presName="rootComposite3" presStyleCnt="0"/>
      <dgm:spPr/>
    </dgm:pt>
    <dgm:pt modelId="{24B3E1AB-FAB1-4EC7-B3C6-78C7E562B3B9}" type="pres">
      <dgm:prSet presAssocID="{41737FBF-946E-4427-8570-DBFC03849BCE}" presName="rootText3" presStyleLbl="asst1" presStyleIdx="0" presStyleCnt="4" custScaleX="159014" custLinFactX="-6329" custLinFactY="-42386" custLinFactNeighborX="-100000" custLinFactNeighborY="-100000">
        <dgm:presLayoutVars>
          <dgm:chPref val="3"/>
        </dgm:presLayoutVars>
      </dgm:prSet>
      <dgm:spPr/>
    </dgm:pt>
    <dgm:pt modelId="{C88E78B2-B19C-4C63-9BD6-31D732270D9C}" type="pres">
      <dgm:prSet presAssocID="{41737FBF-946E-4427-8570-DBFC03849BCE}" presName="rootConnector3" presStyleLbl="asst1" presStyleIdx="0" presStyleCnt="4"/>
      <dgm:spPr/>
    </dgm:pt>
    <dgm:pt modelId="{D1731FFF-5303-4D6A-AD0C-5C6FFE6F5B2D}" type="pres">
      <dgm:prSet presAssocID="{41737FBF-946E-4427-8570-DBFC03849BCE}" presName="hierChild6" presStyleCnt="0"/>
      <dgm:spPr/>
    </dgm:pt>
    <dgm:pt modelId="{D44A4A70-79A3-479D-82AE-E85E76DC8F77}" type="pres">
      <dgm:prSet presAssocID="{41737FBF-946E-4427-8570-DBFC03849BCE}" presName="hierChild7" presStyleCnt="0"/>
      <dgm:spPr/>
    </dgm:pt>
    <dgm:pt modelId="{19EA7F88-E762-4751-9210-4CC7F0F20177}" type="pres">
      <dgm:prSet presAssocID="{0D4A7437-917E-4471-A41D-CBC15F80CFF6}" presName="Name111" presStyleLbl="parChTrans1D2" presStyleIdx="5" presStyleCnt="8"/>
      <dgm:spPr/>
    </dgm:pt>
    <dgm:pt modelId="{7B1985C6-CF45-46D5-8D0D-05BF4EA62EB1}" type="pres">
      <dgm:prSet presAssocID="{31275758-EECE-48E7-87BC-4045B3B82264}" presName="hierRoot3" presStyleCnt="0">
        <dgm:presLayoutVars>
          <dgm:hierBranch val="init"/>
        </dgm:presLayoutVars>
      </dgm:prSet>
      <dgm:spPr/>
    </dgm:pt>
    <dgm:pt modelId="{15EEB00E-B975-4302-A883-B38B253F3C9A}" type="pres">
      <dgm:prSet presAssocID="{31275758-EECE-48E7-87BC-4045B3B82264}" presName="rootComposite3" presStyleCnt="0"/>
      <dgm:spPr/>
    </dgm:pt>
    <dgm:pt modelId="{9C0E7CEE-CA04-4557-B579-B4284E3B2F58}" type="pres">
      <dgm:prSet presAssocID="{31275758-EECE-48E7-87BC-4045B3B82264}" presName="rootText3" presStyleLbl="asst1" presStyleIdx="1" presStyleCnt="4" custScaleX="110488" custLinFactNeighborX="4557" custLinFactNeighborY="29164">
        <dgm:presLayoutVars>
          <dgm:chPref val="3"/>
        </dgm:presLayoutVars>
      </dgm:prSet>
      <dgm:spPr/>
    </dgm:pt>
    <dgm:pt modelId="{359F6803-C3AE-4071-BCF9-B432F8C185C3}" type="pres">
      <dgm:prSet presAssocID="{31275758-EECE-48E7-87BC-4045B3B82264}" presName="rootConnector3" presStyleLbl="asst1" presStyleIdx="1" presStyleCnt="4"/>
      <dgm:spPr/>
    </dgm:pt>
    <dgm:pt modelId="{68A15229-B6D3-4552-B284-A75770272376}" type="pres">
      <dgm:prSet presAssocID="{31275758-EECE-48E7-87BC-4045B3B82264}" presName="hierChild6" presStyleCnt="0"/>
      <dgm:spPr/>
    </dgm:pt>
    <dgm:pt modelId="{DAB772E9-4067-4116-B08B-915FB4E9CB07}" type="pres">
      <dgm:prSet presAssocID="{31275758-EECE-48E7-87BC-4045B3B82264}" presName="hierChild7" presStyleCnt="0"/>
      <dgm:spPr/>
    </dgm:pt>
    <dgm:pt modelId="{53398FA4-5018-4F6A-8D1C-14DD1BC4B34A}" type="pres">
      <dgm:prSet presAssocID="{1D32BB17-B50E-4321-A6B2-1ECF88B1EA59}" presName="Name111" presStyleLbl="parChTrans1D2" presStyleIdx="6" presStyleCnt="8"/>
      <dgm:spPr/>
    </dgm:pt>
    <dgm:pt modelId="{696E00E2-9DD9-42D3-AF92-600DB54A1D82}" type="pres">
      <dgm:prSet presAssocID="{8BD07DC7-9305-44CF-B846-64506FF5CE97}" presName="hierRoot3" presStyleCnt="0">
        <dgm:presLayoutVars>
          <dgm:hierBranch val="init"/>
        </dgm:presLayoutVars>
      </dgm:prSet>
      <dgm:spPr/>
    </dgm:pt>
    <dgm:pt modelId="{C9FAAA1E-151A-4948-9ABD-76A1813E6D88}" type="pres">
      <dgm:prSet presAssocID="{8BD07DC7-9305-44CF-B846-64506FF5CE97}" presName="rootComposite3" presStyleCnt="0"/>
      <dgm:spPr/>
    </dgm:pt>
    <dgm:pt modelId="{0D5FCD05-6A67-4944-8CDA-66F62A810B15}" type="pres">
      <dgm:prSet presAssocID="{8BD07DC7-9305-44CF-B846-64506FF5CE97}" presName="rootText3" presStyleLbl="asst1" presStyleIdx="2" presStyleCnt="4">
        <dgm:presLayoutVars>
          <dgm:chPref val="3"/>
        </dgm:presLayoutVars>
      </dgm:prSet>
      <dgm:spPr/>
    </dgm:pt>
    <dgm:pt modelId="{07BC0234-7BDC-44F3-9A66-29AAED1A5CB4}" type="pres">
      <dgm:prSet presAssocID="{8BD07DC7-9305-44CF-B846-64506FF5CE97}" presName="rootConnector3" presStyleLbl="asst1" presStyleIdx="2" presStyleCnt="4"/>
      <dgm:spPr/>
    </dgm:pt>
    <dgm:pt modelId="{2C9DF1D9-8BC7-4DC5-AD24-BADF523DF3EC}" type="pres">
      <dgm:prSet presAssocID="{8BD07DC7-9305-44CF-B846-64506FF5CE97}" presName="hierChild6" presStyleCnt="0"/>
      <dgm:spPr/>
    </dgm:pt>
    <dgm:pt modelId="{A3DE5C8C-5FDF-47AF-849F-85D660365E72}" type="pres">
      <dgm:prSet presAssocID="{8BD07DC7-9305-44CF-B846-64506FF5CE97}" presName="hierChild7" presStyleCnt="0"/>
      <dgm:spPr/>
    </dgm:pt>
    <dgm:pt modelId="{F2CC5B1D-91CC-4105-AD0E-3D29A4129BDE}" type="pres">
      <dgm:prSet presAssocID="{7EFC92D4-B6B3-4632-A1F5-BB691FEE5970}" presName="Name111" presStyleLbl="parChTrans1D2" presStyleIdx="7" presStyleCnt="8"/>
      <dgm:spPr/>
    </dgm:pt>
    <dgm:pt modelId="{4A7A4C23-1324-4109-A383-FBFE93DC27C2}" type="pres">
      <dgm:prSet presAssocID="{FC8A186B-CC00-4CB4-9788-0D608B961A46}" presName="hierRoot3" presStyleCnt="0">
        <dgm:presLayoutVars>
          <dgm:hierBranch val="init"/>
        </dgm:presLayoutVars>
      </dgm:prSet>
      <dgm:spPr/>
    </dgm:pt>
    <dgm:pt modelId="{F4F93DDE-B0D4-4482-8850-584FBF211547}" type="pres">
      <dgm:prSet presAssocID="{FC8A186B-CC00-4CB4-9788-0D608B961A46}" presName="rootComposite3" presStyleCnt="0"/>
      <dgm:spPr/>
    </dgm:pt>
    <dgm:pt modelId="{3731EF64-E532-4C3F-9FE4-565F1AACDBE6}" type="pres">
      <dgm:prSet presAssocID="{FC8A186B-CC00-4CB4-9788-0D608B961A46}" presName="rootText3" presStyleLbl="asst1" presStyleIdx="3" presStyleCnt="4" custScaleX="159638" custLinFactX="100000" custLinFactY="-100000" custLinFactNeighborX="145159" custLinFactNeighborY="-184386">
        <dgm:presLayoutVars>
          <dgm:chPref val="3"/>
        </dgm:presLayoutVars>
      </dgm:prSet>
      <dgm:spPr/>
    </dgm:pt>
    <dgm:pt modelId="{C6DF96AB-0D51-4127-B4C3-17B9E48F9894}" type="pres">
      <dgm:prSet presAssocID="{FC8A186B-CC00-4CB4-9788-0D608B961A46}" presName="rootConnector3" presStyleLbl="asst1" presStyleIdx="3" presStyleCnt="4"/>
      <dgm:spPr/>
    </dgm:pt>
    <dgm:pt modelId="{67DF4B74-EF39-4A6A-A26A-2F15BACEB23A}" type="pres">
      <dgm:prSet presAssocID="{FC8A186B-CC00-4CB4-9788-0D608B961A46}" presName="hierChild6" presStyleCnt="0"/>
      <dgm:spPr/>
    </dgm:pt>
    <dgm:pt modelId="{4A31AE8E-7CD0-4044-A55F-A5297A347274}" type="pres">
      <dgm:prSet presAssocID="{FC8A186B-CC00-4CB4-9788-0D608B961A46}" presName="hierChild7" presStyleCnt="0"/>
      <dgm:spPr/>
    </dgm:pt>
  </dgm:ptLst>
  <dgm:cxnLst>
    <dgm:cxn modelId="{A92E0400-4733-43D6-8E05-E374D835FA8C}" type="presOf" srcId="{5D9AA314-3F72-4D56-8A77-CF377CD08A13}" destId="{53FAB72A-6A6E-470B-91E3-3626A2BFA659}" srcOrd="0" destOrd="0" presId="urn:microsoft.com/office/officeart/2005/8/layout/orgChart1"/>
    <dgm:cxn modelId="{7C955806-A136-4C93-939B-1A9C04AE8718}" srcId="{C8EFF0E6-96B8-4444-AEFE-5A1808C8C7CE}" destId="{A098CB35-69FC-4F39-AEA1-22681B79C9CF}" srcOrd="0" destOrd="0" parTransId="{7A9D4DF5-B258-4E34-9F2B-ACD874D04EDC}" sibTransId="{0780D0DC-A175-448F-AA58-D26020D4ABE4}"/>
    <dgm:cxn modelId="{24CF140F-F38C-411B-BF01-2489BD0EB2E8}" srcId="{A098CB35-69FC-4F39-AEA1-22681B79C9CF}" destId="{41737FBF-946E-4427-8570-DBFC03849BCE}" srcOrd="0" destOrd="0" parTransId="{5D9AA314-3F72-4D56-8A77-CF377CD08A13}" sibTransId="{EC5FF9AB-9803-48D3-9929-AA63EBDE3789}"/>
    <dgm:cxn modelId="{0E667012-2C2F-4821-9901-567FB0183709}" type="presOf" srcId="{5C96DCB3-677C-4368-BB7F-9FC59AFE2EFE}" destId="{0CBD4E50-F474-450E-9C34-DF62294B7548}" srcOrd="0" destOrd="0" presId="urn:microsoft.com/office/officeart/2005/8/layout/orgChart1"/>
    <dgm:cxn modelId="{37DE1722-B82C-47B2-9E2C-1166E92122C5}" type="presOf" srcId="{4C802E41-959D-4F16-8937-7C2423BA8994}" destId="{FE10E2BD-66D8-4BB7-BD19-4EE58B466445}" srcOrd="1" destOrd="0" presId="urn:microsoft.com/office/officeart/2005/8/layout/orgChart1"/>
    <dgm:cxn modelId="{0E509334-4683-47A7-8F36-28122240D7FA}" type="presOf" srcId="{0D4A7437-917E-4471-A41D-CBC15F80CFF6}" destId="{19EA7F88-E762-4751-9210-4CC7F0F20177}" srcOrd="0" destOrd="0" presId="urn:microsoft.com/office/officeart/2005/8/layout/orgChart1"/>
    <dgm:cxn modelId="{D630A834-C1BA-4D88-96EF-32AB21DA6FE9}" type="presOf" srcId="{AE65178F-7EE9-4DDE-A68A-0DA5312A4160}" destId="{0F58C1E9-1BCC-4C35-B1DA-CE251FB15A67}" srcOrd="0" destOrd="0" presId="urn:microsoft.com/office/officeart/2005/8/layout/orgChart1"/>
    <dgm:cxn modelId="{12EA7139-DAF2-4EE1-86B9-C4A3138D9D33}" type="presOf" srcId="{31275758-EECE-48E7-87BC-4045B3B82264}" destId="{359F6803-C3AE-4071-BCF9-B432F8C185C3}" srcOrd="1" destOrd="0" presId="urn:microsoft.com/office/officeart/2005/8/layout/orgChart1"/>
    <dgm:cxn modelId="{BDE9253C-EE6F-4A8B-A04D-CDBFA90239E7}" type="presOf" srcId="{FC8A186B-CC00-4CB4-9788-0D608B961A46}" destId="{C6DF96AB-0D51-4127-B4C3-17B9E48F9894}" srcOrd="1" destOrd="0" presId="urn:microsoft.com/office/officeart/2005/8/layout/orgChart1"/>
    <dgm:cxn modelId="{ABAA955F-696B-4442-935F-C6D371FE0060}" type="presOf" srcId="{9114E4BF-1465-45F1-A74F-C207E6CC2D26}" destId="{FFDFCA74-309A-4F7E-AAB1-AF90859192B1}" srcOrd="0" destOrd="0" presId="urn:microsoft.com/office/officeart/2005/8/layout/orgChart1"/>
    <dgm:cxn modelId="{68287451-E1F4-4C06-98D3-94DB71DDA623}" srcId="{A098CB35-69FC-4F39-AEA1-22681B79C9CF}" destId="{8BD07DC7-9305-44CF-B846-64506FF5CE97}" srcOrd="2" destOrd="0" parTransId="{1D32BB17-B50E-4321-A6B2-1ECF88B1EA59}" sibTransId="{3477717A-08E9-4E63-ADAB-065C43B3B8E0}"/>
    <dgm:cxn modelId="{40068B73-BC8C-419F-BED2-3C539B6D90AB}" srcId="{A098CB35-69FC-4F39-AEA1-22681B79C9CF}" destId="{5C96DCB3-677C-4368-BB7F-9FC59AFE2EFE}" srcOrd="6" destOrd="0" parTransId="{9114E4BF-1465-45F1-A74F-C207E6CC2D26}" sibTransId="{3E19B804-4EF8-4F21-BCE9-B32C99035751}"/>
    <dgm:cxn modelId="{A260FB75-B78E-4EF0-BCF1-C70EBC565B5E}" srcId="{A098CB35-69FC-4F39-AEA1-22681B79C9CF}" destId="{8B356998-4568-4F8C-ABD1-73B699A7CB31}" srcOrd="4" destOrd="0" parTransId="{AE65178F-7EE9-4DDE-A68A-0DA5312A4160}" sibTransId="{E7C5D07E-6B4B-4759-976F-DA10DB15F1B4}"/>
    <dgm:cxn modelId="{DA4D9D76-0AAD-483B-9356-A7883D0D3966}" type="presOf" srcId="{C8EFF0E6-96B8-4444-AEFE-5A1808C8C7CE}" destId="{36E86C13-D45F-4193-B09F-126E089C1AE2}" srcOrd="0" destOrd="0" presId="urn:microsoft.com/office/officeart/2005/8/layout/orgChart1"/>
    <dgm:cxn modelId="{15811F58-770A-4874-A144-AEC46FB9E0D1}" type="presOf" srcId="{198CB177-18C5-4CEF-A5D7-70ED36FBF54C}" destId="{93BBDB85-2CED-44B6-A107-3F123440F853}" srcOrd="0" destOrd="0" presId="urn:microsoft.com/office/officeart/2005/8/layout/orgChart1"/>
    <dgm:cxn modelId="{CD404281-7471-4F8D-94ED-759F66BA8D4B}" type="presOf" srcId="{7EFC92D4-B6B3-4632-A1F5-BB691FEE5970}" destId="{F2CC5B1D-91CC-4105-AD0E-3D29A4129BDE}" srcOrd="0" destOrd="0" presId="urn:microsoft.com/office/officeart/2005/8/layout/orgChart1"/>
    <dgm:cxn modelId="{A2069283-D0B2-4562-81DA-C70647627AB6}" type="presOf" srcId="{A098CB35-69FC-4F39-AEA1-22681B79C9CF}" destId="{F7D6D2B7-4BCD-45F4-81EB-06EF7902C393}" srcOrd="0" destOrd="0" presId="urn:microsoft.com/office/officeart/2005/8/layout/orgChart1"/>
    <dgm:cxn modelId="{7E3A1990-773A-4F27-968D-335E9BAA07D6}" type="presOf" srcId="{8BD07DC7-9305-44CF-B846-64506FF5CE97}" destId="{0D5FCD05-6A67-4944-8CDA-66F62A810B15}" srcOrd="0" destOrd="0" presId="urn:microsoft.com/office/officeart/2005/8/layout/orgChart1"/>
    <dgm:cxn modelId="{DC66DC90-BCE4-46D5-A438-28356720BD1B}" srcId="{A098CB35-69FC-4F39-AEA1-22681B79C9CF}" destId="{FC8A186B-CC00-4CB4-9788-0D608B961A46}" srcOrd="3" destOrd="0" parTransId="{7EFC92D4-B6B3-4632-A1F5-BB691FEE5970}" sibTransId="{FF981F79-7BFB-4961-AAC5-3D3723DE291D}"/>
    <dgm:cxn modelId="{C4ECD39C-289A-45F1-8B7A-809297E50DCA}" type="presOf" srcId="{2DB277AA-201A-421B-A2E1-5856F7F71FBF}" destId="{EA18D183-1CE0-4E38-AF2B-408A38F5E0D9}" srcOrd="0" destOrd="0" presId="urn:microsoft.com/office/officeart/2005/8/layout/orgChart1"/>
    <dgm:cxn modelId="{370E86A4-7E23-4154-A294-89A5AD299C2D}" type="presOf" srcId="{FBB4AB65-44CC-4CED-A831-0CA247E744A6}" destId="{BFF7FF2E-EA13-4C28-9C0F-6DF712719C44}" srcOrd="0" destOrd="0" presId="urn:microsoft.com/office/officeart/2005/8/layout/orgChart1"/>
    <dgm:cxn modelId="{1EE140A5-F86D-4C10-B11A-956B882F5488}" srcId="{A098CB35-69FC-4F39-AEA1-22681B79C9CF}" destId="{31275758-EECE-48E7-87BC-4045B3B82264}" srcOrd="1" destOrd="0" parTransId="{0D4A7437-917E-4471-A41D-CBC15F80CFF6}" sibTransId="{2A619F3F-2709-4E4D-B337-314E94CE3550}"/>
    <dgm:cxn modelId="{C8111AA7-1ED0-448B-8D29-C6DBB099D2B1}" type="presOf" srcId="{8B356998-4568-4F8C-ABD1-73B699A7CB31}" destId="{AE64585F-A53C-4130-89A1-BF3C8DA02F79}" srcOrd="0" destOrd="0" presId="urn:microsoft.com/office/officeart/2005/8/layout/orgChart1"/>
    <dgm:cxn modelId="{1DFBBBA8-250D-47AD-BB23-0FB10F067DD6}" srcId="{A098CB35-69FC-4F39-AEA1-22681B79C9CF}" destId="{198CB177-18C5-4CEF-A5D7-70ED36FBF54C}" srcOrd="5" destOrd="0" parTransId="{FBB4AB65-44CC-4CED-A831-0CA247E744A6}" sibTransId="{B3FF4C92-FD7B-49BD-A182-B2DEC541068B}"/>
    <dgm:cxn modelId="{522DF9AD-F3F8-4CD6-B73F-9ACE8562D610}" type="presOf" srcId="{41737FBF-946E-4427-8570-DBFC03849BCE}" destId="{C88E78B2-B19C-4C63-9BD6-31D732270D9C}" srcOrd="1" destOrd="0" presId="urn:microsoft.com/office/officeart/2005/8/layout/orgChart1"/>
    <dgm:cxn modelId="{4755AEB1-4FE8-470B-B45C-9FBCA894C023}" type="presOf" srcId="{8BD07DC7-9305-44CF-B846-64506FF5CE97}" destId="{07BC0234-7BDC-44F3-9A66-29AAED1A5CB4}" srcOrd="1" destOrd="0" presId="urn:microsoft.com/office/officeart/2005/8/layout/orgChart1"/>
    <dgm:cxn modelId="{BA9845B8-5B0D-4BA4-8F09-84FD81B02815}" srcId="{A098CB35-69FC-4F39-AEA1-22681B79C9CF}" destId="{4C802E41-959D-4F16-8937-7C2423BA8994}" srcOrd="7" destOrd="0" parTransId="{2DB277AA-201A-421B-A2E1-5856F7F71FBF}" sibTransId="{ABC2710E-DB33-4209-9B99-8DC6AFFB5331}"/>
    <dgm:cxn modelId="{462514BE-6794-491D-8796-2FD2FD3540E4}" type="presOf" srcId="{4C802E41-959D-4F16-8937-7C2423BA8994}" destId="{7A9947B1-E6A4-4FE8-9694-5EFD16C457E0}" srcOrd="0" destOrd="0" presId="urn:microsoft.com/office/officeart/2005/8/layout/orgChart1"/>
    <dgm:cxn modelId="{476180CB-5B02-4429-AE9A-001E90B4EDCE}" type="presOf" srcId="{1D32BB17-B50E-4321-A6B2-1ECF88B1EA59}" destId="{53398FA4-5018-4F6A-8D1C-14DD1BC4B34A}" srcOrd="0" destOrd="0" presId="urn:microsoft.com/office/officeart/2005/8/layout/orgChart1"/>
    <dgm:cxn modelId="{C78523CC-6A85-43DB-84CE-7F173639FD97}" type="presOf" srcId="{198CB177-18C5-4CEF-A5D7-70ED36FBF54C}" destId="{1DF29C82-3BF2-49C5-9CD4-B70FA503CBF4}" srcOrd="1" destOrd="0" presId="urn:microsoft.com/office/officeart/2005/8/layout/orgChart1"/>
    <dgm:cxn modelId="{C7B78CE0-05E3-4E72-98F7-AA487DCC9446}" type="presOf" srcId="{5C96DCB3-677C-4368-BB7F-9FC59AFE2EFE}" destId="{B53EDD99-D2FF-4717-B592-0672625CCC25}" srcOrd="1" destOrd="0" presId="urn:microsoft.com/office/officeart/2005/8/layout/orgChart1"/>
    <dgm:cxn modelId="{68B436E9-5FAA-4D6A-A85C-FDACBB864464}" type="presOf" srcId="{A098CB35-69FC-4F39-AEA1-22681B79C9CF}" destId="{3C33A457-07F2-42FE-9ECD-BCE1FC82ADB0}" srcOrd="1" destOrd="0" presId="urn:microsoft.com/office/officeart/2005/8/layout/orgChart1"/>
    <dgm:cxn modelId="{08AD96E9-89D6-4C80-BFAE-70386E9EBE6A}" type="presOf" srcId="{FC8A186B-CC00-4CB4-9788-0D608B961A46}" destId="{3731EF64-E532-4C3F-9FE4-565F1AACDBE6}" srcOrd="0" destOrd="0" presId="urn:microsoft.com/office/officeart/2005/8/layout/orgChart1"/>
    <dgm:cxn modelId="{6C5C37EB-3C8A-4518-86FA-928B86369738}" type="presOf" srcId="{8B356998-4568-4F8C-ABD1-73B699A7CB31}" destId="{21A8B4C4-C963-4BCC-90E7-8B927501AF64}" srcOrd="1" destOrd="0" presId="urn:microsoft.com/office/officeart/2005/8/layout/orgChart1"/>
    <dgm:cxn modelId="{933E93EF-A395-4262-8370-70F19757F995}" type="presOf" srcId="{41737FBF-946E-4427-8570-DBFC03849BCE}" destId="{24B3E1AB-FAB1-4EC7-B3C6-78C7E562B3B9}" srcOrd="0" destOrd="0" presId="urn:microsoft.com/office/officeart/2005/8/layout/orgChart1"/>
    <dgm:cxn modelId="{10CB60FA-7318-4592-9F63-B38EA83DBC22}" type="presOf" srcId="{31275758-EECE-48E7-87BC-4045B3B82264}" destId="{9C0E7CEE-CA04-4557-B579-B4284E3B2F58}" srcOrd="0" destOrd="0" presId="urn:microsoft.com/office/officeart/2005/8/layout/orgChart1"/>
    <dgm:cxn modelId="{50A7EAED-8987-4F96-A210-A70092DCE679}" type="presParOf" srcId="{36E86C13-D45F-4193-B09F-126E089C1AE2}" destId="{A1D25391-ACEB-43E8-BC60-E36295AF52C0}" srcOrd="0" destOrd="0" presId="urn:microsoft.com/office/officeart/2005/8/layout/orgChart1"/>
    <dgm:cxn modelId="{38B31475-780E-47DD-A906-DE312C972832}" type="presParOf" srcId="{A1D25391-ACEB-43E8-BC60-E36295AF52C0}" destId="{E2B360FC-D6E4-4D6E-BC5C-2E2A8CCEBFD3}" srcOrd="0" destOrd="0" presId="urn:microsoft.com/office/officeart/2005/8/layout/orgChart1"/>
    <dgm:cxn modelId="{A4BBD392-7B63-499F-9F95-5EB5DCC5A708}" type="presParOf" srcId="{E2B360FC-D6E4-4D6E-BC5C-2E2A8CCEBFD3}" destId="{F7D6D2B7-4BCD-45F4-81EB-06EF7902C393}" srcOrd="0" destOrd="0" presId="urn:microsoft.com/office/officeart/2005/8/layout/orgChart1"/>
    <dgm:cxn modelId="{325A4AED-42AD-4CF7-8E99-6E62E943107B}" type="presParOf" srcId="{E2B360FC-D6E4-4D6E-BC5C-2E2A8CCEBFD3}" destId="{3C33A457-07F2-42FE-9ECD-BCE1FC82ADB0}" srcOrd="1" destOrd="0" presId="urn:microsoft.com/office/officeart/2005/8/layout/orgChart1"/>
    <dgm:cxn modelId="{307E73D0-5F64-42E4-B18C-26BD064912B5}" type="presParOf" srcId="{A1D25391-ACEB-43E8-BC60-E36295AF52C0}" destId="{78938F40-4519-4577-B577-F7C59F0BC597}" srcOrd="1" destOrd="0" presId="urn:microsoft.com/office/officeart/2005/8/layout/orgChart1"/>
    <dgm:cxn modelId="{57AEB3DD-564E-4DE0-984C-C94A5E94AF09}" type="presParOf" srcId="{78938F40-4519-4577-B577-F7C59F0BC597}" destId="{0F58C1E9-1BCC-4C35-B1DA-CE251FB15A67}" srcOrd="0" destOrd="0" presId="urn:microsoft.com/office/officeart/2005/8/layout/orgChart1"/>
    <dgm:cxn modelId="{5FC35421-979E-400B-A7F3-8224F7AE32C2}" type="presParOf" srcId="{78938F40-4519-4577-B577-F7C59F0BC597}" destId="{2AE8C5B1-73D8-4A19-8D05-2B3205F0024C}" srcOrd="1" destOrd="0" presId="urn:microsoft.com/office/officeart/2005/8/layout/orgChart1"/>
    <dgm:cxn modelId="{9759D0E5-973D-4EE5-9797-5E196C96E90A}" type="presParOf" srcId="{2AE8C5B1-73D8-4A19-8D05-2B3205F0024C}" destId="{0EA2BB67-597F-4B80-A9E9-C209594C41EE}" srcOrd="0" destOrd="0" presId="urn:microsoft.com/office/officeart/2005/8/layout/orgChart1"/>
    <dgm:cxn modelId="{C3C859CE-9B10-40CE-841A-8E0F8A023C32}" type="presParOf" srcId="{0EA2BB67-597F-4B80-A9E9-C209594C41EE}" destId="{AE64585F-A53C-4130-89A1-BF3C8DA02F79}" srcOrd="0" destOrd="0" presId="urn:microsoft.com/office/officeart/2005/8/layout/orgChart1"/>
    <dgm:cxn modelId="{2E560A9D-001F-4441-BCA1-4BD7F39FB851}" type="presParOf" srcId="{0EA2BB67-597F-4B80-A9E9-C209594C41EE}" destId="{21A8B4C4-C963-4BCC-90E7-8B927501AF64}" srcOrd="1" destOrd="0" presId="urn:microsoft.com/office/officeart/2005/8/layout/orgChart1"/>
    <dgm:cxn modelId="{D7023BA7-6135-41A4-9E66-78E384234A15}" type="presParOf" srcId="{2AE8C5B1-73D8-4A19-8D05-2B3205F0024C}" destId="{F24C621D-CEF7-4C5B-86C1-AD8AC762A0BD}" srcOrd="1" destOrd="0" presId="urn:microsoft.com/office/officeart/2005/8/layout/orgChart1"/>
    <dgm:cxn modelId="{B68E1F60-A8C1-485B-8F4E-A8E9F1FD454F}" type="presParOf" srcId="{2AE8C5B1-73D8-4A19-8D05-2B3205F0024C}" destId="{46A8D7EC-7C2A-4A66-B7DA-137D8DABE40C}" srcOrd="2" destOrd="0" presId="urn:microsoft.com/office/officeart/2005/8/layout/orgChart1"/>
    <dgm:cxn modelId="{EE0943B3-4C0C-4C57-9440-E1F4ED70CEF8}" type="presParOf" srcId="{78938F40-4519-4577-B577-F7C59F0BC597}" destId="{BFF7FF2E-EA13-4C28-9C0F-6DF712719C44}" srcOrd="2" destOrd="0" presId="urn:microsoft.com/office/officeart/2005/8/layout/orgChart1"/>
    <dgm:cxn modelId="{08C51264-EC87-4D15-AE1A-DF30DE69C0FC}" type="presParOf" srcId="{78938F40-4519-4577-B577-F7C59F0BC597}" destId="{19E139DA-450B-4061-ADF8-811B498F8515}" srcOrd="3" destOrd="0" presId="urn:microsoft.com/office/officeart/2005/8/layout/orgChart1"/>
    <dgm:cxn modelId="{2B599FE1-0582-438A-AE7C-C6477BD797E3}" type="presParOf" srcId="{19E139DA-450B-4061-ADF8-811B498F8515}" destId="{DAF1CD1C-E6C3-40CC-8167-4674B4E8719A}" srcOrd="0" destOrd="0" presId="urn:microsoft.com/office/officeart/2005/8/layout/orgChart1"/>
    <dgm:cxn modelId="{2F9CE773-22CE-49D2-8612-01E94B747CC5}" type="presParOf" srcId="{DAF1CD1C-E6C3-40CC-8167-4674B4E8719A}" destId="{93BBDB85-2CED-44B6-A107-3F123440F853}" srcOrd="0" destOrd="0" presId="urn:microsoft.com/office/officeart/2005/8/layout/orgChart1"/>
    <dgm:cxn modelId="{BB6BFA39-D8F5-4CA8-BBEF-24E6BBBC0B7E}" type="presParOf" srcId="{DAF1CD1C-E6C3-40CC-8167-4674B4E8719A}" destId="{1DF29C82-3BF2-49C5-9CD4-B70FA503CBF4}" srcOrd="1" destOrd="0" presId="urn:microsoft.com/office/officeart/2005/8/layout/orgChart1"/>
    <dgm:cxn modelId="{992714CD-A8CF-43D4-8C40-C98349CB0F80}" type="presParOf" srcId="{19E139DA-450B-4061-ADF8-811B498F8515}" destId="{908A34CA-DE36-4792-8041-92A2F25AB9B1}" srcOrd="1" destOrd="0" presId="urn:microsoft.com/office/officeart/2005/8/layout/orgChart1"/>
    <dgm:cxn modelId="{0D14DC62-255D-4595-8114-FFC813BE3803}" type="presParOf" srcId="{19E139DA-450B-4061-ADF8-811B498F8515}" destId="{528DFEAE-D5C3-425C-95D0-DCE3EFEBAC04}" srcOrd="2" destOrd="0" presId="urn:microsoft.com/office/officeart/2005/8/layout/orgChart1"/>
    <dgm:cxn modelId="{548FC86B-58D3-4340-8A4C-043CB348FC4D}" type="presParOf" srcId="{78938F40-4519-4577-B577-F7C59F0BC597}" destId="{FFDFCA74-309A-4F7E-AAB1-AF90859192B1}" srcOrd="4" destOrd="0" presId="urn:microsoft.com/office/officeart/2005/8/layout/orgChart1"/>
    <dgm:cxn modelId="{D79FA96B-9EF8-420C-9246-1A9E88012C7E}" type="presParOf" srcId="{78938F40-4519-4577-B577-F7C59F0BC597}" destId="{C5B1EEFB-29C9-4C31-93F7-F7E0F895630B}" srcOrd="5" destOrd="0" presId="urn:microsoft.com/office/officeart/2005/8/layout/orgChart1"/>
    <dgm:cxn modelId="{4B5DDC5A-AE7E-4059-B344-D7C7220C0725}" type="presParOf" srcId="{C5B1EEFB-29C9-4C31-93F7-F7E0F895630B}" destId="{38C73271-78CE-476D-A549-BB6F7F06896E}" srcOrd="0" destOrd="0" presId="urn:microsoft.com/office/officeart/2005/8/layout/orgChart1"/>
    <dgm:cxn modelId="{395B366E-3E86-4B61-89CA-6E32E53A960C}" type="presParOf" srcId="{38C73271-78CE-476D-A549-BB6F7F06896E}" destId="{0CBD4E50-F474-450E-9C34-DF62294B7548}" srcOrd="0" destOrd="0" presId="urn:microsoft.com/office/officeart/2005/8/layout/orgChart1"/>
    <dgm:cxn modelId="{74C3410C-50C5-4530-A993-2D597D5E46B1}" type="presParOf" srcId="{38C73271-78CE-476D-A549-BB6F7F06896E}" destId="{B53EDD99-D2FF-4717-B592-0672625CCC25}" srcOrd="1" destOrd="0" presId="urn:microsoft.com/office/officeart/2005/8/layout/orgChart1"/>
    <dgm:cxn modelId="{8415423A-25E3-4398-A4FA-57A40EC51D82}" type="presParOf" srcId="{C5B1EEFB-29C9-4C31-93F7-F7E0F895630B}" destId="{625415B9-D0AD-4017-A6C8-6521E12E2BBF}" srcOrd="1" destOrd="0" presId="urn:microsoft.com/office/officeart/2005/8/layout/orgChart1"/>
    <dgm:cxn modelId="{51E584AA-0390-4E5C-9372-F09F8260BFEF}" type="presParOf" srcId="{C5B1EEFB-29C9-4C31-93F7-F7E0F895630B}" destId="{72FF8032-2D5E-4EEA-A7CA-5E4A464376FB}" srcOrd="2" destOrd="0" presId="urn:microsoft.com/office/officeart/2005/8/layout/orgChart1"/>
    <dgm:cxn modelId="{3E7B814B-41C5-45FE-A866-F9DE60AB0458}" type="presParOf" srcId="{78938F40-4519-4577-B577-F7C59F0BC597}" destId="{EA18D183-1CE0-4E38-AF2B-408A38F5E0D9}" srcOrd="6" destOrd="0" presId="urn:microsoft.com/office/officeart/2005/8/layout/orgChart1"/>
    <dgm:cxn modelId="{438073B7-7203-4EE0-8DA2-7663C7948B1D}" type="presParOf" srcId="{78938F40-4519-4577-B577-F7C59F0BC597}" destId="{D8768663-F511-4A29-9BDC-136B92A3DF37}" srcOrd="7" destOrd="0" presId="urn:microsoft.com/office/officeart/2005/8/layout/orgChart1"/>
    <dgm:cxn modelId="{CF1D7C00-A1AC-47AB-8573-2F32E0B38DA6}" type="presParOf" srcId="{D8768663-F511-4A29-9BDC-136B92A3DF37}" destId="{7DFE5AD3-196F-43FF-8889-E4C508B06C82}" srcOrd="0" destOrd="0" presId="urn:microsoft.com/office/officeart/2005/8/layout/orgChart1"/>
    <dgm:cxn modelId="{F8371D2A-2193-4051-88D1-80B63D7E489E}" type="presParOf" srcId="{7DFE5AD3-196F-43FF-8889-E4C508B06C82}" destId="{7A9947B1-E6A4-4FE8-9694-5EFD16C457E0}" srcOrd="0" destOrd="0" presId="urn:microsoft.com/office/officeart/2005/8/layout/orgChart1"/>
    <dgm:cxn modelId="{6939E07F-1053-4015-8488-CE8B94F3DEDF}" type="presParOf" srcId="{7DFE5AD3-196F-43FF-8889-E4C508B06C82}" destId="{FE10E2BD-66D8-4BB7-BD19-4EE58B466445}" srcOrd="1" destOrd="0" presId="urn:microsoft.com/office/officeart/2005/8/layout/orgChart1"/>
    <dgm:cxn modelId="{D156E140-2725-42A8-8201-0D82D4A846A5}" type="presParOf" srcId="{D8768663-F511-4A29-9BDC-136B92A3DF37}" destId="{9C2B2742-AD13-48BB-9BE5-C1E588895FD8}" srcOrd="1" destOrd="0" presId="urn:microsoft.com/office/officeart/2005/8/layout/orgChart1"/>
    <dgm:cxn modelId="{8386E31F-123C-4E30-97AF-45CE8A89DDCE}" type="presParOf" srcId="{D8768663-F511-4A29-9BDC-136B92A3DF37}" destId="{D6F8A35C-4D95-4C23-9A89-80B2E7350269}" srcOrd="2" destOrd="0" presId="urn:microsoft.com/office/officeart/2005/8/layout/orgChart1"/>
    <dgm:cxn modelId="{BAC56226-DE00-4BD5-BDF2-082A25590937}" type="presParOf" srcId="{A1D25391-ACEB-43E8-BC60-E36295AF52C0}" destId="{3E1DD641-13A1-466D-B971-8C65BB6507B7}" srcOrd="2" destOrd="0" presId="urn:microsoft.com/office/officeart/2005/8/layout/orgChart1"/>
    <dgm:cxn modelId="{4F3B33C3-D48B-4AFE-9C3D-53D2167916A8}" type="presParOf" srcId="{3E1DD641-13A1-466D-B971-8C65BB6507B7}" destId="{53FAB72A-6A6E-470B-91E3-3626A2BFA659}" srcOrd="0" destOrd="0" presId="urn:microsoft.com/office/officeart/2005/8/layout/orgChart1"/>
    <dgm:cxn modelId="{88104DD6-B13E-4A5F-9069-E8FB9F3C64C4}" type="presParOf" srcId="{3E1DD641-13A1-466D-B971-8C65BB6507B7}" destId="{33501C1D-34BA-45F0-96B1-073A5DDB1049}" srcOrd="1" destOrd="0" presId="urn:microsoft.com/office/officeart/2005/8/layout/orgChart1"/>
    <dgm:cxn modelId="{292820BD-2A97-4823-83F8-C70B5BA61B12}" type="presParOf" srcId="{33501C1D-34BA-45F0-96B1-073A5DDB1049}" destId="{856C023D-4D2E-4493-A78B-CD7F6CDE8262}" srcOrd="0" destOrd="0" presId="urn:microsoft.com/office/officeart/2005/8/layout/orgChart1"/>
    <dgm:cxn modelId="{09F5D941-7966-4E12-A27C-77ABBB6DD612}" type="presParOf" srcId="{856C023D-4D2E-4493-A78B-CD7F6CDE8262}" destId="{24B3E1AB-FAB1-4EC7-B3C6-78C7E562B3B9}" srcOrd="0" destOrd="0" presId="urn:microsoft.com/office/officeart/2005/8/layout/orgChart1"/>
    <dgm:cxn modelId="{790A0D3F-EC7C-4B2B-8878-A3DC491F23B9}" type="presParOf" srcId="{856C023D-4D2E-4493-A78B-CD7F6CDE8262}" destId="{C88E78B2-B19C-4C63-9BD6-31D732270D9C}" srcOrd="1" destOrd="0" presId="urn:microsoft.com/office/officeart/2005/8/layout/orgChart1"/>
    <dgm:cxn modelId="{7C9961DC-F9EB-435F-8F2B-0D62D41B3772}" type="presParOf" srcId="{33501C1D-34BA-45F0-96B1-073A5DDB1049}" destId="{D1731FFF-5303-4D6A-AD0C-5C6FFE6F5B2D}" srcOrd="1" destOrd="0" presId="urn:microsoft.com/office/officeart/2005/8/layout/orgChart1"/>
    <dgm:cxn modelId="{115EF277-FA1E-4D94-87CB-12A757E4B3ED}" type="presParOf" srcId="{33501C1D-34BA-45F0-96B1-073A5DDB1049}" destId="{D44A4A70-79A3-479D-82AE-E85E76DC8F77}" srcOrd="2" destOrd="0" presId="urn:microsoft.com/office/officeart/2005/8/layout/orgChart1"/>
    <dgm:cxn modelId="{DB857422-2480-4380-B4B8-035C0F5D6933}" type="presParOf" srcId="{3E1DD641-13A1-466D-B971-8C65BB6507B7}" destId="{19EA7F88-E762-4751-9210-4CC7F0F20177}" srcOrd="2" destOrd="0" presId="urn:microsoft.com/office/officeart/2005/8/layout/orgChart1"/>
    <dgm:cxn modelId="{D7AE224F-DC9E-4C42-8DD8-16259975EEAA}" type="presParOf" srcId="{3E1DD641-13A1-466D-B971-8C65BB6507B7}" destId="{7B1985C6-CF45-46D5-8D0D-05BF4EA62EB1}" srcOrd="3" destOrd="0" presId="urn:microsoft.com/office/officeart/2005/8/layout/orgChart1"/>
    <dgm:cxn modelId="{556BF14F-0891-433A-8132-96723EB8A13A}" type="presParOf" srcId="{7B1985C6-CF45-46D5-8D0D-05BF4EA62EB1}" destId="{15EEB00E-B975-4302-A883-B38B253F3C9A}" srcOrd="0" destOrd="0" presId="urn:microsoft.com/office/officeart/2005/8/layout/orgChart1"/>
    <dgm:cxn modelId="{8345C285-5E9A-4B80-A490-B0537A8CC8B8}" type="presParOf" srcId="{15EEB00E-B975-4302-A883-B38B253F3C9A}" destId="{9C0E7CEE-CA04-4557-B579-B4284E3B2F58}" srcOrd="0" destOrd="0" presId="urn:microsoft.com/office/officeart/2005/8/layout/orgChart1"/>
    <dgm:cxn modelId="{0A6BE74D-D9B3-4FF2-8FF5-8C157EF22980}" type="presParOf" srcId="{15EEB00E-B975-4302-A883-B38B253F3C9A}" destId="{359F6803-C3AE-4071-BCF9-B432F8C185C3}" srcOrd="1" destOrd="0" presId="urn:microsoft.com/office/officeart/2005/8/layout/orgChart1"/>
    <dgm:cxn modelId="{72BD7B46-6B9C-4343-B288-C1A8B2156339}" type="presParOf" srcId="{7B1985C6-CF45-46D5-8D0D-05BF4EA62EB1}" destId="{68A15229-B6D3-4552-B284-A75770272376}" srcOrd="1" destOrd="0" presId="urn:microsoft.com/office/officeart/2005/8/layout/orgChart1"/>
    <dgm:cxn modelId="{A046738E-999A-4215-877E-6E191BA6A503}" type="presParOf" srcId="{7B1985C6-CF45-46D5-8D0D-05BF4EA62EB1}" destId="{DAB772E9-4067-4116-B08B-915FB4E9CB07}" srcOrd="2" destOrd="0" presId="urn:microsoft.com/office/officeart/2005/8/layout/orgChart1"/>
    <dgm:cxn modelId="{C56FF1C8-6415-4D77-B695-E29DB3B608FE}" type="presParOf" srcId="{3E1DD641-13A1-466D-B971-8C65BB6507B7}" destId="{53398FA4-5018-4F6A-8D1C-14DD1BC4B34A}" srcOrd="4" destOrd="0" presId="urn:microsoft.com/office/officeart/2005/8/layout/orgChart1"/>
    <dgm:cxn modelId="{1AB5861A-C04F-4F0F-81F0-4DA022599F4C}" type="presParOf" srcId="{3E1DD641-13A1-466D-B971-8C65BB6507B7}" destId="{696E00E2-9DD9-42D3-AF92-600DB54A1D82}" srcOrd="5" destOrd="0" presId="urn:microsoft.com/office/officeart/2005/8/layout/orgChart1"/>
    <dgm:cxn modelId="{36618BAF-E922-43FB-87C7-A059ECE0241F}" type="presParOf" srcId="{696E00E2-9DD9-42D3-AF92-600DB54A1D82}" destId="{C9FAAA1E-151A-4948-9ABD-76A1813E6D88}" srcOrd="0" destOrd="0" presId="urn:microsoft.com/office/officeart/2005/8/layout/orgChart1"/>
    <dgm:cxn modelId="{9E4B53A4-827C-46AB-B345-627CA6855931}" type="presParOf" srcId="{C9FAAA1E-151A-4948-9ABD-76A1813E6D88}" destId="{0D5FCD05-6A67-4944-8CDA-66F62A810B15}" srcOrd="0" destOrd="0" presId="urn:microsoft.com/office/officeart/2005/8/layout/orgChart1"/>
    <dgm:cxn modelId="{B08F73F5-E302-4163-9926-64AACB36A1E1}" type="presParOf" srcId="{C9FAAA1E-151A-4948-9ABD-76A1813E6D88}" destId="{07BC0234-7BDC-44F3-9A66-29AAED1A5CB4}" srcOrd="1" destOrd="0" presId="urn:microsoft.com/office/officeart/2005/8/layout/orgChart1"/>
    <dgm:cxn modelId="{C809DAFD-A7C7-4CEA-A55C-B2CB2370E709}" type="presParOf" srcId="{696E00E2-9DD9-42D3-AF92-600DB54A1D82}" destId="{2C9DF1D9-8BC7-4DC5-AD24-BADF523DF3EC}" srcOrd="1" destOrd="0" presId="urn:microsoft.com/office/officeart/2005/8/layout/orgChart1"/>
    <dgm:cxn modelId="{294F3D40-F545-45BC-89C2-4A168DC33CC2}" type="presParOf" srcId="{696E00E2-9DD9-42D3-AF92-600DB54A1D82}" destId="{A3DE5C8C-5FDF-47AF-849F-85D660365E72}" srcOrd="2" destOrd="0" presId="urn:microsoft.com/office/officeart/2005/8/layout/orgChart1"/>
    <dgm:cxn modelId="{D69ED2C4-7D92-4F2C-AFBE-DD034493B102}" type="presParOf" srcId="{3E1DD641-13A1-466D-B971-8C65BB6507B7}" destId="{F2CC5B1D-91CC-4105-AD0E-3D29A4129BDE}" srcOrd="6" destOrd="0" presId="urn:microsoft.com/office/officeart/2005/8/layout/orgChart1"/>
    <dgm:cxn modelId="{4611B61A-1197-48CE-848E-FCD02036A2F0}" type="presParOf" srcId="{3E1DD641-13A1-466D-B971-8C65BB6507B7}" destId="{4A7A4C23-1324-4109-A383-FBFE93DC27C2}" srcOrd="7" destOrd="0" presId="urn:microsoft.com/office/officeart/2005/8/layout/orgChart1"/>
    <dgm:cxn modelId="{BD51C5A7-263E-4860-9EF9-B71FF430B422}" type="presParOf" srcId="{4A7A4C23-1324-4109-A383-FBFE93DC27C2}" destId="{F4F93DDE-B0D4-4482-8850-584FBF211547}" srcOrd="0" destOrd="0" presId="urn:microsoft.com/office/officeart/2005/8/layout/orgChart1"/>
    <dgm:cxn modelId="{B96D1361-E626-42AC-AB95-AAC429625387}" type="presParOf" srcId="{F4F93DDE-B0D4-4482-8850-584FBF211547}" destId="{3731EF64-E532-4C3F-9FE4-565F1AACDBE6}" srcOrd="0" destOrd="0" presId="urn:microsoft.com/office/officeart/2005/8/layout/orgChart1"/>
    <dgm:cxn modelId="{10A97D08-4531-4782-8C75-5142A72D768E}" type="presParOf" srcId="{F4F93DDE-B0D4-4482-8850-584FBF211547}" destId="{C6DF96AB-0D51-4127-B4C3-17B9E48F9894}" srcOrd="1" destOrd="0" presId="urn:microsoft.com/office/officeart/2005/8/layout/orgChart1"/>
    <dgm:cxn modelId="{EAAB4B7B-4E7D-4EEF-ADCA-86CF8D2EDB94}" type="presParOf" srcId="{4A7A4C23-1324-4109-A383-FBFE93DC27C2}" destId="{67DF4B74-EF39-4A6A-A26A-2F15BACEB23A}" srcOrd="1" destOrd="0" presId="urn:microsoft.com/office/officeart/2005/8/layout/orgChart1"/>
    <dgm:cxn modelId="{F009B004-4DD1-4743-BCC6-293ED9881534}" type="presParOf" srcId="{4A7A4C23-1324-4109-A383-FBFE93DC27C2}" destId="{4A31AE8E-7CD0-4044-A55F-A5297A347274}" srcOrd="2" destOrd="0" presId="urn:microsoft.com/office/officeart/2005/8/layout/orgChart1"/>
  </dgm:cxnLst>
  <dgm:bg/>
  <dgm:whole>
    <a:ln cap="rnd"/>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2CC5B1D-91CC-4105-AD0E-3D29A4129BDE}">
      <dsp:nvSpPr>
        <dsp:cNvPr id="0" name=""/>
        <dsp:cNvSpPr/>
      </dsp:nvSpPr>
      <dsp:spPr>
        <a:xfrm>
          <a:off x="2854390" y="245212"/>
          <a:ext cx="1288583" cy="246351"/>
        </a:xfrm>
        <a:custGeom>
          <a:avLst/>
          <a:gdLst/>
          <a:ahLst/>
          <a:cxnLst/>
          <a:rect l="0" t="0" r="0" b="0"/>
          <a:pathLst>
            <a:path>
              <a:moveTo>
                <a:pt x="0" y="246351"/>
              </a:moveTo>
              <a:lnTo>
                <a:pt x="1288583" y="0"/>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53398FA4-5018-4F6A-8D1C-14DD1BC4B34A}">
      <dsp:nvSpPr>
        <dsp:cNvPr id="0" name=""/>
        <dsp:cNvSpPr/>
      </dsp:nvSpPr>
      <dsp:spPr>
        <a:xfrm>
          <a:off x="2172563" y="491563"/>
          <a:ext cx="681826" cy="1147592"/>
        </a:xfrm>
        <a:custGeom>
          <a:avLst/>
          <a:gdLst/>
          <a:ahLst/>
          <a:cxnLst/>
          <a:rect l="0" t="0" r="0" b="0"/>
          <a:pathLst>
            <a:path>
              <a:moveTo>
                <a:pt x="681826" y="0"/>
              </a:moveTo>
              <a:lnTo>
                <a:pt x="681826" y="1147592"/>
              </a:lnTo>
              <a:lnTo>
                <a:pt x="0" y="1147592"/>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19EA7F88-E762-4751-9210-4CC7F0F20177}">
      <dsp:nvSpPr>
        <dsp:cNvPr id="0" name=""/>
        <dsp:cNvSpPr/>
      </dsp:nvSpPr>
      <dsp:spPr>
        <a:xfrm>
          <a:off x="2854390" y="491563"/>
          <a:ext cx="147686" cy="594217"/>
        </a:xfrm>
        <a:custGeom>
          <a:avLst/>
          <a:gdLst/>
          <a:ahLst/>
          <a:cxnLst/>
          <a:rect l="0" t="0" r="0" b="0"/>
          <a:pathLst>
            <a:path>
              <a:moveTo>
                <a:pt x="0" y="0"/>
              </a:moveTo>
              <a:lnTo>
                <a:pt x="0" y="594217"/>
              </a:lnTo>
              <a:lnTo>
                <a:pt x="147686" y="594217"/>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53FAB72A-6A6E-470B-91E3-3626A2BFA659}">
      <dsp:nvSpPr>
        <dsp:cNvPr id="0" name=""/>
        <dsp:cNvSpPr/>
      </dsp:nvSpPr>
      <dsp:spPr>
        <a:xfrm>
          <a:off x="1708474" y="245212"/>
          <a:ext cx="1145915" cy="246351"/>
        </a:xfrm>
        <a:custGeom>
          <a:avLst/>
          <a:gdLst/>
          <a:ahLst/>
          <a:cxnLst/>
          <a:rect l="0" t="0" r="0" b="0"/>
          <a:pathLst>
            <a:path>
              <a:moveTo>
                <a:pt x="1145915" y="246351"/>
              </a:moveTo>
              <a:lnTo>
                <a:pt x="0" y="0"/>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EA18D183-1CE0-4E38-AF2B-408A38F5E0D9}">
      <dsp:nvSpPr>
        <dsp:cNvPr id="0" name=""/>
        <dsp:cNvSpPr/>
      </dsp:nvSpPr>
      <dsp:spPr>
        <a:xfrm>
          <a:off x="2854390" y="491563"/>
          <a:ext cx="1851713" cy="1598782"/>
        </a:xfrm>
        <a:custGeom>
          <a:avLst/>
          <a:gdLst/>
          <a:ahLst/>
          <a:cxnLst/>
          <a:rect l="0" t="0" r="0" b="0"/>
          <a:pathLst>
            <a:path>
              <a:moveTo>
                <a:pt x="0" y="0"/>
              </a:moveTo>
              <a:lnTo>
                <a:pt x="0" y="1495793"/>
              </a:lnTo>
              <a:lnTo>
                <a:pt x="1851713" y="1495793"/>
              </a:lnTo>
              <a:lnTo>
                <a:pt x="1851713" y="1598782"/>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FFDFCA74-309A-4F7E-AAB1-AF90859192B1}">
      <dsp:nvSpPr>
        <dsp:cNvPr id="0" name=""/>
        <dsp:cNvSpPr/>
      </dsp:nvSpPr>
      <dsp:spPr>
        <a:xfrm>
          <a:off x="2854390" y="491563"/>
          <a:ext cx="664887" cy="1598782"/>
        </a:xfrm>
        <a:custGeom>
          <a:avLst/>
          <a:gdLst/>
          <a:ahLst/>
          <a:cxnLst/>
          <a:rect l="0" t="0" r="0" b="0"/>
          <a:pathLst>
            <a:path>
              <a:moveTo>
                <a:pt x="0" y="0"/>
              </a:moveTo>
              <a:lnTo>
                <a:pt x="0" y="1495793"/>
              </a:lnTo>
              <a:lnTo>
                <a:pt x="664887" y="1495793"/>
              </a:lnTo>
              <a:lnTo>
                <a:pt x="664887" y="1598782"/>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BFF7FF2E-EA13-4C28-9C0F-6DF712719C44}">
      <dsp:nvSpPr>
        <dsp:cNvPr id="0" name=""/>
        <dsp:cNvSpPr/>
      </dsp:nvSpPr>
      <dsp:spPr>
        <a:xfrm>
          <a:off x="2332451" y="491563"/>
          <a:ext cx="521938" cy="1598782"/>
        </a:xfrm>
        <a:custGeom>
          <a:avLst/>
          <a:gdLst/>
          <a:ahLst/>
          <a:cxnLst/>
          <a:rect l="0" t="0" r="0" b="0"/>
          <a:pathLst>
            <a:path>
              <a:moveTo>
                <a:pt x="521938" y="0"/>
              </a:moveTo>
              <a:lnTo>
                <a:pt x="521938" y="1495793"/>
              </a:lnTo>
              <a:lnTo>
                <a:pt x="0" y="1495793"/>
              </a:lnTo>
              <a:lnTo>
                <a:pt x="0" y="1598782"/>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0F58C1E9-1BCC-4C35-B1DA-CE251FB15A67}">
      <dsp:nvSpPr>
        <dsp:cNvPr id="0" name=""/>
        <dsp:cNvSpPr/>
      </dsp:nvSpPr>
      <dsp:spPr>
        <a:xfrm>
          <a:off x="931123" y="491563"/>
          <a:ext cx="1923266" cy="1599922"/>
        </a:xfrm>
        <a:custGeom>
          <a:avLst/>
          <a:gdLst/>
          <a:ahLst/>
          <a:cxnLst/>
          <a:rect l="0" t="0" r="0" b="0"/>
          <a:pathLst>
            <a:path>
              <a:moveTo>
                <a:pt x="1923266" y="0"/>
              </a:moveTo>
              <a:lnTo>
                <a:pt x="1923266" y="1496933"/>
              </a:lnTo>
              <a:lnTo>
                <a:pt x="0" y="1496933"/>
              </a:lnTo>
              <a:lnTo>
                <a:pt x="0" y="1599922"/>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F7D6D2B7-4BCD-45F4-81EB-06EF7902C393}">
      <dsp:nvSpPr>
        <dsp:cNvPr id="0" name=""/>
        <dsp:cNvSpPr/>
      </dsp:nvSpPr>
      <dsp:spPr>
        <a:xfrm>
          <a:off x="2363965" y="1139"/>
          <a:ext cx="980848" cy="490424"/>
        </a:xfrm>
        <a:prstGeom prst="rect">
          <a:avLst/>
        </a:prstGeom>
        <a:gradFill rotWithShape="0">
          <a:gsLst>
            <a:gs pos="0">
              <a:schemeClr val="accent1">
                <a:shade val="60000"/>
                <a:hueOff val="0"/>
                <a:satOff val="0"/>
                <a:lumOff val="0"/>
                <a:alphaOff val="0"/>
                <a:shade val="51000"/>
                <a:satMod val="130000"/>
              </a:schemeClr>
            </a:gs>
            <a:gs pos="80000">
              <a:schemeClr val="accent1">
                <a:shade val="60000"/>
                <a:hueOff val="0"/>
                <a:satOff val="0"/>
                <a:lumOff val="0"/>
                <a:alphaOff val="0"/>
                <a:shade val="93000"/>
                <a:satMod val="130000"/>
              </a:schemeClr>
            </a:gs>
            <a:gs pos="100000">
              <a:schemeClr val="accent1">
                <a:shade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Latn-BA" sz="900" b="1" kern="1200">
              <a:latin typeface="Times New Roman" panose="02020603050405020304" pitchFamily="18" charset="0"/>
              <a:cs typeface="Times New Roman" panose="02020603050405020304" pitchFamily="18" charset="0"/>
            </a:rPr>
            <a:t>Predsjednik</a:t>
          </a:r>
          <a:endParaRPr lang="sr-Latn-CS" sz="900" b="1" kern="1200">
            <a:latin typeface="Times New Roman" panose="02020603050405020304" pitchFamily="18" charset="0"/>
            <a:cs typeface="Times New Roman" panose="02020603050405020304" pitchFamily="18" charset="0"/>
          </a:endParaRPr>
        </a:p>
      </dsp:txBody>
      <dsp:txXfrm>
        <a:off x="2363965" y="1139"/>
        <a:ext cx="980848" cy="490424"/>
      </dsp:txXfrm>
    </dsp:sp>
    <dsp:sp modelId="{AE64585F-A53C-4130-89A1-BF3C8DA02F79}">
      <dsp:nvSpPr>
        <dsp:cNvPr id="0" name=""/>
        <dsp:cNvSpPr/>
      </dsp:nvSpPr>
      <dsp:spPr>
        <a:xfrm>
          <a:off x="369224" y="2091485"/>
          <a:ext cx="1123796" cy="490424"/>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Sektor za emisiju hartija od vrijednosti</a:t>
          </a:r>
          <a:endParaRPr lang="sr-Latn-CS" sz="900" kern="1200">
            <a:latin typeface="Times New Roman" panose="02020603050405020304" pitchFamily="18" charset="0"/>
            <a:cs typeface="Times New Roman" panose="02020603050405020304" pitchFamily="18" charset="0"/>
          </a:endParaRPr>
        </a:p>
      </dsp:txBody>
      <dsp:txXfrm>
        <a:off x="369224" y="2091485"/>
        <a:ext cx="1123796" cy="490424"/>
      </dsp:txXfrm>
    </dsp:sp>
    <dsp:sp modelId="{93BBDB85-2CED-44B6-A107-3F123440F853}">
      <dsp:nvSpPr>
        <dsp:cNvPr id="0" name=""/>
        <dsp:cNvSpPr/>
      </dsp:nvSpPr>
      <dsp:spPr>
        <a:xfrm>
          <a:off x="1842027" y="2090346"/>
          <a:ext cx="980848" cy="490424"/>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Sektor za razvoj i međunarodnu saradnju</a:t>
          </a:r>
          <a:endParaRPr lang="sr-Latn-BA" sz="900" kern="1200">
            <a:latin typeface="Times New Roman" panose="02020603050405020304" pitchFamily="18" charset="0"/>
            <a:cs typeface="Times New Roman" panose="02020603050405020304" pitchFamily="18" charset="0"/>
          </a:endParaRPr>
        </a:p>
      </dsp:txBody>
      <dsp:txXfrm>
        <a:off x="1842027" y="2090346"/>
        <a:ext cx="980848" cy="490424"/>
      </dsp:txXfrm>
    </dsp:sp>
    <dsp:sp modelId="{0CBD4E50-F474-450E-9C34-DF62294B7548}">
      <dsp:nvSpPr>
        <dsp:cNvPr id="0" name=""/>
        <dsp:cNvSpPr/>
      </dsp:nvSpPr>
      <dsp:spPr>
        <a:xfrm>
          <a:off x="3028853" y="2090346"/>
          <a:ext cx="980848" cy="490424"/>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Sektor za izdavanje dozvola i slaglasnosti učesnicima na tržištu</a:t>
          </a:r>
          <a:endParaRPr lang="sr-Latn-BA" sz="900" kern="1200">
            <a:latin typeface="Times New Roman" panose="02020603050405020304" pitchFamily="18" charset="0"/>
            <a:cs typeface="Times New Roman" panose="02020603050405020304" pitchFamily="18" charset="0"/>
          </a:endParaRPr>
        </a:p>
      </dsp:txBody>
      <dsp:txXfrm>
        <a:off x="3028853" y="2090346"/>
        <a:ext cx="980848" cy="490424"/>
      </dsp:txXfrm>
    </dsp:sp>
    <dsp:sp modelId="{7A9947B1-E6A4-4FE8-9694-5EFD16C457E0}">
      <dsp:nvSpPr>
        <dsp:cNvPr id="0" name=""/>
        <dsp:cNvSpPr/>
      </dsp:nvSpPr>
      <dsp:spPr>
        <a:xfrm>
          <a:off x="4215679" y="2090346"/>
          <a:ext cx="980848" cy="490424"/>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Sektor za nadzor</a:t>
          </a:r>
          <a:endParaRPr lang="sr-Latn-BA" sz="900" kern="1200">
            <a:latin typeface="Times New Roman" panose="02020603050405020304" pitchFamily="18" charset="0"/>
            <a:cs typeface="Times New Roman" panose="02020603050405020304" pitchFamily="18" charset="0"/>
          </a:endParaRPr>
        </a:p>
      </dsp:txBody>
      <dsp:txXfrm>
        <a:off x="4215679" y="2090346"/>
        <a:ext cx="980848" cy="490424"/>
      </dsp:txXfrm>
    </dsp:sp>
    <dsp:sp modelId="{24B3E1AB-FAB1-4EC7-B3C6-78C7E562B3B9}">
      <dsp:nvSpPr>
        <dsp:cNvPr id="0" name=""/>
        <dsp:cNvSpPr/>
      </dsp:nvSpPr>
      <dsp:spPr>
        <a:xfrm>
          <a:off x="148789" y="0"/>
          <a:ext cx="1559685" cy="490424"/>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Latn-BA" sz="900" kern="1200">
              <a:latin typeface="Times New Roman" panose="02020603050405020304" pitchFamily="18" charset="0"/>
              <a:cs typeface="Times New Roman" panose="02020603050405020304" pitchFamily="18" charset="0"/>
            </a:rPr>
            <a:t>Zamjenik predsjednika</a:t>
          </a:r>
          <a:endParaRPr lang="sr-Cyrl-CS" sz="900" kern="1200">
            <a:latin typeface="Times New Roman" panose="02020603050405020304" pitchFamily="18" charset="0"/>
            <a:cs typeface="Times New Roman" panose="02020603050405020304" pitchFamily="18" charset="0"/>
          </a:endParaRPr>
        </a:p>
      </dsp:txBody>
      <dsp:txXfrm>
        <a:off x="148789" y="0"/>
        <a:ext cx="1559685" cy="490424"/>
      </dsp:txXfrm>
    </dsp:sp>
    <dsp:sp modelId="{9C0E7CEE-CA04-4557-B579-B4284E3B2F58}">
      <dsp:nvSpPr>
        <dsp:cNvPr id="0" name=""/>
        <dsp:cNvSpPr/>
      </dsp:nvSpPr>
      <dsp:spPr>
        <a:xfrm>
          <a:off x="3002076" y="840569"/>
          <a:ext cx="1083719" cy="490424"/>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Latn-BA" sz="900" kern="1200">
              <a:latin typeface="Times New Roman" panose="02020603050405020304" pitchFamily="18" charset="0"/>
              <a:cs typeface="Times New Roman" panose="02020603050405020304" pitchFamily="18" charset="0"/>
            </a:rPr>
            <a:t>Sekretarijat Komisije</a:t>
          </a:r>
          <a:endParaRPr lang="sr-Cyrl-CS" sz="900" kern="1200">
            <a:latin typeface="Times New Roman" panose="02020603050405020304" pitchFamily="18" charset="0"/>
            <a:cs typeface="Times New Roman" panose="02020603050405020304" pitchFamily="18" charset="0"/>
          </a:endParaRPr>
        </a:p>
      </dsp:txBody>
      <dsp:txXfrm>
        <a:off x="3002076" y="840569"/>
        <a:ext cx="1083719" cy="490424"/>
      </dsp:txXfrm>
    </dsp:sp>
    <dsp:sp modelId="{0D5FCD05-6A67-4944-8CDA-66F62A810B15}">
      <dsp:nvSpPr>
        <dsp:cNvPr id="0" name=""/>
        <dsp:cNvSpPr/>
      </dsp:nvSpPr>
      <dsp:spPr>
        <a:xfrm>
          <a:off x="1191715" y="1393944"/>
          <a:ext cx="980848" cy="490424"/>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Latn-BA" sz="900" kern="1200">
              <a:latin typeface="Times New Roman" panose="02020603050405020304" pitchFamily="18" charset="0"/>
              <a:cs typeface="Times New Roman" panose="02020603050405020304" pitchFamily="18" charset="0"/>
            </a:rPr>
            <a:t>Interni revizor</a:t>
          </a:r>
          <a:endParaRPr lang="sr-Cyrl-CS" sz="900" kern="1200">
            <a:latin typeface="Times New Roman" panose="02020603050405020304" pitchFamily="18" charset="0"/>
            <a:cs typeface="Times New Roman" panose="02020603050405020304" pitchFamily="18" charset="0"/>
          </a:endParaRPr>
        </a:p>
      </dsp:txBody>
      <dsp:txXfrm>
        <a:off x="1191715" y="1393944"/>
        <a:ext cx="980848" cy="490424"/>
      </dsp:txXfrm>
    </dsp:sp>
    <dsp:sp modelId="{3731EF64-E532-4C3F-9FE4-565F1AACDBE6}">
      <dsp:nvSpPr>
        <dsp:cNvPr id="0" name=""/>
        <dsp:cNvSpPr/>
      </dsp:nvSpPr>
      <dsp:spPr>
        <a:xfrm>
          <a:off x="4142973" y="0"/>
          <a:ext cx="1565806" cy="490424"/>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Latn-BA" sz="900" kern="1200">
              <a:latin typeface="Times New Roman" panose="02020603050405020304" pitchFamily="18" charset="0"/>
              <a:cs typeface="Times New Roman" panose="02020603050405020304" pitchFamily="18" charset="0"/>
            </a:rPr>
            <a:t>Članovi Komisije</a:t>
          </a:r>
          <a:endParaRPr lang="sr-Cyrl-CS" sz="900" kern="1200">
            <a:latin typeface="Times New Roman" panose="02020603050405020304" pitchFamily="18" charset="0"/>
            <a:cs typeface="Times New Roman" panose="02020603050405020304" pitchFamily="18" charset="0"/>
          </a:endParaRPr>
        </a:p>
      </dsp:txBody>
      <dsp:txXfrm>
        <a:off x="4142973" y="0"/>
        <a:ext cx="1565806" cy="49042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6F327-1127-4F21-82DC-2509877C1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1445</TotalTime>
  <Pages>36</Pages>
  <Words>13071</Words>
  <Characters>74511</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m.jandric</dc:creator>
  <cp:keywords/>
  <dc:description/>
  <cp:lastModifiedBy>Dino Đumić</cp:lastModifiedBy>
  <cp:revision>146</cp:revision>
  <cp:lastPrinted>2023-05-22T08:08:00Z</cp:lastPrinted>
  <dcterms:created xsi:type="dcterms:W3CDTF">2019-05-31T09:52:00Z</dcterms:created>
  <dcterms:modified xsi:type="dcterms:W3CDTF">2024-05-30T11:46:00Z</dcterms:modified>
</cp:coreProperties>
</file>